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May 3, 2023</w:t>
      </w:r>
    </w:p>
    <w:p>
      <w:pPr>
        <w:pStyle w:val="TextBody"/>
        <w:spacing w:before="0" w:after="0"/>
        <w:jc w:val="center"/>
        <w:rPr/>
      </w:pPr>
      <w:r>
        <w:rPr/>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333-266757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pPr>
      <w:r>
        <w:rPr>
          <w:rFonts w:ascii="Times New Roman;sans-serif" w:hAnsi="Times New Roman;sans-serif"/>
          <w:b/>
          <w:color w:val="000000"/>
          <w:sz w:val="20"/>
        </w:rPr>
        <w:t>UNITED STATES</w:t>
      </w: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S-1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UNDER</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THE SECURITIES ACT OF 1933</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tbl>
      <w:tblPr>
        <w:tblW w:w="7747" w:type="dxa"/>
        <w:jc w:val="left"/>
        <w:tblInd w:w="0" w:type="dxa"/>
        <w:tblCellMar>
          <w:top w:w="28" w:type="dxa"/>
          <w:left w:w="28" w:type="dxa"/>
          <w:bottom w:w="28" w:type="dxa"/>
          <w:right w:w="28" w:type="dxa"/>
        </w:tblCellMar>
      </w:tblPr>
      <w:tblGrid>
        <w:gridCol w:w="933"/>
        <w:gridCol w:w="819"/>
        <w:gridCol w:w="828"/>
        <w:gridCol w:w="109"/>
        <w:gridCol w:w="109"/>
        <w:gridCol w:w="109"/>
        <w:gridCol w:w="832"/>
        <w:gridCol w:w="832"/>
        <w:gridCol w:w="840"/>
        <w:gridCol w:w="109"/>
        <w:gridCol w:w="109"/>
        <w:gridCol w:w="109"/>
        <w:gridCol w:w="586"/>
        <w:gridCol w:w="586"/>
        <w:gridCol w:w="83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4932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258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4"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(Primary Standard Industrial</w:t>
              <w:br/>
              <w:t>Classification Code Number)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One North Lexington Avenue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Suite 1450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(914) 705-4000</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 Anthony</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 OPAL Fuels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One North Lexington Avenue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Suite 1450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(914) 705-4000</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address, including zip code, and telephone number, including area code, of agent for service)</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Copies of all communications, including communications sent to agent for service, should be sent to:</w:t>
      </w:r>
    </w:p>
    <w:p>
      <w:pPr>
        <w:pStyle w:val="TextBody"/>
        <w:spacing w:lineRule="auto" w:line="240" w:before="0" w:after="0"/>
        <w:jc w:val="center"/>
        <w:rPr>
          <w:color w:val="000000"/>
        </w:rPr>
      </w:pPr>
      <w:r>
        <w:rPr>
          <w:color w:val="000000"/>
        </w:rPr>
        <w:t> </w:t>
      </w:r>
    </w:p>
    <w:tbl>
      <w:tblPr>
        <w:tblW w:w="3839" w:type="dxa"/>
        <w:jc w:val="left"/>
        <w:tblInd w:w="0" w:type="dxa"/>
        <w:tblCellMar>
          <w:top w:w="28" w:type="dxa"/>
          <w:left w:w="28" w:type="dxa"/>
          <w:bottom w:w="28" w:type="dxa"/>
          <w:right w:w="28" w:type="dxa"/>
        </w:tblCellMar>
      </w:tblPr>
      <w:tblGrid>
        <w:gridCol w:w="1228"/>
        <w:gridCol w:w="1080"/>
        <w:gridCol w:w="1531"/>
      </w:tblGrid>
      <w:tr>
        <w:trPr/>
        <w:tc>
          <w:tcPr>
            <w:tcW w:w="122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Edward M. Welch, Esq.</w:t>
              <w:br/>
              <w:t>Sheppard, Mullin, Richter &amp; Hampton LLP</w:t>
              <w:br/>
              <w:t>30 Rockefeller Plaza</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 10112</w:t>
              <w:br/>
              <w:t>Tel: (212) 653-8700</w:t>
            </w:r>
          </w:p>
        </w:tc>
      </w:tr>
    </w:tbl>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color w:val="000000"/>
          <w:sz w:val="20"/>
        </w:rPr>
        <w:t>Approximate date of commencement of proposed sale to the public</w:t>
      </w:r>
      <w:r>
        <w:rPr>
          <w:rFonts w:ascii="Times New Roman;sans-serif" w:hAnsi="Times New Roman;sans-serif"/>
          <w:b w:val="false"/>
          <w:color w:val="000000"/>
          <w:sz w:val="20"/>
        </w:rPr>
        <w:t>: From time to time after this Registration Statement becomes effective.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this Form is a post-effective amendment filed pursuant to Rule 462(d) under the Securities Act, check the following box and list the Securities Act registration statement number of the earlier effective registration statement for the same offering. </w:t>
      </w:r>
      <w:r>
        <w:rPr>
          <w:color w:val="00000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40" w:before="0" w:after="0"/>
        <w:rPr>
          <w:color w:val="000000"/>
        </w:rPr>
      </w:pPr>
      <w:r>
        <w:rPr>
          <w:color w:val="000000"/>
        </w:rPr>
        <w:t> </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239" w:type="dxa"/>
        <w:jc w:val="left"/>
        <w:tblInd w:w="0" w:type="dxa"/>
        <w:tblCellMar>
          <w:top w:w="28" w:type="dxa"/>
          <w:left w:w="28" w:type="dxa"/>
          <w:bottom w:w="28" w:type="dxa"/>
          <w:right w:w="28" w:type="dxa"/>
        </w:tblCellMar>
      </w:tblPr>
      <w:tblGrid>
        <w:gridCol w:w="124"/>
        <w:gridCol w:w="109"/>
        <w:gridCol w:w="109"/>
        <w:gridCol w:w="635"/>
        <w:gridCol w:w="635"/>
        <w:gridCol w:w="636"/>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11, 2022, we filed a registration statement on Form S-1 (File No. 333-266757) (as amended on September 20, 2022, October 14, 2022, November 2, 2022, and November 4, 2022) (collectively, the “Registration Statement”) which registered (i) for original issuance up to 15,446,494 shares of our Class A common stock, and (ii) for resale by the selling security holders named therein up to 175,541,507 shares of our Class A common stock. The Registration Statement was declared effective by the SEC on November 8, 2022.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post-effective amendment is being filed to: </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include certain information in the Registration Statement, including information from our Annual Report on Form 10-K for the year ended December 31, 2022 that was filed on March 29, 2023 (the “Annual Report”); and</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remove from the Registration Statement (i) all shares of Class A common stock, par value $0.0001 (the “Class A common stock”), of OPAL Fuels Inc., a Delaware corporation (the “Company”), to be issued by the Company upon the exercise of the Private Placement Warrants and the Public Warrants, and (ii) withdraw and remove from registration the Public Warrants that are no longer outstanding as described below.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additional securities are being registered under this post-effective amendment and all applicable registration and filing fees were paid at the time of the original filing of the Registration Statement.</w:t>
      </w:r>
    </w:p>
    <w:p>
      <w:pPr>
        <w:pStyle w:val="TextBody"/>
        <w:spacing w:before="0" w:after="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Deregistration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warrant exchange offer and consent solicitation by the Company on December 16, 2022, all Public Warrants and Private Placement Warrants were converted to shares of Class A common stock. In connection with such exchange offer and solicitation, the Nasdaq Stock Market LLC (“NASDAQ”) filed Form 25 to delist the Company’s Public Warrants on December 21, 2022. The Registration Statement is hereby amended to remove and withdraw from registration all of such Public Warrants, and to remove references to the Public Warrants, Private Placement Warrants and the shares of Class A common stock underlying such warrants.</w:t>
      </w:r>
    </w:p>
    <w:p>
      <w:pPr>
        <w:pStyle w:val="TextBody"/>
        <w:spacing w:before="0" w:after="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120" w:after="240"/>
        <w:rPr>
          <w:color w:val="000000"/>
        </w:rPr>
      </w:pPr>
      <w:r>
        <w:rPr>
          <w:color w:val="000000"/>
        </w:rPr>
        <w:t> </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color w:val="FF0000"/>
          <w:sz w:val="20"/>
        </w:rPr>
      </w:pPr>
      <w:r>
        <w:rPr>
          <w:rFonts w:ascii="Times New Roman;sans-serif" w:hAnsi="Times New Roman;sans-serif"/>
          <w:b/>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SUBJECT TO COMPLETION, DATED MAY 3, 2023</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PRELIMINARY PROSPECTUS</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 TO 166,318,246 SHARES OF CLASS A COMMON STOCK</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This prospectus relates to the offer and sale from time to time by the selling securityholders named in this prospectus (the “</w:t>
      </w:r>
      <w:r>
        <w:rPr>
          <w:rFonts w:ascii="Times New Roman;sans-serif" w:hAnsi="Times New Roman;sans-serif"/>
          <w:b/>
          <w:i/>
          <w:color w:val="000000"/>
          <w:sz w:val="20"/>
        </w:rPr>
        <w:t>Selling Holders</w:t>
      </w:r>
      <w:r>
        <w:rPr>
          <w:color w:val="000000"/>
        </w:rPr>
        <w:t>”</w:t>
      </w:r>
      <w:r>
        <w:rPr>
          <w:rFonts w:ascii="Times New Roman;sans-serif" w:hAnsi="Times New Roman;sans-serif"/>
          <w:b w:val="false"/>
          <w:color w:val="000000"/>
          <w:sz w:val="20"/>
        </w:rPr>
        <w:t>) of:</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 10,838,609 shares of Class A common stock issued under the Business Combination Agreement, dated as of December 2, 2021 (as the same has been or may be amended, modified, supplemented or waived from time to time, the “</w:t>
      </w:r>
      <w:r>
        <w:rPr>
          <w:rFonts w:ascii="Times New Roman;sans-serif" w:hAnsi="Times New Roman;sans-serif"/>
          <w:b/>
          <w:i/>
          <w:color w:val="000000"/>
          <w:sz w:val="20"/>
        </w:rPr>
        <w:t>BCA</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i/>
          <w:color w:val="000000"/>
          <w:sz w:val="20"/>
        </w:rPr>
        <w:t>Business Combination Agreement</w:t>
      </w:r>
      <w:r>
        <w:rPr>
          <w:color w:val="000000"/>
        </w:rPr>
        <w:t>”</w:t>
      </w:r>
      <w:r>
        <w:rPr>
          <w:rFonts w:ascii="Times New Roman;sans-serif" w:hAnsi="Times New Roman;sans-serif"/>
          <w:b w:val="false"/>
          <w:color w:val="000000"/>
          <w:sz w:val="20"/>
        </w:rPr>
        <w:t>), by and among ArcLight Clean Transition Corp. II (“</w:t>
      </w:r>
      <w:r>
        <w:rPr>
          <w:rFonts w:ascii="Times New Roman;sans-serif" w:hAnsi="Times New Roman;sans-serif"/>
          <w:b/>
          <w:i/>
          <w:color w:val="000000"/>
          <w:sz w:val="20"/>
        </w:rPr>
        <w:t>ArcLight</w:t>
      </w:r>
      <w:r>
        <w:rPr>
          <w:color w:val="000000"/>
        </w:rPr>
        <w:t>”</w:t>
      </w:r>
      <w:r>
        <w:rPr>
          <w:rFonts w:ascii="Times New Roman;sans-serif" w:hAnsi="Times New Roman;sans-serif"/>
          <w:b w:val="false"/>
          <w:color w:val="000000"/>
          <w:sz w:val="20"/>
        </w:rPr>
        <w:t>), 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and Opal Holdco LLC (“</w:t>
      </w:r>
      <w:r>
        <w:rPr>
          <w:rFonts w:ascii="Times New Roman;sans-serif" w:hAnsi="Times New Roman;sans-serif"/>
          <w:b/>
          <w:i/>
          <w:color w:val="000000"/>
          <w:sz w:val="20"/>
        </w:rPr>
        <w:t>OPAL Holdco</w:t>
      </w:r>
      <w:r>
        <w:rPr>
          <w:color w:val="000000"/>
        </w:rPr>
        <w:t>”</w:t>
      </w:r>
      <w:r>
        <w:rPr>
          <w:rFonts w:ascii="Times New Roman;sans-serif" w:hAnsi="Times New Roman;sans-serif"/>
          <w:b w:val="false"/>
          <w:color w:val="000000"/>
          <w:sz w:val="20"/>
        </w:rPr>
        <w:t>) to ARCC Beacon LLC (“</w:t>
      </w:r>
      <w:r>
        <w:rPr>
          <w:rFonts w:ascii="Times New Roman;sans-serif" w:hAnsi="Times New Roman;sans-serif"/>
          <w:b/>
          <w:i/>
          <w:color w:val="000000"/>
          <w:sz w:val="20"/>
        </w:rPr>
        <w:t>Ares</w:t>
      </w:r>
      <w:r>
        <w:rPr>
          <w:color w:val="000000"/>
        </w:rPr>
        <w:t>”</w:t>
      </w:r>
      <w:r>
        <w:rPr>
          <w:rFonts w:ascii="Times New Roman;sans-serif" w:hAnsi="Times New Roman;sans-serif"/>
          <w:b w:val="false"/>
          <w:color w:val="000000"/>
          <w:sz w:val="20"/>
        </w:rPr>
        <w:t>),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and certain former directors of ArcLight originally acquired by such parties for an effective purchase price of approximately $0.003 per share;</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val="false"/>
          <w:color w:val="000000"/>
          <w:sz w:val="20"/>
        </w:rPr>
        <w:t>(ii) 144,399,037 shares of Class A common stock issuable upon the conversion of Class C common stock issuable to Opal Holdco and Hillman RNG Investments, LLC (the “</w:t>
      </w:r>
      <w:r>
        <w:rPr>
          <w:rFonts w:ascii="Times New Roman;sans-serif" w:hAnsi="Times New Roman;sans-serif"/>
          <w:b/>
          <w:i/>
          <w:color w:val="000000"/>
          <w:sz w:val="20"/>
        </w:rPr>
        <w:t>Opco Common Equityholders</w:t>
      </w:r>
      <w:r>
        <w:rPr>
          <w:color w:val="000000"/>
        </w:rPr>
        <w:t>”</w:t>
      </w:r>
      <w:r>
        <w:rPr>
          <w:rFonts w:ascii="Times New Roman;sans-serif" w:hAnsi="Times New Roman;sans-serif"/>
          <w:b w:val="false"/>
          <w:color w:val="000000"/>
          <w:sz w:val="20"/>
        </w:rPr>
        <w:t xml:space="preserve">) upon the exchange of Opco Common Units (as defined below) and the cancellation of an equal number of shares of Class </w:t>
      </w:r>
      <w:r>
        <w:br w:type="page"/>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common stock (as defined in this prospectus) originally issued as consideration in connection with the Business Combination at a per share value of $10.00 per share; and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(iii) 11,080,600 shares of Class A common stock originally issued and sold to certain of the Selling Holders pursuant to subscription agreements dated as of December 2, 2021 (collectively, the “</w:t>
      </w:r>
      <w:r>
        <w:rPr>
          <w:rFonts w:ascii="Times New Roman;sans-serif" w:hAnsi="Times New Roman;sans-serif"/>
          <w:b/>
          <w:i/>
          <w:color w:val="000000"/>
          <w:sz w:val="20"/>
        </w:rPr>
        <w:t>PIPE Investors</w:t>
      </w:r>
      <w:r>
        <w:rPr>
          <w:color w:val="000000"/>
        </w:rPr>
        <w:t>”</w:t>
      </w:r>
      <w:r>
        <w:rPr>
          <w:rFonts w:ascii="Times New Roman;sans-serif" w:hAnsi="Times New Roman;sans-serif"/>
          <w:b w:val="false"/>
          <w:color w:val="000000"/>
          <w:sz w:val="20"/>
        </w:rPr>
        <w:t>) at a purchase price of $10.00 per share.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601% of shares of Class A common stock outstanding of the Company as of April 28, 2023 (without giving effect to the issuance of shares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$7.99 as of April 28, 2023, Sponsor and other holders of the shares of our Class A common stock that were originally purchased by Arclight’s Sponsor in a private placement prior to Arclight’s initial public offering (the “</w:t>
      </w:r>
      <w:r>
        <w:rPr>
          <w:rFonts w:ascii="Times New Roman;sans-serif" w:hAnsi="Times New Roman;sans-serif"/>
          <w:b/>
          <w:i/>
          <w:color w:val="000000"/>
          <w:sz w:val="20"/>
        </w:rPr>
        <w:t>Founder Shares</w:t>
      </w:r>
      <w:r>
        <w:rPr>
          <w:color w:val="000000"/>
        </w:rPr>
        <w:t>”</w:t>
      </w:r>
      <w:r>
        <w:rPr>
          <w:rFonts w:ascii="Times New Roman;sans-serif" w:hAnsi="Times New Roman;sans-serif"/>
          <w:b w:val="false"/>
          <w:color w:val="000000"/>
          <w:sz w:val="20"/>
        </w:rPr>
        <w:t>) would experience a potential profit of approximately $7.987 per share, or approximately $11,970,948 in the aggregate.</w:t>
      </w:r>
    </w:p>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240" w:after="120"/>
              <w:jc w:val="both"/>
              <w:rPr/>
            </w:pPr>
            <w:r>
              <w:rPr>
                <w:color w:val="000000"/>
              </w:rPr>
              <w:t>    </w:t>
            </w:r>
            <w:r>
              <w:rPr>
                <w:rFonts w:ascii="Times New Roman;sans-serif" w:hAnsi="Times New Roman;sans-serif"/>
                <w:b w:val="false"/>
                <w:color w:val="000000"/>
                <w:sz w:val="20"/>
              </w:rPr>
              <w:t>We will not receive any proceeds from the sale of shares of Class A common stock by the Selling Holders pursuant to this prospectus. 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Times New Roman;sans-serif" w:hAnsi="Times New Roman;sans-serif"/>
                <w:b w:val="false"/>
                <w:i/>
                <w:color w:val="000000"/>
                <w:sz w:val="20"/>
              </w:rPr>
              <w:t>Plan of Distribution</w:t>
            </w:r>
            <w:r>
              <w:rPr>
                <w:rFonts w:ascii="Times New Roman;sans-serif" w:hAnsi="Times New Roman;sans-serif"/>
                <w:b w:val="false"/>
                <w:color w:val="000000"/>
                <w:sz w:val="20"/>
              </w:rPr>
              <w:t>.”</w:t>
            </w:r>
          </w:p>
          <w:p>
            <w:pPr>
              <w:pStyle w:val="TableContents"/>
              <w:spacing w:lineRule="auto" w:line="240" w:before="240" w:after="120"/>
              <w:jc w:val="both"/>
              <w:rPr>
                <w:color w:val="000000"/>
              </w:rPr>
            </w:pPr>
            <w:r>
              <w:rPr>
                <w:color w:val="000000"/>
              </w:rPr>
              <w:t>    </w:t>
            </w:r>
            <w:r>
              <w:rPr>
                <w:rFonts w:ascii="Times New Roman;sans-serif" w:hAnsi="Times New Roman;sans-serif"/>
                <w:b w:val="false"/>
                <w:color w:val="000000"/>
                <w:sz w:val="20"/>
              </w:rPr>
              <w:t>You should read this prospectus and any prospectus supplement or amendment carefully before you invest in our Class A common stock.</w:t>
            </w:r>
          </w:p>
          <w:p>
            <w:pPr>
              <w:pStyle w:val="TableContents"/>
              <w:spacing w:lineRule="auto" w:line="240" w:before="240" w:after="120"/>
              <w:jc w:val="both"/>
              <w:rPr/>
            </w:pPr>
            <w:r>
              <w:rPr>
                <w:color w:val="000000"/>
              </w:rPr>
              <w:t>    </w:t>
            </w:r>
            <w:r>
              <w:rPr>
                <w:rFonts w:ascii="Times New Roman;sans-serif" w:hAnsi="Times New Roman;sans-serif"/>
                <w:b w:val="false"/>
                <w:color w:val="000000"/>
                <w:sz w:val="20"/>
              </w:rPr>
              <w:t>Our shares of Class A common stock are listed on the Nasdaq Capital Market (“</w:t>
            </w:r>
            <w:r>
              <w:rPr>
                <w:rFonts w:ascii="Times New Roman;sans-serif" w:hAnsi="Times New Roman;sans-serif"/>
                <w:b/>
                <w:i/>
                <w:color w:val="000000"/>
                <w:sz w:val="20"/>
              </w:rPr>
              <w:t>Nasdaq</w:t>
            </w:r>
            <w:r>
              <w:rPr>
                <w:color w:val="000000"/>
              </w:rPr>
              <w:t>”</w:t>
            </w:r>
            <w:r>
              <w:rPr>
                <w:rFonts w:ascii="Times New Roman;sans-serif" w:hAnsi="Times New Roman;sans-serif"/>
                <w:b w:val="false"/>
                <w:color w:val="000000"/>
                <w:sz w:val="20"/>
              </w:rPr>
              <w:t>) under the symbol “OPAL.” On April 28, 2023, the closing price of our Class A common stock was $7.99 per share.</w:t>
            </w:r>
          </w:p>
          <w:p>
            <w:pPr>
              <w:pStyle w:val="TableContents"/>
              <w:spacing w:lineRule="auto" w:line="240" w:before="240" w:after="120"/>
              <w:jc w:val="both"/>
              <w:rPr>
                <w:color w:val="000000"/>
              </w:rPr>
            </w:pPr>
            <w:r>
              <w:rPr>
                <w:color w:val="000000"/>
              </w:rPr>
              <w:t>    </w:t>
            </w:r>
            <w:r>
              <w:rPr>
                <w:rFonts w:ascii="Times New Roman;sans-serif" w:hAnsi="Times New Roman;sans-serif"/>
                <w:b w:val="false"/>
                <w:color w:val="000000"/>
                <w:sz w:val="20"/>
              </w:rPr>
              <w:t>We are an “emerging growth company,” as that term is defined under the federal securities laws and, as such, are subject to certain reduced public company reporting requirements.</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Investing in our securities involves risks that are described in the “Risk Factors” section beginning on page 14 of this prospectus.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May 3, 2023.</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120" w:after="24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40" w:before="0" w:after="0"/>
        <w:jc w:val="center"/>
        <w:rPr>
          <w:color w:val="000000"/>
        </w:rPr>
      </w:pPr>
      <w:r>
        <w:rPr>
          <w:color w:val="000000"/>
        </w:rPr>
        <w:t> </w:t>
      </w:r>
    </w:p>
    <w:tbl>
      <w:tblPr>
        <w:tblW w:w="9974" w:type="dxa"/>
        <w:jc w:val="left"/>
        <w:tblInd w:w="0" w:type="dxa"/>
        <w:tblCellMar>
          <w:top w:w="28" w:type="dxa"/>
          <w:left w:w="28" w:type="dxa"/>
          <w:bottom w:w="28" w:type="dxa"/>
          <w:right w:w="28" w:type="dxa"/>
        </w:tblCellMar>
      </w:tblPr>
      <w:tblGrid>
        <w:gridCol w:w="3462"/>
        <w:gridCol w:w="3040"/>
        <w:gridCol w:w="3052"/>
        <w:gridCol w:w="123"/>
        <w:gridCol w:w="123"/>
        <w:gridCol w:w="174"/>
      </w:tblGrid>
      <w:tr>
        <w:trPr/>
        <w:tc>
          <w:tcPr>
            <w:tcW w:w="3462" w:type="dxa"/>
            <w:tcBorders/>
            <w:shd w:fill="auto" w:val="clear"/>
            <w:vAlign w:val="center"/>
          </w:tcPr>
          <w:p>
            <w:pPr>
              <w:pStyle w:val="TableContents"/>
              <w:spacing w:before="0" w:after="283"/>
              <w:rPr>
                <w:sz w:val="4"/>
                <w:szCs w:val="4"/>
              </w:rPr>
            </w:pPr>
            <w:r>
              <w:rPr>
                <w:sz w:val="4"/>
                <w:szCs w:val="4"/>
              </w:rPr>
            </w:r>
          </w:p>
        </w:tc>
        <w:tc>
          <w:tcPr>
            <w:tcW w:w="3040" w:type="dxa"/>
            <w:tcBorders/>
            <w:shd w:fill="auto" w:val="clear"/>
            <w:vAlign w:val="center"/>
          </w:tcPr>
          <w:p>
            <w:pPr>
              <w:pStyle w:val="TableContents"/>
              <w:spacing w:before="0" w:after="283"/>
              <w:rPr>
                <w:sz w:val="4"/>
                <w:szCs w:val="4"/>
              </w:rPr>
            </w:pPr>
            <w:r>
              <w:rPr>
                <w:sz w:val="4"/>
                <w:szCs w:val="4"/>
              </w:rPr>
            </w:r>
          </w:p>
        </w:tc>
        <w:tc>
          <w:tcPr>
            <w:tcW w:w="305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TRADEMARKS</w:t>
              </w:r>
            </w:hyperlink>
          </w:p>
        </w:tc>
        <w:tc>
          <w:tcPr>
            <w:tcW w:w="4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SELECTED DEFINITIONS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CAUTIONARY STATEMENT REGARDING FORWARD-LOOKING STATEMENTS</w:t>
              </w:r>
            </w:hyperlink>
          </w:p>
        </w:tc>
        <w:tc>
          <w:tcPr>
            <w:tcW w:w="4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SUMMARY</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SELECTED HISTORICAL CONSOLIDATED FINANCIAL INFORMATION</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MARKET PRICE, TICKER SYMBOL, AND DIVIDEND INFORMATION</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RISK FACTORS</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USE OF PROCEEDS</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BUSINESS</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MANAGEMENT</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EXECUTIVE COMPENSATION</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DESCRIPTION OF SECURITIES</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BENEFICIAL OWNERSHIP</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SELLING HOLDERS</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CERTAIN RELATIONSHIPS AND RELATED PARTY TRANSACTIONS</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UNITED STATES FEDERAL INCOME TAX CONSIDERATIONS</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PLAN OF DISTRIBUTION</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LEGAL MATTERS</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EXPERTS</w:t>
              </w:r>
            </w:hyperlink>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WHERE YOU CAN FIND MORE INFORMATION</w:t>
              </w:r>
            </w:hyperlink>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46dcdfbb6318479ea2e2edc776f1b270_1">
              <w:r>
                <w:rPr>
                  <w:rStyle w:val="InternetLink"/>
                  <w:rFonts w:ascii="Times New Roman;sans-serif" w:hAnsi="Times New Roman;sans-serif"/>
                  <w:b w:val="false"/>
                  <w:color w:val="0000EE"/>
                  <w:sz w:val="20"/>
                  <w:u w:val="single"/>
                </w:rPr>
                <w:t>INDEX TO FINANCIAL STATEMENTS</w:t>
              </w:r>
            </w:hyperlink>
          </w:p>
        </w:tc>
        <w:tc>
          <w:tcPr>
            <w:tcW w:w="4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c>
      </w:tr>
    </w:tbl>
    <w:p>
      <w:pPr>
        <w:pStyle w:val="TextBody"/>
        <w:spacing w:lineRule="auto" w:line="240" w:before="0" w:after="0"/>
        <w:jc w:val="center"/>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r>
    </w:tbl>
    <w:p>
      <w:pPr>
        <w:pStyle w:val="TextBody"/>
        <w:spacing w:lineRule="auto" w:line="240" w:before="120" w:after="240"/>
        <w:rPr>
          <w:color w:val="000000"/>
        </w:rPr>
      </w:pPr>
      <w:r>
        <w:rPr>
          <w:color w:val="000000"/>
        </w:rPr>
        <w:t> </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This document contains references to trademarks and service marks belonging to other entities. Solely for convenience, trademarks and trade names referred to in this prospectus may appear without the </w:t>
      </w:r>
      <w:r>
        <w:rPr>
          <w:rFonts w:ascii="Times New Roman;sans-serif" w:hAnsi="Times New Roman;sans-serif"/>
          <w:b w:val="false"/>
          <w:color w:val="000000"/>
          <w:sz w:val="16"/>
        </w:rPr>
        <w:t>®</w:t>
      </w:r>
      <w:r>
        <w:rPr>
          <w:color w:val="000000"/>
        </w:rPr>
        <w:t> </w:t>
      </w:r>
      <w:r>
        <w:rPr>
          <w:rFonts w:ascii="Times New Roman;sans-serif" w:hAnsi="Times New Roman;sans-serif"/>
          <w:b w:val="false"/>
          <w:color w:val="000000"/>
          <w:sz w:val="20"/>
        </w:rPr>
        <w:t>or </w:t>
      </w:r>
      <w:r>
        <w:rPr>
          <w:color w:val="000000"/>
        </w:rPr>
        <w:t>™ </w:t>
      </w:r>
      <w:r>
        <w:rPr>
          <w:rFonts w:ascii="Times New Roman;sans-serif" w:hAnsi="Times New Roman;sans-serif"/>
          <w:b w:val="false"/>
          <w:color w:val="000000"/>
          <w:sz w:val="20"/>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used in this prospectus, unless the context otherwise requires: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ArcLight” refers to ArcLight Clean Transaction Corp. II, a blank check company incorporated as a Cayman Islands exempt company, and our previous name prior to the Closing.</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Ares” refers to ARCC Beacon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Business Combination” refers to the transaction contemplated by the BCA.</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Bylaws” refers to the bylaws of OPAL.</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Charter” refers to certificate of incorporation of OPAL.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A common stock” refers to the shares of Class A common stock, par value $0.0001 per share, of OPAL.</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A Units” refers to the Class A Units as defined in the Second A&amp;R LLC Agreement.</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B common stock” refers to the shares of Class B common stock, par value $0.0001 per share, of OPAL.</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B Units” refers to the Class B Units as defined in the Second A&amp;R LLC Agreement.</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Class C common stock” refers to the shares of Class C common stock, par value $0.0001 per share, of OPAL.</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Class D common stock” refers to the shares of Class D common stock, par value $0.0001 per share, of OPAL.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i/>
          <w:color w:val="000000"/>
          <w:sz w:val="20"/>
        </w:rPr>
        <w:t>Closing” refers to the closing of the Business Combination.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Closing Date” refers to July 21, 2022.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Common Stock” refers to the collective shares of Class A common stock, Class B common stock, Class C common stock and Class D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Company”, “we”, “our”, “us” or similar terms refers to OPAL Fuels Inc. individually or on a consolidated basis, as the context may require.</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Exchange Act” refers to the Securities Exchange Act of 1934,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FASB” refers to the Financial Accounting Standards Board.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Fortistar” refers to Fortistar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sans-serif" w:hAnsi="Times New Roman;sans-serif"/>
          <w:b w:val="false"/>
          <w:color w:val="000000"/>
          <w:sz w:val="20"/>
        </w:rPr>
        <w:t>CNG.</w:t>
      </w:r>
      <w:r>
        <w:rPr>
          <w:color w:val="000000"/>
        </w:rPr>
        <w:t xml:space="preserve"> </w:t>
      </w:r>
      <w:r>
        <w:rPr>
          <w:rFonts w:ascii="Times New Roman;sans-serif" w:hAnsi="Times New Roman;sans-serif"/>
          <w:b w:val="false"/>
          <w:i/>
          <w:color w:val="000000"/>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lineRule="auto" w:line="240" w:before="120" w:after="240"/>
        <w:rPr>
          <w:color w:val="000000"/>
        </w:rPr>
      </w:pPr>
      <w:r>
        <w:rPr>
          <w:color w:val="000000"/>
        </w:rPr>
        <w:t> </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Hillman” refers to Hillman RNG Investments,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i/>
          <w:color w:val="000000"/>
          <w:sz w:val="20"/>
        </w:rPr>
        <w:t>refers to the Investment Company Act of 1940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IPO” refers to ArcLight’s initial public offering of its Class A ordinary shares and ArcLight Public Warrants pursuant to the IPO Registration Statement and completed on March 25,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IPO Registration Statement” refers to ArcLight’s Registration Statement on Form S-1, filed with the SEC (File No. 333-252730), on March 22,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Meteora” refers to Meteora Capital Partners and its affiliates.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Nasdaq” refers to the Nasdaq Capital Market.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NextEra” refers to Mendocino Capital, LLC, a Delaware limited liability company.</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and “OPAL Fuels” refers to OPAL Fuels Inc., a Delaware corporation.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our Board” refers to our board of directors.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Holdco” refers to OPAL Holdco LLC, a Delaware limited liability.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OPAL Preferred Stock” refers to our shares of preferred stock, par value $0.0001 per share.</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Public Warrants” refers to the 6,223,233 redeemable warrants exchanged for the ArcLight Public Warrants in connection with the Closing, and which were subsequently exchanged for Class A common stock</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Warrants” refers collectively to the Private Placement Warrants together with the Public Warrants.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refers to OPAL Fuels LLC, a Delaware limited liability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Common Equityholders” refers to OPAL Holdco and Hillman.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Opco Common Units” refers to the Class B Units resulting from the re-classification of the collective Opco common units existing immediately prior to the Closing.</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Series A Preferred Units” refers to the 1,000,000 Series A preferred units of Opco held by NextEra.</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Series A-1 Preferred Units” refers to the 300,000 Series A-1 preferred units of Opco held by Hillman.</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Organizational Documents</w:t>
      </w:r>
      <w:r>
        <w:rPr>
          <w:color w:val="000000"/>
        </w:rPr>
        <w:t xml:space="preserve">” </w:t>
      </w:r>
      <w:r>
        <w:rPr>
          <w:rFonts w:ascii="Times New Roman;sans-serif" w:hAnsi="Times New Roman;sans-serif"/>
          <w:b w:val="false"/>
          <w:i/>
          <w:color w:val="000000"/>
          <w:sz w:val="20"/>
        </w:rPr>
        <w:t>refers to the Charter and the Bylaws</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Person” means an individual, partnership, corporation, limited liability company, joint stock company, unincorporated organization or association, trust, joint venture or other similar entity, whether or not a legal entity.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PIPE Investment” refers to the PIPE Investors that purchased a total of 11,080,600 shares of Class A common stock in connection with the Closing at a cash purchase price of $10.00 per share pursuant to the Subscription Agreements.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PIPE Investors” refers, collectively, to the institutional and accredited investors that entered into Subscription Agreements with ArcLight.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Sarbanes-Oxley Act” refers to the Sarbanes-Oxley Act of 2002.</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SEC” refers to the U.S. Securities and Exchange Commission.</w:t>
      </w:r>
    </w:p>
    <w:p>
      <w:pPr>
        <w:pStyle w:val="TextBody"/>
        <w:spacing w:lineRule="auto" w:line="240" w:before="0" w:after="0"/>
        <w:jc w:val="both"/>
        <w:rPr>
          <w:color w:val="000000"/>
        </w:rPr>
      </w:pPr>
      <w:r>
        <w:rPr>
          <w:color w:val="000000"/>
        </w:rPr>
        <w:t> </w:t>
      </w:r>
    </w:p>
    <w:p>
      <w:pPr>
        <w:pStyle w:val="TextBody"/>
        <w:spacing w:lineRule="auto" w:line="240" w:before="120" w:after="240"/>
        <w:rPr/>
      </w:pPr>
      <w:r>
        <w:rPr>
          <w:color w:val="000000"/>
        </w:rPr>
        <w:t>     “</w:t>
      </w:r>
      <w:r>
        <w:rPr>
          <w:rFonts w:ascii="Times New Roman;sans-serif" w:hAnsi="Times New Roman;sans-serif"/>
          <w:b w:val="false"/>
          <w:i/>
          <w:color w:val="000000"/>
          <w:sz w:val="20"/>
        </w:rPr>
        <w:t>Second A&amp;R LLC Agreement” refers to the Second Amended and Restated Limited Liability Company Agreement of Opco.</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Securities Act” refers to the Securities Act of 1933,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Sponsor” refers to ArcLight CTC Holdings II, L.P., a Delaware limited partnership.</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Subscription Agreements” refer to the subscription agreements (as amended from time to time) that ArcLight entered into in connection with the Business Combination Agreement, each dated as of December 2, 2021.</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is a glossary of key industry terms used herein:</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ADG” refers to anaerobic digester gas.</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Advanced Clean Trucks Regulation” refers to the rules adopted by the California Air Resources Board on June 25, 2020 requiring the sale of zero-emission heavy-duty trucks.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BOD” refers to biochemical oxygen demand.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Btu” refers to British thermal units.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CARB” refers to the California Air Resources Board.</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CI” refers to carbon intensity.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CNG” refers to compressed natural gas.</w:t>
      </w:r>
    </w:p>
    <w:p>
      <w:pPr>
        <w:pStyle w:val="TextBody"/>
        <w:spacing w:before="0" w:after="0"/>
        <w:jc w:val="both"/>
        <w:rPr/>
      </w:pPr>
      <w:r>
        <w:rPr/>
      </w:r>
    </w:p>
    <w:p>
      <w:pPr>
        <w:pStyle w:val="TextBody"/>
        <w:spacing w:lineRule="auto" w:line="240" w:before="0" w:after="0"/>
        <w:jc w:val="both"/>
        <w:rPr/>
      </w:pPr>
      <w:r>
        <w:rPr>
          <w:color w:val="000000"/>
        </w:rPr>
        <w:t>“</w:t>
      </w:r>
      <w:r>
        <w:rPr>
          <w:rFonts w:ascii="Times New Roman;sans-serif" w:hAnsi="Times New Roman;sans-serif"/>
          <w:b w:val="false"/>
          <w:i/>
          <w:color w:val="000000"/>
          <w:sz w:val="20"/>
        </w:rPr>
        <w:t>CO</w:t>
      </w:r>
      <w:r>
        <w:rPr>
          <w:color w:val="000000"/>
        </w:rPr>
        <w:t xml:space="preserve">₂” </w:t>
      </w:r>
      <w:r>
        <w:rPr>
          <w:rFonts w:ascii="Times New Roman;sans-serif" w:hAnsi="Times New Roman;sans-serif"/>
          <w:b w:val="false"/>
          <w:i/>
          <w:color w:val="000000"/>
          <w:sz w:val="20"/>
        </w:rPr>
        <w:t>refers to Carbon dioxide.</w:t>
      </w:r>
    </w:p>
    <w:p>
      <w:pPr>
        <w:pStyle w:val="TextBody"/>
        <w:spacing w:lineRule="auto" w:line="240" w:before="0" w:after="0"/>
        <w:jc w:val="both"/>
        <w:rPr>
          <w:color w:val="000000"/>
        </w:rPr>
      </w:pPr>
      <w:r>
        <w:rPr>
          <w:color w:val="000000"/>
        </w:rPr>
        <w:t> </w:t>
      </w:r>
    </w:p>
    <w:p>
      <w:pPr>
        <w:pStyle w:val="TextBody"/>
        <w:spacing w:lineRule="auto" w:line="240"/>
        <w:jc w:val="both"/>
        <w:rPr>
          <w:color w:val="000000"/>
        </w:rPr>
      </w:pPr>
      <w:r>
        <w:rPr>
          <w:color w:val="000000"/>
        </w:rPr>
        <w:t>“</w:t>
      </w:r>
      <w:r>
        <w:rPr>
          <w:rFonts w:ascii="Times New Roman;sans-serif" w:hAnsi="Times New Roman;sans-serif"/>
          <w:b w:val="false"/>
          <w:i/>
          <w:color w:val="000000"/>
          <w:sz w:val="20"/>
        </w:rPr>
        <w:t>D3” refers to cellulosic biofuel with a 60% GHG reduction requirement.</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EHS” refers to environment, health and safety.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EISA” refers to Energy Independence and Security Act of 2007.</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EPA” refers to the U.S. Environmental Protection Agency.</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EPACT 2005” refers to the Energy Policy Act of 2005.</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FERC” refers to the U.S. Federal Energy Regulatory Commission.</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GHG” refers to greenhouse gases.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ISOs” refers to independent system operators.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LCFS” refers to Low Carbon Fuel Standard or similar types of federal and state programs.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LFG” refers to landfill gas.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Obligated Parties” means refiners or importers of gasoline or diesel fuel under the RFS program.</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QFs” refers to qualifying small power production facilities under the Federal Power Act and the Public Utility Regulatory Policies Act of 1978, as amended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RECs” refers to renewable energy credits.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Renewable Power” refers to electricity generated from renewable sources.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RFS” refers to the EPA’s Renewable Fuel Standard.</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RINs” refers to Renewable Identification Numbers.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RNG” refers to renewable natural gas.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RPS” refers to Renewable Portfolio Standards.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RTOs” refers to regional transmission organizations.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RVOs” refers to renewable volume obligations.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w:t>
      </w:r>
      <w:r>
        <w:rPr>
          <w:rFonts w:ascii="Times New Roman;sans-serif" w:hAnsi="Times New Roman;sans-serif"/>
          <w:b w:val="false"/>
          <w:i/>
          <w:color w:val="000000"/>
          <w:sz w:val="20"/>
        </w:rPr>
        <w:t>September 2020 Executive Order” refers to Executive Order N-79-20 issued by the Governor of the State of California in September 2020.</w:t>
      </w:r>
    </w:p>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lineRule="auto" w:line="240" w:before="120" w:after="24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spacing w:lineRule="auto" w:line="240" w:before="0" w:after="0"/>
        <w:ind w:left="0" w:right="0" w:hanging="480"/>
        <w:jc w:val="both"/>
        <w:rPr>
          <w:color w:val="000000"/>
        </w:rPr>
      </w:pPr>
      <w:r>
        <w:rPr>
          <w:color w:val="000000"/>
        </w:rPr>
        <w:t> </w:t>
      </w:r>
    </w:p>
    <w:tbl>
      <w:tblPr>
        <w:tblW w:w="7884" w:type="dxa"/>
        <w:jc w:val="left"/>
        <w:tblInd w:w="0" w:type="dxa"/>
        <w:tblCellMar>
          <w:top w:w="28" w:type="dxa"/>
          <w:left w:w="28" w:type="dxa"/>
          <w:bottom w:w="28" w:type="dxa"/>
          <w:right w:w="28" w:type="dxa"/>
        </w:tblCellMar>
      </w:tblPr>
      <w:tblGrid>
        <w:gridCol w:w="124"/>
        <w:gridCol w:w="109"/>
        <w:gridCol w:w="109"/>
        <w:gridCol w:w="109"/>
        <w:gridCol w:w="109"/>
        <w:gridCol w:w="109"/>
        <w:gridCol w:w="2113"/>
        <w:gridCol w:w="2113"/>
        <w:gridCol w:w="29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in retaining or recruiting, our principal officers, key employees or directors;</w:t>
            </w:r>
          </w:p>
        </w:tc>
      </w:tr>
    </w:tbl>
    <w:p>
      <w:pPr>
        <w:pStyle w:val="TextBody"/>
        <w:spacing w:lineRule="auto" w:line="240" w:before="0" w:after="0"/>
        <w:ind w:left="0" w:right="0" w:hanging="480"/>
        <w:jc w:val="both"/>
        <w:rPr>
          <w:color w:val="000000"/>
        </w:rPr>
      </w:pPr>
      <w:r>
        <w:rPr>
          <w:color w:val="000000"/>
        </w:rPr>
        <w:t> </w:t>
      </w:r>
    </w:p>
    <w:tbl>
      <w:tblPr>
        <w:tblW w:w="9339" w:type="dxa"/>
        <w:jc w:val="left"/>
        <w:tblInd w:w="0" w:type="dxa"/>
        <w:tblCellMar>
          <w:top w:w="28" w:type="dxa"/>
          <w:left w:w="28" w:type="dxa"/>
          <w:bottom w:w="28" w:type="dxa"/>
          <w:right w:w="28" w:type="dxa"/>
        </w:tblCellMar>
      </w:tblPr>
      <w:tblGrid>
        <w:gridCol w:w="124"/>
        <w:gridCol w:w="109"/>
        <w:gridCol w:w="109"/>
        <w:gridCol w:w="109"/>
        <w:gridCol w:w="109"/>
        <w:gridCol w:w="109"/>
        <w:gridCol w:w="2538"/>
        <w:gridCol w:w="2538"/>
        <w:gridCol w:w="35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35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intense competition and competitive pressures from other companies in the industry in which we operate;</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tc>
      </w:tr>
    </w:tbl>
    <w:p>
      <w:pPr>
        <w:pStyle w:val="TextBody"/>
        <w:spacing w:lineRule="auto" w:line="240" w:before="0" w:after="0"/>
        <w:ind w:left="0" w:right="0" w:hanging="480"/>
        <w:jc w:val="both"/>
        <w:rPr>
          <w:color w:val="000000"/>
        </w:rPr>
      </w:pPr>
      <w:r>
        <w:rPr>
          <w:color w:val="000000"/>
        </w:rPr>
        <w:t> </w:t>
      </w:r>
    </w:p>
    <w:tbl>
      <w:tblPr>
        <w:tblW w:w="6519" w:type="dxa"/>
        <w:jc w:val="left"/>
        <w:tblInd w:w="0" w:type="dxa"/>
        <w:tblCellMar>
          <w:top w:w="28" w:type="dxa"/>
          <w:left w:w="28" w:type="dxa"/>
          <w:bottom w:w="28" w:type="dxa"/>
          <w:right w:w="28" w:type="dxa"/>
        </w:tblCellMar>
      </w:tblPr>
      <w:tblGrid>
        <w:gridCol w:w="124"/>
        <w:gridCol w:w="109"/>
        <w:gridCol w:w="109"/>
        <w:gridCol w:w="109"/>
        <w:gridCol w:w="109"/>
        <w:gridCol w:w="109"/>
        <w:gridCol w:w="1713"/>
        <w:gridCol w:w="1713"/>
        <w:gridCol w:w="24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24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related to the global COVID-19 pandemic;</w:t>
            </w:r>
          </w:p>
        </w:tc>
      </w:tr>
    </w:tbl>
    <w:p>
      <w:pPr>
        <w:pStyle w:val="TextBody"/>
        <w:spacing w:lineRule="auto" w:line="240" w:before="0" w:after="0"/>
        <w:ind w:left="0" w:right="0" w:hanging="480"/>
        <w:jc w:val="both"/>
        <w:rPr>
          <w:color w:val="000000"/>
        </w:rPr>
      </w:pPr>
      <w:r>
        <w:rPr>
          <w:color w:val="000000"/>
        </w:rPr>
        <w:t> </w:t>
      </w:r>
    </w:p>
    <w:tbl>
      <w:tblPr>
        <w:tblW w:w="8694" w:type="dxa"/>
        <w:jc w:val="left"/>
        <w:tblInd w:w="0" w:type="dxa"/>
        <w:tblCellMar>
          <w:top w:w="28" w:type="dxa"/>
          <w:left w:w="28" w:type="dxa"/>
          <w:bottom w:w="28" w:type="dxa"/>
          <w:right w:w="28" w:type="dxa"/>
        </w:tblCellMar>
      </w:tblPr>
      <w:tblGrid>
        <w:gridCol w:w="124"/>
        <w:gridCol w:w="109"/>
        <w:gridCol w:w="109"/>
        <w:gridCol w:w="109"/>
        <w:gridCol w:w="109"/>
        <w:gridCol w:w="109"/>
        <w:gridCol w:w="2345"/>
        <w:gridCol w:w="2345"/>
        <w:gridCol w:w="33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33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0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reduction or elimination of government economic incentives to the renewable energy market;</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spacing w:lineRule="auto" w:line="240" w:before="0" w:after="0"/>
        <w:ind w:left="0" w:right="0" w:hanging="480"/>
        <w:jc w:val="both"/>
        <w:rPr>
          <w:color w:val="000000"/>
        </w:rPr>
      </w:pPr>
      <w:r>
        <w:rPr>
          <w:color w:val="000000"/>
        </w:rPr>
        <w:t> </w:t>
      </w:r>
    </w:p>
    <w:tbl>
      <w:tblPr>
        <w:tblW w:w="8333" w:type="dxa"/>
        <w:jc w:val="left"/>
        <w:tblInd w:w="0" w:type="dxa"/>
        <w:tblCellMar>
          <w:top w:w="28" w:type="dxa"/>
          <w:left w:w="28" w:type="dxa"/>
          <w:bottom w:w="28" w:type="dxa"/>
          <w:right w:w="28" w:type="dxa"/>
        </w:tblCellMar>
      </w:tblPr>
      <w:tblGrid>
        <w:gridCol w:w="124"/>
        <w:gridCol w:w="109"/>
        <w:gridCol w:w="109"/>
        <w:gridCol w:w="109"/>
        <w:gridCol w:w="109"/>
        <w:gridCol w:w="109"/>
        <w:gridCol w:w="2238"/>
        <w:gridCol w:w="2238"/>
        <w:gridCol w:w="31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identify, acquire, develop and operate renewable projects and Fueling Stations;</w:t>
            </w:r>
          </w:p>
        </w:tc>
      </w:tr>
    </w:tbl>
    <w:p>
      <w:pPr>
        <w:pStyle w:val="TextBody"/>
        <w:spacing w:lineRule="auto" w:line="240" w:before="0" w:after="0"/>
        <w:ind w:left="0" w:right="0" w:hanging="480"/>
        <w:jc w:val="both"/>
        <w:rPr>
          <w:color w:val="000000"/>
        </w:rPr>
      </w:pPr>
      <w:r>
        <w:rPr>
          <w:color w:val="000000"/>
        </w:rPr>
        <w:t> </w:t>
      </w:r>
    </w:p>
    <w:tbl>
      <w:tblPr>
        <w:tblW w:w="7149" w:type="dxa"/>
        <w:jc w:val="left"/>
        <w:tblInd w:w="0" w:type="dxa"/>
        <w:tblCellMar>
          <w:top w:w="28" w:type="dxa"/>
          <w:left w:w="28" w:type="dxa"/>
          <w:bottom w:w="28" w:type="dxa"/>
          <w:right w:w="28" w:type="dxa"/>
        </w:tblCellMar>
      </w:tblPr>
      <w:tblGrid>
        <w:gridCol w:w="124"/>
        <w:gridCol w:w="109"/>
        <w:gridCol w:w="109"/>
        <w:gridCol w:w="109"/>
        <w:gridCol w:w="109"/>
        <w:gridCol w:w="109"/>
        <w:gridCol w:w="1896"/>
        <w:gridCol w:w="1896"/>
        <w:gridCol w:w="26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4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equity or equity-linked securities or obtain debt financing;</w:t>
            </w:r>
          </w:p>
        </w:tc>
      </w:tr>
    </w:tbl>
    <w:p>
      <w:pPr>
        <w:pStyle w:val="TextBody"/>
        <w:spacing w:lineRule="auto" w:line="240" w:before="0" w:after="0"/>
        <w:ind w:left="0" w:right="0" w:hanging="480"/>
        <w:jc w:val="both"/>
        <w:rPr>
          <w:color w:val="000000"/>
        </w:rPr>
      </w:pPr>
      <w:r>
        <w:rPr>
          <w:color w:val="000000"/>
        </w:rPr>
        <w:t> </w:t>
      </w:r>
    </w:p>
    <w:tbl>
      <w:tblPr>
        <w:tblW w:w="5199" w:type="dxa"/>
        <w:jc w:val="left"/>
        <w:tblInd w:w="0" w:type="dxa"/>
        <w:tblCellMar>
          <w:top w:w="28" w:type="dxa"/>
          <w:left w:w="28" w:type="dxa"/>
          <w:bottom w:w="28" w:type="dxa"/>
          <w:right w:w="28" w:type="dxa"/>
        </w:tblCellMar>
      </w:tblPr>
      <w:tblGrid>
        <w:gridCol w:w="124"/>
        <w:gridCol w:w="109"/>
        <w:gridCol w:w="109"/>
        <w:gridCol w:w="109"/>
        <w:gridCol w:w="109"/>
        <w:gridCol w:w="109"/>
        <w:gridCol w:w="1323"/>
        <w:gridCol w:w="1323"/>
        <w:gridCol w:w="18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5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renewable energy not being sustained;</w:t>
            </w:r>
          </w:p>
        </w:tc>
      </w:tr>
    </w:tbl>
    <w:p>
      <w:pPr>
        <w:pStyle w:val="TextBody"/>
        <w:spacing w:lineRule="auto" w:line="240" w:before="0" w:after="0"/>
        <w:ind w:left="0" w:right="0" w:hanging="480"/>
        <w:jc w:val="both"/>
        <w:rPr>
          <w:color w:val="000000"/>
        </w:rPr>
      </w:pPr>
      <w:r>
        <w:rPr>
          <w:color w:val="000000"/>
        </w:rPr>
        <w:t> </w:t>
      </w:r>
    </w:p>
    <w:tbl>
      <w:tblPr>
        <w:tblW w:w="8168" w:type="dxa"/>
        <w:jc w:val="left"/>
        <w:tblInd w:w="0" w:type="dxa"/>
        <w:tblCellMar>
          <w:top w:w="28" w:type="dxa"/>
          <w:left w:w="28" w:type="dxa"/>
          <w:bottom w:w="28" w:type="dxa"/>
          <w:right w:w="28" w:type="dxa"/>
        </w:tblCellMar>
      </w:tblPr>
      <w:tblGrid>
        <w:gridCol w:w="124"/>
        <w:gridCol w:w="109"/>
        <w:gridCol w:w="109"/>
        <w:gridCol w:w="109"/>
        <w:gridCol w:w="109"/>
        <w:gridCol w:w="109"/>
        <w:gridCol w:w="2196"/>
        <w:gridCol w:w="2196"/>
        <w:gridCol w:w="31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impacts of climate change, changing weather patterns and conditions and natural disasters;</w:t>
            </w:r>
          </w:p>
        </w:tc>
      </w:tr>
    </w:tbl>
    <w:p>
      <w:pPr>
        <w:pStyle w:val="TextBody"/>
        <w:spacing w:lineRule="auto" w:line="240" w:before="0" w:after="0"/>
        <w:ind w:left="0" w:right="0" w:hanging="480"/>
        <w:jc w:val="both"/>
        <w:rPr>
          <w:color w:val="000000"/>
        </w:rPr>
      </w:pPr>
      <w:r>
        <w:rPr>
          <w:color w:val="000000"/>
        </w:rPr>
        <w:t> </w:t>
      </w:r>
    </w:p>
    <w:tbl>
      <w:tblPr>
        <w:tblW w:w="4913" w:type="dxa"/>
        <w:jc w:val="left"/>
        <w:tblInd w:w="0" w:type="dxa"/>
        <w:tblCellMar>
          <w:top w:w="28" w:type="dxa"/>
          <w:left w:w="28" w:type="dxa"/>
          <w:bottom w:w="28" w:type="dxa"/>
          <w:right w:w="28" w:type="dxa"/>
        </w:tblCellMar>
      </w:tblPr>
      <w:tblGrid>
        <w:gridCol w:w="124"/>
        <w:gridCol w:w="109"/>
        <w:gridCol w:w="109"/>
        <w:gridCol w:w="109"/>
        <w:gridCol w:w="109"/>
        <w:gridCol w:w="109"/>
        <w:gridCol w:w="1242"/>
        <w:gridCol w:w="1242"/>
        <w:gridCol w:w="17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legal, tax and regulatory changes; and</w:t>
            </w:r>
          </w:p>
        </w:tc>
      </w:tr>
    </w:tbl>
    <w:p>
      <w:pPr>
        <w:pStyle w:val="TextBody"/>
        <w:spacing w:lineRule="auto" w:line="240" w:before="0" w:after="0"/>
        <w:ind w:left="0" w:right="0" w:hanging="480"/>
        <w:jc w:val="both"/>
        <w:rPr>
          <w:color w:val="000000"/>
        </w:rPr>
      </w:pPr>
      <w:r>
        <w:rPr>
          <w:color w:val="000000"/>
        </w:rPr>
        <w:t> </w:t>
      </w:r>
    </w:p>
    <w:tbl>
      <w:tblPr>
        <w:tblW w:w="5949" w:type="dxa"/>
        <w:jc w:val="left"/>
        <w:tblInd w:w="0" w:type="dxa"/>
        <w:tblCellMar>
          <w:top w:w="28" w:type="dxa"/>
          <w:left w:w="28" w:type="dxa"/>
          <w:bottom w:w="28" w:type="dxa"/>
          <w:right w:w="28" w:type="dxa"/>
        </w:tblCellMar>
      </w:tblPr>
      <w:tblGrid>
        <w:gridCol w:w="124"/>
        <w:gridCol w:w="109"/>
        <w:gridCol w:w="109"/>
        <w:gridCol w:w="109"/>
        <w:gridCol w:w="109"/>
        <w:gridCol w:w="109"/>
        <w:gridCol w:w="1547"/>
        <w:gridCol w:w="1547"/>
        <w:gridCol w:w="21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other factors detailed under the section entitled “</w:t>
            </w:r>
            <w:r>
              <w:rPr>
                <w:rFonts w:ascii="Times New Roman;sans-serif" w:hAnsi="Times New Roman;sans-serif"/>
                <w:b w:val="false"/>
                <w:i/>
                <w:color w:val="000000"/>
                <w:sz w:val="20"/>
              </w:rPr>
              <w:t>Risk Factors.</w:t>
            </w:r>
            <w:r>
              <w:rPr>
                <w:color w:val="000000"/>
              </w:rPr>
              <w:t>”</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spacing w:lineRule="auto" w:line="240" w:before="0" w:after="0"/>
        <w:rPr>
          <w:color w:val="000000"/>
        </w:rPr>
      </w:pPr>
      <w:r>
        <w:rPr>
          <w:color w:val="000000"/>
        </w:rPr>
        <w:t> </w:t>
      </w:r>
    </w:p>
    <w:p>
      <w:pPr>
        <w:pStyle w:val="TextBody"/>
        <w:spacing w:before="0" w:after="0"/>
        <w:rPr/>
      </w:pPr>
      <w:r>
        <w:rPr/>
      </w:r>
    </w:p>
    <w:p>
      <w:pPr>
        <w:pStyle w:val="TextBody"/>
        <w:spacing w:lineRule="auto" w:line="240" w:before="120" w:after="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66"/>
        <w:gridCol w:w="2873"/>
        <w:gridCol w:w="4066"/>
      </w:tblGrid>
      <w:tr>
        <w:trPr/>
        <w:tc>
          <w:tcPr>
            <w:tcW w:w="3266"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12" w:space="0" w:color="000000"/>
              <w:left w:val="single" w:sz="12" w:space="0" w:color="000000"/>
              <w:right w:val="single" w:sz="12" w:space="0" w:color="000000"/>
            </w:tcBorders>
            <w:shd w:fill="auto" w:val="clear"/>
            <w:tcMar>
              <w:top w:w="30" w:type="dxa"/>
              <w:bottom w:w="0" w:type="dxa"/>
            </w:tcMar>
            <w:vAlign w:val="center"/>
          </w:tcPr>
          <w:p>
            <w:pPr>
              <w:pStyle w:val="TableContents"/>
              <w:spacing w:lineRule="auto" w:line="240" w:before="0" w:after="0"/>
              <w:jc w:val="left"/>
              <w:rPr>
                <w:color w:val="000000"/>
              </w:rPr>
            </w:pPr>
            <w:r>
              <w:rPr>
                <w:color w:val="000000"/>
              </w:rPr>
              <w:t>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w:t>
            </w:r>
          </w:p>
          <w:p>
            <w:pPr>
              <w:pStyle w:val="TableContents"/>
              <w:spacing w:lineRule="auto" w:line="240" w:before="0" w:after="0"/>
              <w:jc w:val="center"/>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ableContents"/>
              <w:spacing w:before="0" w:after="0"/>
              <w:ind w:left="0" w:right="0" w:firstLine="360"/>
              <w:jc w:val="both"/>
              <w:rPr/>
            </w:pPr>
            <w:r>
              <w:rPr/>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ableContents"/>
              <w:spacing w:before="0" w:after="0"/>
              <w:ind w:left="0" w:right="0" w:firstLine="360"/>
              <w:jc w:val="both"/>
              <w:rPr/>
            </w:pPr>
            <w:r>
              <w:rPr/>
            </w:r>
          </w:p>
          <w:p>
            <w:pPr>
              <w:pStyle w:val="TableContents"/>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w:t>
            </w:r>
          </w:p>
          <w:p>
            <w:pPr>
              <w:pStyle w:val="TableContents"/>
              <w:spacing w:before="0" w:after="0"/>
              <w:ind w:left="0" w:right="0" w:firstLine="360"/>
              <w:jc w:val="both"/>
              <w:rPr/>
            </w:pPr>
            <w:r>
              <w:rPr/>
            </w:r>
          </w:p>
          <w:p>
            <w:pPr>
              <w:pStyle w:val="TableContents"/>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tc>
      </w:tr>
      <w:tr>
        <w:trPr/>
        <w:tc>
          <w:tcPr>
            <w:tcW w:w="10205" w:type="dxa"/>
            <w:gridSpan w:val="3"/>
            <w:tcBorders>
              <w:top w:val="single" w:sz="4" w:space="0" w:color="000000"/>
              <w:left w:val="single" w:sz="4" w:space="0" w:color="000000"/>
              <w:bottom w:val="single" w:sz="12" w:space="0" w:color="000000"/>
              <w:right w:val="single" w:sz="4"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Warrant Exchange</w:t>
            </w:r>
          </w:p>
          <w:p>
            <w:pPr>
              <w:pStyle w:val="TableContents"/>
              <w:spacing w:before="0" w:after="0"/>
              <w:jc w:val="both"/>
              <w:rPr/>
            </w:pPr>
            <w:r>
              <w:rPr/>
            </w:r>
          </w:p>
          <w:p>
            <w:pPr>
              <w:pStyle w:val="TableContents"/>
              <w:spacing w:lineRule="auto" w:line="240" w:before="0" w:after="0"/>
              <w:jc w:val="both"/>
              <w:rPr/>
            </w:pPr>
            <w:r>
              <w:rPr>
                <w:color w:val="000000"/>
              </w:rPr>
              <w:t>    </w:t>
            </w:r>
            <w:r>
              <w:rPr>
                <w:rFonts w:ascii="Times New Roman;sans-serif" w:hAnsi="Times New Roman;sans-serif"/>
                <w:b w:val="false"/>
                <w:color w:val="000000"/>
                <w:sz w:val="20"/>
              </w:rPr>
              <w:t>On November 18, 2022, the Company announced the commencement of an exchange offer (the “Offer”) and consent solicitation relating to its outstanding (i) public warrants to purchase shares of Class A common stock of the Company, par value $0.0001 per share which warrants traded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w:t>
            </w:r>
            <w:r>
              <w:rPr>
                <w:color w:val="000000"/>
              </w:rPr>
              <w:t xml:space="preserve"> </w:t>
            </w:r>
            <w:r>
              <w:rPr>
                <w:rFonts w:ascii="Times New Roman;sans-serif" w:hAnsi="Times New Roman;sans-serif"/>
                <w:b w:val="false"/>
                <w:color w:val="000000"/>
                <w:sz w:val="20"/>
              </w:rPr>
              <w:t>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12" w:space="0" w:color="000000"/>
              <w:left w:val="single" w:sz="12" w:space="0" w:color="000000"/>
              <w:bottom w:val="single" w:sz="12" w:space="0" w:color="000000"/>
              <w:right w:val="single" w:sz="12" w:space="0" w:color="000000"/>
            </w:tcBorders>
            <w:shd w:fill="auto" w:val="clear"/>
            <w:tcMar>
              <w:top w:w="30" w:type="dxa"/>
              <w:bottom w:w="30" w:type="dxa"/>
            </w:tcMar>
            <w:vAlign w:val="center"/>
          </w:tcPr>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Capture and Conversion Business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Dispensing and Monetization Business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 </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Hydrogen Fuel</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for further detail of our projects.</w:t>
            </w:r>
          </w:p>
          <w:p>
            <w:pPr>
              <w:pStyle w:val="TableContents"/>
              <w:spacing w:lineRule="auto" w:line="240" w:before="0" w:after="0"/>
              <w:jc w:val="both"/>
              <w:rPr>
                <w:color w:val="000000"/>
              </w:rPr>
            </w:pPr>
            <w:r>
              <w:rPr>
                <w:color w:val="000000"/>
              </w:rPr>
              <w:t> </w:t>
            </w:r>
          </w:p>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i/>
                <w:color w:val="000000"/>
                <w:sz w:val="20"/>
              </w:rPr>
              <w:t>Promoting the reduction of methane and GHG emissions and expanding the use of renewable fuels to displace fossil-based fuels</w:t>
            </w:r>
            <w:r>
              <w:rPr>
                <w:rFonts w:ascii="Times New Roman;sans-serif" w:hAnsi="Times New Roman;sans-serif"/>
                <w:b w:val="false"/>
                <w:color w:val="000000"/>
                <w:sz w:val="20"/>
              </w:rPr>
              <w:t>: 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i/>
                <w:color w:val="000000"/>
                <w:sz w:val="20"/>
              </w:rPr>
              <w:t>Expanding our industry position as a full-service partner for development opportunities, including through strategic transactions</w:t>
            </w:r>
            <w:r>
              <w:rPr>
                <w:rFonts w:ascii="Times New Roman;sans-serif" w:hAnsi="Times New Roman;sans-serif"/>
                <w:b w:val="false"/>
                <w:color w:val="000000"/>
                <w:sz w:val="20"/>
              </w:rPr>
              <w:t>: 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i/>
                <w:color w:val="000000"/>
                <w:sz w:val="20"/>
              </w:rPr>
              <w:t>Expanding our capabilities to new feedstock sources and technologies</w:t>
            </w:r>
            <w:r>
              <w:rPr>
                <w:rFonts w:ascii="Times New Roman;sans-serif" w:hAnsi="Times New Roman;sans-serif"/>
                <w:b w:val="false"/>
                <w:color w:val="000000"/>
                <w:sz w:val="20"/>
              </w:rPr>
              <w:t>: We believe we will be 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tc>
      </w:tr>
    </w:tbl>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i/>
                <w:color w:val="000000"/>
                <w:sz w:val="20"/>
              </w:rPr>
              <w:t>Empowering our customers to achieve their sustainability and carbon reduction objectives</w:t>
            </w:r>
            <w:r>
              <w:rPr>
                <w:rFonts w:ascii="Times New Roman;sans-serif" w:hAnsi="Times New Roman;sans-serif"/>
                <w:b w:val="false"/>
                <w:color w:val="000000"/>
                <w:sz w:val="20"/>
              </w:rPr>
              <w:t>: We are well positioned to empower our 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Corporation Information</w:t>
      </w:r>
    </w:p>
    <w:p>
      <w:pPr>
        <w:pStyle w:val="TextBody"/>
        <w:spacing w:before="0" w:after="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We are a Delaware corporation. Our principal executive offices are located at One North Lexington Avenue, Suite 1450, White Plains, New York 10601 and our telephone number is (914) 705-4000. Our website is </w:t>
      </w:r>
      <w:r>
        <w:rPr>
          <w:rFonts w:ascii="Times New Roman;sans-serif" w:hAnsi="Times New Roman;sans-serif"/>
          <w:b w:val="false"/>
          <w:i/>
          <w:color w:val="000000"/>
          <w:sz w:val="20"/>
        </w:rPr>
        <w:t>www.opalfuels.com</w:t>
      </w:r>
      <w:r>
        <w:rPr>
          <w:rFonts w:ascii="Times New Roman;sans-serif" w:hAnsi="Times New Roman;sans-serif"/>
          <w:b w:val="false"/>
          <w:color w:val="000000"/>
          <w:sz w:val="20"/>
        </w:rPr>
        <w:t>. Our website and the information contained on, or accessed through, its website are not part of this prospectus, and you should rely only on the information contained in this prospectus when making a decision as to whether to invest in our securities.</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3267"/>
        <w:gridCol w:w="2869"/>
        <w:gridCol w:w="4069"/>
      </w:tblGrid>
      <w:tr>
        <w:trPr/>
        <w:tc>
          <w:tcPr>
            <w:tcW w:w="3267"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12" w:space="0" w:color="000000"/>
              <w:left w:val="single" w:sz="12" w:space="0" w:color="000000"/>
              <w:bottom w:val="single" w:sz="12" w:space="0" w:color="000000"/>
              <w:right w:val="single" w:sz="12" w:space="0" w:color="000000"/>
            </w:tcBorders>
            <w:shd w:fill="auto" w:val="clear"/>
            <w:tcMar>
              <w:top w:w="30" w:type="dxa"/>
              <w:bottom w:w="3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ableContents"/>
              <w:spacing w:lineRule="auto" w:line="240" w:before="0" w:after="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beginning on page 14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ableContents"/>
              <w:spacing w:lineRule="auto" w:line="240" w:before="0" w:after="0"/>
              <w:jc w:val="both"/>
              <w:rPr>
                <w:color w:val="000000"/>
              </w:rPr>
            </w:pPr>
            <w:r>
              <w:rPr>
                <w:color w:val="000000"/>
              </w:rPr>
              <w:t> </w:t>
            </w:r>
          </w:p>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Related to Our Third Party Relationships and Government Regulation of Our Business</w:t>
            </w:r>
          </w:p>
          <w:p>
            <w:pPr>
              <w:pStyle w:val="TableContents"/>
              <w:spacing w:lineRule="auto" w:line="240" w:before="0" w:after="0"/>
              <w:jc w:val="both"/>
              <w:rPr>
                <w:color w:val="000000"/>
              </w:rPr>
            </w:pPr>
            <w:r>
              <w:rPr>
                <w:color w:val="000000"/>
              </w:rPr>
              <w:t> </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associated with litigation or administrative proceedings that could materially impact our operations, including proceedings in the future related to projects we subsequently acquire.</w:t>
            </w:r>
          </w:p>
        </w:tc>
      </w:tr>
    </w:tbl>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Market Risks Related to Our Business</w:t>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volatility in the price of oil, gasoline, diesel, natural gas, RNG or Environmental Attributes could adversely affect our business;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forward-sale and hedging arrangements, to mitigate certain risks, but the use of such arrangements could have a material adverse effect on our results of operations.</w:t>
            </w:r>
          </w:p>
        </w:tc>
      </w:tr>
    </w:tbl>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5189" w:type="dxa"/>
        <w:jc w:val="left"/>
        <w:tblInd w:w="0" w:type="dxa"/>
        <w:tblCellMar>
          <w:top w:w="28" w:type="dxa"/>
          <w:left w:w="28" w:type="dxa"/>
          <w:bottom w:w="28" w:type="dxa"/>
          <w:right w:w="28" w:type="dxa"/>
        </w:tblCellMar>
      </w:tblPr>
      <w:tblGrid>
        <w:gridCol w:w="1660"/>
        <w:gridCol w:w="1460"/>
        <w:gridCol w:w="2069"/>
      </w:tblGrid>
      <w:tr>
        <w:trPr/>
        <w:tc>
          <w:tcPr>
            <w:tcW w:w="16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top w:val="single" w:sz="12" w:space="0" w:color="000000"/>
              <w:left w:val="single" w:sz="12" w:space="0" w:color="000000"/>
              <w:bottom w:val="single" w:sz="12" w:space="0" w:color="000000"/>
              <w:right w:val="single" w:sz="12"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Additional Risk Factors Relating to Our Business in General</w:t>
            </w:r>
          </w:p>
          <w:p>
            <w:pPr>
              <w:pStyle w:val="TableContents"/>
              <w:spacing w:lineRule="auto" w:line="240" w:before="0" w:after="0"/>
              <w:jc w:val="both"/>
              <w:rPr>
                <w:color w:val="000000"/>
              </w:rPr>
            </w:pPr>
            <w:r>
              <w:rPr>
                <w:color w:val="000000"/>
              </w:rPr>
              <w:t> </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tc>
      </w:tr>
    </w:tbl>
    <w:p>
      <w:pPr>
        <w:pStyle w:val="TextBody"/>
        <w:spacing w:lineRule="auto" w:line="240" w:before="0" w:after="0"/>
        <w:ind w:left="0" w:right="0" w:hanging="480"/>
        <w:jc w:val="both"/>
        <w:rPr>
          <w:color w:val="000000"/>
        </w:rPr>
      </w:pPr>
      <w:r>
        <w:rPr>
          <w:color w:val="000000"/>
        </w:rPr>
        <w:t> </w:t>
      </w:r>
    </w:p>
    <w:tbl>
      <w:tblPr>
        <w:tblW w:w="7673" w:type="dxa"/>
        <w:jc w:val="left"/>
        <w:tblInd w:w="0" w:type="dxa"/>
        <w:tblCellMar>
          <w:top w:w="28" w:type="dxa"/>
          <w:left w:w="28" w:type="dxa"/>
          <w:bottom w:w="28" w:type="dxa"/>
          <w:right w:w="28" w:type="dxa"/>
        </w:tblCellMar>
      </w:tblPr>
      <w:tblGrid>
        <w:gridCol w:w="124"/>
        <w:gridCol w:w="109"/>
        <w:gridCol w:w="109"/>
        <w:gridCol w:w="109"/>
        <w:gridCol w:w="109"/>
        <w:gridCol w:w="109"/>
        <w:gridCol w:w="2050"/>
        <w:gridCol w:w="2050"/>
        <w:gridCol w:w="290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90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history of accounting losses and may incur additional losses in the future;</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capital-intensive business and are pursuing a business plan requiring significant access to capital. We may fail to get access to said capital in a timely manner or obtain capital at unfavorable terms.</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relationships with our counterparties and suppliers may experience disruptions in connection with the Business Combination, which may limit our business;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timely and effectively implement controls and procedures required by Section 404(a) of the Sarbanes-Oxley Act could have a material adverse effect on our business;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comply with the continued listing standards of Nasdaq.</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Implications of Being an Emerging Growth Company and a Smaller Reporting Company</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tc>
      </w:tr>
    </w:tbl>
    <w:p>
      <w:pPr>
        <w:pStyle w:val="TextBody"/>
        <w:spacing w:lineRule="auto" w:line="240" w:before="0" w:after="0"/>
        <w:ind w:left="0" w:right="0" w:hanging="480"/>
        <w:jc w:val="both"/>
        <w:rPr>
          <w:color w:val="000000"/>
        </w:rPr>
      </w:pPr>
      <w:r>
        <w:rPr>
          <w:color w:val="000000"/>
        </w:rPr>
        <w:t> </w:t>
      </w:r>
    </w:p>
    <w:tbl>
      <w:tblPr>
        <w:tblW w:w="9968" w:type="dxa"/>
        <w:jc w:val="left"/>
        <w:tblInd w:w="0" w:type="dxa"/>
        <w:tblCellMar>
          <w:top w:w="28" w:type="dxa"/>
          <w:left w:w="28" w:type="dxa"/>
          <w:bottom w:w="28" w:type="dxa"/>
          <w:right w:w="28" w:type="dxa"/>
        </w:tblCellMar>
      </w:tblPr>
      <w:tblGrid>
        <w:gridCol w:w="124"/>
        <w:gridCol w:w="109"/>
        <w:gridCol w:w="109"/>
        <w:gridCol w:w="109"/>
        <w:gridCol w:w="109"/>
        <w:gridCol w:w="109"/>
        <w:gridCol w:w="2719"/>
        <w:gridCol w:w="2719"/>
        <w:gridCol w:w="38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9" w:type="dxa"/>
            <w:tcBorders/>
            <w:shd w:fill="auto" w:val="clear"/>
            <w:vAlign w:val="center"/>
          </w:tcPr>
          <w:p>
            <w:pPr>
              <w:pStyle w:val="TableContents"/>
              <w:spacing w:before="0" w:after="283"/>
              <w:rPr>
                <w:sz w:val="4"/>
                <w:szCs w:val="4"/>
              </w:rPr>
            </w:pPr>
            <w:r>
              <w:rPr>
                <w:sz w:val="4"/>
                <w:szCs w:val="4"/>
              </w:rPr>
            </w:r>
          </w:p>
        </w:tc>
        <w:tc>
          <w:tcPr>
            <w:tcW w:w="2719" w:type="dxa"/>
            <w:tcBorders/>
            <w:shd w:fill="auto" w:val="clear"/>
            <w:vAlign w:val="center"/>
          </w:tcPr>
          <w:p>
            <w:pPr>
              <w:pStyle w:val="TableContents"/>
              <w:spacing w:before="0" w:after="283"/>
              <w:rPr>
                <w:sz w:val="4"/>
                <w:szCs w:val="4"/>
              </w:rPr>
            </w:pPr>
            <w:r>
              <w:rPr>
                <w:sz w:val="4"/>
                <w:szCs w:val="4"/>
              </w:rPr>
            </w:r>
          </w:p>
        </w:tc>
        <w:tc>
          <w:tcPr>
            <w:tcW w:w="38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2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being required to comply with the auditor attestation requirements of Section 404 of the Sarbanes-Oxley Act;</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reduced disclosure obligations regarding executive compensation in our periodic reports, proxy statements, and registration statements, including in this prospectus;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not being required to comply with any requirement that may be adopted by the Public Company Accounting Oversight Board (the “</w:t>
            </w:r>
            <w:r>
              <w:rPr>
                <w:rFonts w:ascii="Times New Roman;sans-serif" w:hAnsi="Times New Roman;sans-serif"/>
                <w:b/>
                <w:i/>
                <w:color w:val="000000"/>
                <w:sz w:val="20"/>
              </w:rPr>
              <w:t>PCAOB</w:t>
            </w:r>
            <w:r>
              <w:rPr>
                <w:color w:val="000000"/>
              </w:rPr>
              <w:t>”</w:t>
            </w:r>
            <w:r>
              <w:rPr>
                <w:rFonts w:ascii="Times New Roman;sans-serif" w:hAnsi="Times New Roman;sans-serif"/>
                <w:b w:val="false"/>
                <w:color w:val="000000"/>
                <w:sz w:val="20"/>
              </w:rPr>
              <w:t>) regarding mandatory audit firm rotation or a supplement to the auditor’s report providing additional information about the audit and the financial statements; and</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exemptions from the requirements of holding a nonbinding advisory vote on executive compensation and stockholder approval of any golden parachute payments not previously approved.</w:t>
            </w:r>
          </w:p>
        </w:tc>
      </w:tr>
    </w:tbl>
    <w:p>
      <w:pPr>
        <w:pStyle w:val="TextBody"/>
        <w:spacing w:lineRule="auto" w:line="240" w:before="0" w:after="0"/>
        <w:ind w:left="0" w:right="0" w:hanging="48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 </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264"/>
        <w:gridCol w:w="2872"/>
        <w:gridCol w:w="4069"/>
      </w:tblGrid>
      <w:tr>
        <w:trPr/>
        <w:tc>
          <w:tcPr>
            <w:tcW w:w="3264"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12" w:space="0" w:color="000000"/>
              <w:left w:val="single" w:sz="12" w:space="0" w:color="000000"/>
              <w:bottom w:val="single" w:sz="12" w:space="0" w:color="000000"/>
              <w:right w:val="single" w:sz="12" w:space="0" w:color="000000"/>
            </w:tcBorders>
            <w:shd w:fill="auto" w:val="clear"/>
            <w:tcMar>
              <w:top w:w="30" w:type="dxa"/>
              <w:bottom w:w="30" w:type="dxa"/>
            </w:tcMar>
            <w:vAlign w:val="center"/>
          </w:tcPr>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pStyle w:val="TableContents"/>
              <w:spacing w:lineRule="auto" w:line="240" w:before="0" w:after="0"/>
              <w:jc w:val="left"/>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ableContents"/>
              <w:spacing w:lineRule="auto" w:line="240" w:before="0" w:after="0"/>
              <w:ind w:left="0" w:right="0" w:firstLine="360"/>
              <w:jc w:val="both"/>
              <w:rPr>
                <w:color w:val="000000"/>
              </w:rPr>
            </w:pPr>
            <w:r>
              <w:rPr>
                <w:color w:val="000000"/>
              </w:rPr>
              <w:t> </w:t>
            </w:r>
          </w:p>
          <w:p>
            <w:pPr>
              <w:pStyle w:val="TableContents"/>
              <w:spacing w:lineRule="auto" w:line="240" w:before="0" w:after="0"/>
              <w:ind w:left="0" w:right="0" w:firstLine="360"/>
              <w:jc w:val="both"/>
              <w:rPr/>
            </w:pPr>
            <w:r>
              <w:rPr>
                <w:rFonts w:ascii="Times New Roman;sans-serif" w:hAnsi="Times New Roman;sans-serif"/>
                <w:b w:val="false"/>
                <w:color w:val="000000"/>
                <w:sz w:val="20"/>
              </w:rPr>
              <w:t>For additional information, see the section titled “</w:t>
            </w:r>
            <w:r>
              <w:rPr>
                <w:rFonts w:ascii="Times New Roman;sans-serif" w:hAnsi="Times New Roman;sans-serif"/>
                <w:b w:val="false"/>
                <w:i/>
                <w:color w:val="000000"/>
                <w:sz w:val="20"/>
              </w:rPr>
              <w:t>Risk Factors—Risks Related to the Company—We are an “emerging growth company,” and our election to comply with the reduced disclosure requirements as a public company may make our common stock less attractive to investors</w:t>
            </w:r>
            <w:r>
              <w:rPr>
                <w:rFonts w:ascii="Times New Roman;sans-serif" w:hAnsi="Times New Roman;sans-serif"/>
                <w:b w:val="false"/>
                <w:color w:val="000000"/>
                <w:sz w:val="20"/>
              </w:rPr>
              <w:t>.”</w:t>
            </w:r>
          </w:p>
          <w:p>
            <w:pPr>
              <w:pStyle w:val="TableContents"/>
              <w:spacing w:before="0" w:after="0"/>
              <w:jc w:val="left"/>
              <w:rPr/>
            </w:pPr>
            <w:r>
              <w:rPr/>
            </w:r>
          </w:p>
          <w:p>
            <w:pPr>
              <w:pStyle w:val="TableContents"/>
              <w:spacing w:lineRule="auto" w:line="240" w:before="0" w:after="0"/>
              <w:jc w:val="center"/>
              <w:rPr>
                <w:color w:val="000000"/>
              </w:rPr>
            </w:pPr>
            <w:r>
              <w:rPr>
                <w:color w:val="000000"/>
              </w:rPr>
              <w:t>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Offering</w:t>
            </w:r>
          </w:p>
        </w:tc>
      </w:tr>
    </w:tbl>
    <w:tbl>
      <w:tblPr>
        <w:tblW w:w="2383" w:type="dxa"/>
        <w:jc w:val="left"/>
        <w:tblInd w:w="0" w:type="dxa"/>
        <w:tblCellMar>
          <w:top w:w="28" w:type="dxa"/>
          <w:left w:w="28" w:type="dxa"/>
          <w:bottom w:w="28" w:type="dxa"/>
          <w:right w:w="28" w:type="dxa"/>
        </w:tblCellMar>
      </w:tblPr>
      <w:tblGrid>
        <w:gridCol w:w="212"/>
        <w:gridCol w:w="186"/>
        <w:gridCol w:w="188"/>
        <w:gridCol w:w="109"/>
        <w:gridCol w:w="109"/>
        <w:gridCol w:w="109"/>
        <w:gridCol w:w="430"/>
        <w:gridCol w:w="430"/>
        <w:gridCol w:w="610"/>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Inc.</w:t>
            </w:r>
          </w:p>
        </w:tc>
      </w:tr>
    </w:tbl>
    <w:p>
      <w:pPr>
        <w:pStyle w:val="TextBody"/>
        <w:spacing w:lineRule="auto" w:line="240" w:before="0" w:after="0"/>
        <w:rPr>
          <w:color w:val="000000"/>
        </w:rPr>
      </w:pPr>
      <w:r>
        <w:rPr>
          <w:color w:val="000000"/>
        </w:rPr>
        <w:t> </w:t>
      </w:r>
    </w:p>
    <w:tbl>
      <w:tblPr>
        <w:tblW w:w="9237" w:type="dxa"/>
        <w:jc w:val="left"/>
        <w:tblInd w:w="0" w:type="dxa"/>
        <w:tblCellMar>
          <w:top w:w="28" w:type="dxa"/>
          <w:left w:w="28" w:type="dxa"/>
          <w:bottom w:w="28" w:type="dxa"/>
          <w:right w:w="28" w:type="dxa"/>
        </w:tblCellMar>
      </w:tblPr>
      <w:tblGrid>
        <w:gridCol w:w="1229"/>
        <w:gridCol w:w="1077"/>
        <w:gridCol w:w="1084"/>
        <w:gridCol w:w="109"/>
        <w:gridCol w:w="109"/>
        <w:gridCol w:w="109"/>
        <w:gridCol w:w="1615"/>
        <w:gridCol w:w="1615"/>
        <w:gridCol w:w="2290"/>
      </w:tblGrid>
      <w:tr>
        <w:trPr/>
        <w:tc>
          <w:tcPr>
            <w:tcW w:w="122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2290"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offered by the Selling Holders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166,318,246 shares of Class A common stock, consisting of:</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10,838,609 shares of Class A common stock issued under the Business Combination Agreement to Ares, Sponsor and certain former directors of ArcLight originally acquired by such parties for an effective purchase price of approximately $0.003 per share;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144,399,037 shares of Class A common stock issuable upon the conversion of Class C common stock issuable to the Opco Common Equityholders upon the exchange of Opco Common Units and the cancellation of an equal number of shares of Class D common stock originally issued as consideration in connection with the Business Combination at a per share value of $10.00 per share;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11,080,600 shares of Class A common stock issued to the PIPE Investors at a purchase price of $10.00 per share.</w:t>
            </w:r>
          </w:p>
        </w:tc>
      </w:tr>
    </w:tbl>
    <w:p>
      <w:pPr>
        <w:pStyle w:val="TextBody"/>
        <w:spacing w:lineRule="auto" w:line="240" w:before="0" w:after="0"/>
        <w:jc w:val="center"/>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63"/>
        <w:gridCol w:w="320"/>
        <w:gridCol w:w="321"/>
        <w:gridCol w:w="109"/>
        <w:gridCol w:w="109"/>
        <w:gridCol w:w="109"/>
        <w:gridCol w:w="2592"/>
        <w:gridCol w:w="2592"/>
        <w:gridCol w:w="3690"/>
      </w:tblGrid>
      <w:tr>
        <w:trPr/>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2" w:type="dxa"/>
            <w:tcBorders/>
            <w:shd w:fill="auto" w:val="clear"/>
            <w:vAlign w:val="center"/>
          </w:tcPr>
          <w:p>
            <w:pPr>
              <w:pStyle w:val="TableContents"/>
              <w:spacing w:before="0" w:after="283"/>
              <w:rPr>
                <w:sz w:val="4"/>
                <w:szCs w:val="4"/>
              </w:rPr>
            </w:pPr>
            <w:r>
              <w:rPr>
                <w:sz w:val="4"/>
                <w:szCs w:val="4"/>
              </w:rPr>
            </w:r>
          </w:p>
        </w:tc>
        <w:tc>
          <w:tcPr>
            <w:tcW w:w="2592" w:type="dxa"/>
            <w:tcBorders/>
            <w:shd w:fill="auto" w:val="clear"/>
            <w:vAlign w:val="center"/>
          </w:tcPr>
          <w:p>
            <w:pPr>
              <w:pStyle w:val="TableContents"/>
              <w:spacing w:before="0" w:after="283"/>
              <w:rPr>
                <w:sz w:val="4"/>
                <w:szCs w:val="4"/>
              </w:rPr>
            </w:pPr>
            <w:r>
              <w:rPr>
                <w:sz w:val="4"/>
                <w:szCs w:val="4"/>
              </w:rPr>
            </w:r>
          </w:p>
        </w:tc>
        <w:tc>
          <w:tcPr>
            <w:tcW w:w="3690" w:type="dxa"/>
            <w:tcBorders/>
            <w:shd w:fill="auto" w:val="clear"/>
            <w:vAlign w:val="center"/>
          </w:tcPr>
          <w:p>
            <w:pPr>
              <w:pStyle w:val="TableContents"/>
              <w:spacing w:before="0" w:after="283"/>
              <w:rPr>
                <w:sz w:val="4"/>
                <w:szCs w:val="4"/>
              </w:rPr>
            </w:pPr>
            <w:r>
              <w:rPr>
                <w:sz w:val="4"/>
                <w:szCs w:val="4"/>
              </w:rPr>
            </w:r>
          </w:p>
        </w:tc>
      </w:tr>
      <w:tr>
        <w:trPr/>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shares of Class A common stock by the Selling Holders. We will bear all costs, expenses and fees in connection with the registration of the securities. The Selling Holders will bear all commissions and discounts, if any, attributable to their respective sales of the securities.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140"/>
        <w:gridCol w:w="1002"/>
        <w:gridCol w:w="1006"/>
        <w:gridCol w:w="109"/>
        <w:gridCol w:w="109"/>
        <w:gridCol w:w="109"/>
        <w:gridCol w:w="1969"/>
        <w:gridCol w:w="1969"/>
        <w:gridCol w:w="2792"/>
      </w:tblGrid>
      <w:tr>
        <w:trPr/>
        <w:tc>
          <w:tcPr>
            <w:tcW w:w="114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r>
      <w:tr>
        <w:trPr/>
        <w:tc>
          <w:tcPr>
            <w:tcW w:w="3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our shares of common stock</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for trading on Nasdaq under the symbol “OPAL”.</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14"/>
        <w:gridCol w:w="276"/>
        <w:gridCol w:w="278"/>
        <w:gridCol w:w="109"/>
        <w:gridCol w:w="109"/>
        <w:gridCol w:w="109"/>
        <w:gridCol w:w="2635"/>
        <w:gridCol w:w="2635"/>
        <w:gridCol w:w="3740"/>
      </w:tblGrid>
      <w:tr>
        <w:trPr/>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c>
          <w:tcPr>
            <w:tcW w:w="3740" w:type="dxa"/>
            <w:tcBorders/>
            <w:shd w:fill="auto" w:val="clear"/>
            <w:vAlign w:val="center"/>
          </w:tcPr>
          <w:p>
            <w:pPr>
              <w:pStyle w:val="TableContents"/>
              <w:spacing w:before="0" w:after="283"/>
              <w:rPr>
                <w:sz w:val="4"/>
                <w:szCs w:val="4"/>
              </w:rPr>
            </w:pPr>
            <w:r>
              <w:rPr>
                <w:sz w:val="4"/>
                <w:szCs w:val="4"/>
              </w:rPr>
            </w:r>
          </w:p>
        </w:tc>
      </w:tr>
      <w:tr>
        <w:trPr/>
        <w:tc>
          <w:tcPr>
            <w:tcW w:w="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Any investment in the securities offered hereby is speculative and involves a high degree of risk. You should carefully consider the information set forth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elsewhere in this prospectus.</w:t>
            </w:r>
          </w:p>
        </w:tc>
      </w:tr>
    </w:tbl>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MARKET PRICE, TICKER SYMBOL, AND DIVIDEND INFORMATION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OPAL’s Class A common stock is listed for trading on Nasdaq under the symbol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closing price of the Class A common stock on April 28, 2023 was $7.99. Holders of Class A common stock should obtain current market quotations for their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pStyle w:val="TextBody"/>
        <w:spacing w:lineRule="auto" w:line="240" w:before="0" w:after="0"/>
        <w:rPr>
          <w:color w:val="000000"/>
        </w:rPr>
      </w:pPr>
      <w:r>
        <w:rPr>
          <w:color w:val="000000"/>
        </w:rPr>
        <w:t>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Third Party Relationships and Government Regulation of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In addition, the biogas rights are typically specific to the right to produce electricity generated from renewable sources (“</w:t>
      </w:r>
      <w:r>
        <w:rPr>
          <w:rFonts w:ascii="Times New Roman;sans-serif" w:hAnsi="Times New Roman;sans-serif"/>
          <w:b/>
          <w:i/>
          <w:color w:val="000000"/>
          <w:sz w:val="20"/>
        </w:rPr>
        <w:t>Renewable Power</w:t>
      </w:r>
      <w:r>
        <w:rPr>
          <w:color w:val="000000"/>
        </w:rPr>
        <w:t>”</w:t>
      </w:r>
      <w:r>
        <w:rPr>
          <w:rFonts w:ascii="Times New Roman;sans-serif" w:hAnsi="Times New Roman;sans-serif"/>
          <w:b w:val="false"/>
          <w:color w:val="000000"/>
          <w:sz w:val="20"/>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owners and operators of biogas project sites generally make no warranties to us as to the quality or quantity of gas produced.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maintaining good relationships with biogas conversion project site owners and operators. As a result, our business may be adversely affected if we are unable to maintain these relationships.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sans-serif" w:hAnsi="Times New Roman;sans-serif"/>
          <w:b/>
          <w:i/>
          <w:color w:val="000000"/>
          <w:sz w:val="20"/>
        </w:rPr>
        <w:t>Advanced Clean Trucks Regulation</w:t>
      </w:r>
      <w:r>
        <w:rPr>
          <w:color w:val="000000"/>
        </w:rPr>
        <w:t>”</w:t>
      </w:r>
      <w:r>
        <w:rPr>
          <w:rFonts w:ascii="Times New Roman;sans-serif" w:hAnsi="Times New Roman;sans-serif"/>
          <w:b w:val="false"/>
          <w:color w:val="000000"/>
          <w:sz w:val="20"/>
        </w:rPr>
        <w:t>) and Executive Order N-79-20 issued by the Governor of the State of California in September 2020 (the “</w:t>
      </w:r>
      <w:r>
        <w:rPr>
          <w:rFonts w:ascii="Times New Roman;sans-serif" w:hAnsi="Times New Roman;sans-serif"/>
          <w:b/>
          <w:i/>
          <w:color w:val="000000"/>
          <w:sz w:val="20"/>
        </w:rPr>
        <w:t>September 2020 Executive Order</w:t>
      </w:r>
      <w:r>
        <w:rPr>
          <w:color w:val="000000"/>
        </w:rPr>
        <w:t>”</w:t>
      </w:r>
      <w:r>
        <w:rPr>
          <w:rFonts w:ascii="Times New Roman;sans-serif" w:hAnsi="Times New Roman;sans-serif"/>
          <w:b w:val="false"/>
          <w:color w:val="000000"/>
          <w:sz w:val="20"/>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U.S. Environmental Protection Agency (“</w:t>
      </w:r>
      <w:r>
        <w:rPr>
          <w:rFonts w:ascii="Times New Roman;sans-serif" w:hAnsi="Times New Roman;sans-serif"/>
          <w:b/>
          <w:i/>
          <w:color w:val="000000"/>
          <w:sz w:val="20"/>
        </w:rPr>
        <w:t>EPA</w:t>
      </w:r>
      <w:r>
        <w:rPr>
          <w:color w:val="000000"/>
        </w:rPr>
        <w:t>”</w:t>
      </w:r>
      <w:r>
        <w:rPr>
          <w:rFonts w:ascii="Times New Roman;sans-serif" w:hAnsi="Times New Roman;sans-serif"/>
          <w:b w:val="false"/>
          <w:color w:val="000000"/>
          <w:sz w:val="20"/>
        </w:rPr>
        <w:t>) annually sets proposed and actual renewable volume obligations (“</w:t>
      </w:r>
      <w:r>
        <w:rPr>
          <w:rFonts w:ascii="Times New Roman;sans-serif" w:hAnsi="Times New Roman;sans-serif"/>
          <w:b/>
          <w:i/>
          <w:color w:val="000000"/>
          <w:sz w:val="20"/>
        </w:rPr>
        <w:t>RVOs</w:t>
      </w:r>
      <w:r>
        <w:rPr>
          <w:color w:val="000000"/>
        </w:rPr>
        <w:t>”</w:t>
      </w:r>
      <w:r>
        <w:rPr>
          <w:rFonts w:ascii="Times New Roman;sans-serif" w:hAnsi="Times New Roman;sans-serif"/>
          <w:b w:val="false"/>
          <w:color w:val="000000"/>
          <w:sz w:val="20"/>
        </w:rPr>
        <w:t>) for the Renewable Identification Numbers (“</w:t>
      </w:r>
      <w:r>
        <w:rPr>
          <w:rFonts w:ascii="Times New Roman;sans-serif" w:hAnsi="Times New Roman;sans-serif"/>
          <w:b/>
          <w:i/>
          <w:color w:val="000000"/>
          <w:sz w:val="20"/>
        </w:rPr>
        <w:t>RIN</w:t>
      </w:r>
      <w:r>
        <w:rPr>
          <w:color w:val="000000"/>
        </w:rPr>
        <w:t>”</w:t>
      </w:r>
      <w:r>
        <w:rPr>
          <w:rFonts w:ascii="Times New Roman;sans-serif" w:hAnsi="Times New Roman;sans-serif"/>
          <w:b w:val="false"/>
          <w:color w:val="000000"/>
          <w:sz w:val="20"/>
        </w:rPr>
        <w:t>) market in accordance with the mandates established by the Energy Independence and Security Act of 2007 (the “</w:t>
      </w:r>
      <w:r>
        <w:rPr>
          <w:rFonts w:ascii="Times New Roman;sans-serif" w:hAnsi="Times New Roman;sans-serif"/>
          <w:b/>
          <w:i/>
          <w:color w:val="000000"/>
          <w:sz w:val="20"/>
        </w:rPr>
        <w:t>EISA</w:t>
      </w:r>
      <w:r>
        <w:rPr>
          <w:color w:val="000000"/>
        </w:rPr>
        <w:t>”</w:t>
      </w:r>
      <w:r>
        <w:rPr>
          <w:rFonts w:ascii="Times New Roman;sans-serif" w:hAnsi="Times New Roman;sans-serif"/>
          <w:b w:val="false"/>
          <w:color w:val="000000"/>
          <w:sz w:val="20"/>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sans-serif" w:hAnsi="Times New Roman;sans-serif"/>
          <w:b/>
          <w:i/>
          <w:color w:val="000000"/>
          <w:sz w:val="20"/>
        </w:rPr>
        <w:t>RFS</w:t>
      </w:r>
      <w:r>
        <w:rPr>
          <w:color w:val="000000"/>
        </w:rPr>
        <w:t>”</w:t>
      </w:r>
      <w:r>
        <w:rPr>
          <w:rFonts w:ascii="Times New Roman;sans-serif" w:hAnsi="Times New Roman;sans-serif"/>
          <w:b w:val="false"/>
          <w:color w:val="000000"/>
          <w:sz w:val="20"/>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val="false"/>
          <w:color w:val="000000"/>
          <w:sz w:val="20"/>
        </w:rPr>
        <w:t>On the state level, the economics of RNG are enhanced by low-carbon fuel initiatives, particularly a well-established Low Carbon Fuel Standard (“</w:t>
      </w:r>
      <w:r>
        <w:rPr>
          <w:rFonts w:ascii="Times New Roman;sans-serif" w:hAnsi="Times New Roman;sans-serif"/>
          <w:b/>
          <w:i/>
          <w:color w:val="000000"/>
          <w:sz w:val="20"/>
        </w:rPr>
        <w:t>LCFS</w:t>
      </w:r>
      <w:r>
        <w:rPr>
          <w:color w:val="000000"/>
        </w:rPr>
        <w:t>”</w:t>
      </w:r>
      <w:r>
        <w:rPr>
          <w:rFonts w:ascii="Times New Roman;sans-serif" w:hAnsi="Times New Roman;sans-serif"/>
          <w:b w:val="false"/>
          <w:color w:val="000000"/>
          <w:sz w:val="20"/>
        </w:rPr>
        <w:t>) program in California and similar developing programs in Oregon and Washington (with several other states also actively considering similar initiatives). In California’s case, in 2009, the California Air Resource Board (“</w:t>
      </w:r>
      <w:r>
        <w:rPr>
          <w:rFonts w:ascii="Times New Roman;sans-serif" w:hAnsi="Times New Roman;sans-serif"/>
          <w:b/>
          <w:i/>
          <w:color w:val="000000"/>
          <w:sz w:val="20"/>
        </w:rPr>
        <w:t>CARB</w:t>
      </w:r>
      <w:r>
        <w:rPr>
          <w:color w:val="000000"/>
        </w:rPr>
        <w:t>”</w:t>
      </w:r>
      <w:r>
        <w:rPr>
          <w:rFonts w:ascii="Times New Roman;sans-serif" w:hAnsi="Times New Roman;sans-serif"/>
          <w:b w:val="false"/>
          <w:color w:val="000000"/>
          <w:sz w:val="20"/>
        </w:rPr>
        <w:t>) adopted LCFS regulations aimed at reducing the Carbon Intensity (“</w:t>
      </w:r>
      <w:r>
        <w:rPr>
          <w:rFonts w:ascii="Times New Roman;sans-serif" w:hAnsi="Times New Roman;sans-serif"/>
          <w:b/>
          <w:i/>
          <w:color w:val="000000"/>
          <w:sz w:val="20"/>
        </w:rPr>
        <w:t>CI</w:t>
      </w:r>
      <w:r>
        <w:rPr>
          <w:color w:val="000000"/>
        </w:rPr>
        <w:t>”</w:t>
      </w:r>
      <w:r>
        <w:rPr>
          <w:rFonts w:ascii="Times New Roman;sans-serif" w:hAnsi="Times New Roman;sans-serif"/>
          <w:b w:val="false"/>
          <w:color w:val="000000"/>
          <w:sz w:val="20"/>
        </w:rPr>
        <w:t>) of transportation fuel sold and purchased in the state. A CI score is calculated as grams of CO</w:t>
      </w:r>
      <w:r>
        <w:rPr>
          <w:color w:val="000000"/>
        </w:rPr>
        <w:t xml:space="preserve">₂ </w:t>
      </w:r>
      <w:r>
        <w:rPr>
          <w:rFonts w:ascii="Times New Roman;sans-serif" w:hAnsi="Times New Roman;sans-serif"/>
          <w:b w:val="false"/>
          <w:color w:val="000000"/>
          <w:sz w:val="20"/>
        </w:rPr>
        <w:t>equivalent per megajoule of energy by the fuel. Under the California and California-type LCFS programs, the CI score is dependent upon a full lifecycle analysis that evaluates the greenhouse gases (“</w:t>
      </w:r>
      <w:r>
        <w:rPr>
          <w:rFonts w:ascii="Times New Roman;sans-serif" w:hAnsi="Times New Roman;sans-serif"/>
          <w:b/>
          <w:i/>
          <w:color w:val="000000"/>
          <w:sz w:val="20"/>
        </w:rPr>
        <w:t>GHG</w:t>
      </w:r>
      <w:r>
        <w:rPr>
          <w:color w:val="000000"/>
        </w:rPr>
        <w:t>”</w:t>
      </w:r>
      <w:r>
        <w:rPr>
          <w:rFonts w:ascii="Times New Roman;sans-serif" w:hAnsi="Times New Roman;sans-serif"/>
          <w:b w:val="false"/>
          <w:color w:val="000000"/>
          <w:sz w:val="20"/>
        </w:rPr>
        <w:t xml:space="preserve">)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generated from our Biogas Conversion Projects. Moreover, the inability to sell LCFS credits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All of our current electric generating facilities are qualifying small power production facilities (“</w:t>
      </w:r>
      <w:r>
        <w:rPr>
          <w:rFonts w:ascii="Times New Roman;sans-serif" w:hAnsi="Times New Roman;sans-serif"/>
          <w:b/>
          <w:i/>
          <w:color w:val="000000"/>
          <w:sz w:val="20"/>
        </w:rPr>
        <w:t>QFs</w:t>
      </w:r>
      <w:r>
        <w:rPr>
          <w:color w:val="000000"/>
        </w:rPr>
        <w:t>”</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sans-serif" w:hAnsi="Times New Roman;sans-serif"/>
          <w:b/>
          <w:i/>
          <w:color w:val="000000"/>
          <w:sz w:val="20"/>
        </w:rPr>
        <w:t>MBR Authority</w:t>
      </w:r>
      <w:r>
        <w:rPr>
          <w:color w:val="000000"/>
        </w:rPr>
        <w:t>”</w:t>
      </w:r>
      <w:r>
        <w:rPr>
          <w:rFonts w:ascii="Times New Roman;sans-serif" w:hAnsi="Times New Roman;sans-serif"/>
          <w:b w:val="false"/>
          <w:color w:val="000000"/>
          <w:sz w:val="20"/>
        </w:rPr>
        <w:t>) or any other approval from the U.S. Federal Energy Regulatory Commission (“</w:t>
      </w:r>
      <w:r>
        <w:rPr>
          <w:rFonts w:ascii="Times New Roman;sans-serif" w:hAnsi="Times New Roman;sans-serif"/>
          <w:b/>
          <w:i/>
          <w:color w:val="000000"/>
          <w:sz w:val="20"/>
        </w:rPr>
        <w:t>FERC</w:t>
      </w:r>
      <w:r>
        <w:rPr>
          <w:color w:val="000000"/>
        </w:rPr>
        <w:t>”</w:t>
      </w:r>
      <w:r>
        <w:rPr>
          <w:rFonts w:ascii="Times New Roman;sans-serif" w:hAnsi="Times New Roman;sans-serif"/>
          <w:b w:val="false"/>
          <w:color w:val="000000"/>
          <w:sz w:val="20"/>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sans-serif" w:hAnsi="Times New Roman;sans-serif"/>
          <w:b/>
          <w:i/>
          <w:color w:val="000000"/>
          <w:sz w:val="20"/>
        </w:rPr>
        <w:t>RPS</w:t>
      </w:r>
      <w:r>
        <w:rPr>
          <w:color w:val="000000"/>
        </w:rPr>
        <w:t>”</w:t>
      </w:r>
      <w:r>
        <w:rPr>
          <w:rFonts w:ascii="Times New Roman;sans-serif" w:hAnsi="Times New Roman;sans-serif"/>
          <w:b w:val="false"/>
          <w:color w:val="000000"/>
          <w:sz w:val="20"/>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color w:val="000000"/>
        </w:rPr>
        <w:t>— “</w:t>
      </w:r>
      <w:r>
        <w:rPr>
          <w:rFonts w:ascii="Times New Roman;sans-serif" w:hAnsi="Times New Roman;sans-serif"/>
          <w:b w:val="false"/>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pStyle w:val="TextBody"/>
        <w:spacing w:before="0" w:after="0"/>
        <w:ind w:left="0" w:right="0" w:firstLine="360"/>
        <w:jc w:val="both"/>
        <w:rPr/>
      </w:pPr>
      <w:r>
        <w:rPr/>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litigation or administrative proceedings that could materially impact our operations, including proceedings in the future related to our projects we subsequently acquire.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color w:val="000000"/>
        </w:rPr>
        <w:t>“</w:t>
      </w:r>
      <w:r>
        <w:rPr>
          <w:rFonts w:ascii="Times New Roman;sans-serif" w:hAnsi="Times New Roman;sans-serif"/>
          <w:b w:val="false"/>
          <w:i/>
          <w:color w:val="000000"/>
          <w:sz w:val="20"/>
        </w:rPr>
        <w:t>Business—Legal Proceedings</w:t>
      </w:r>
      <w:r>
        <w:rPr>
          <w:rFonts w:ascii="Times New Roman;sans-serif" w:hAnsi="Times New Roman;sans-serif"/>
          <w:b w:val="false"/>
          <w:color w:val="000000"/>
          <w:sz w:val="2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own, and in the future may acquire, certain assets in which we have limited control over management decisions, including through joint ventures, and our interests in such assets may be subject to transfer or other related restrictions.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pStyle w:val="TextBody"/>
        <w:spacing w:lineRule="auto" w:line="240" w:before="0" w:after="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Risks Related to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i/>
          <w:color w:val="000000"/>
          <w:sz w:val="20"/>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volatility in the price of oil, gasoline, diesel, natural gas, RNG, or Environmental Attribute prices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face declining market prices for LCFS credits specifically within California as well as significant upward pressure on the costs associated with dispensing RNG specifically within California to generate the LCFS credits.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i/>
          <w:color w:val="000000"/>
          <w:sz w:val="20"/>
        </w:rPr>
        <w:t>A prolonged environment of low prices or reduced demand for Renewable Power could have a material adverse effect on our business prospects, financial condition and results of operations</w:t>
      </w:r>
      <w:r>
        <w:rPr>
          <w:rFonts w:ascii="Times New Roman;sans-serif" w:hAnsi="Times New Roman;sans-serif"/>
          <w:b/>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and Regional Transmission Organizations (“</w:t>
      </w:r>
      <w:r>
        <w:rPr>
          <w:rFonts w:ascii="Times New Roman;sans-serif" w:hAnsi="Times New Roman;sans-serif"/>
          <w:b/>
          <w:i/>
          <w:color w:val="000000"/>
          <w:sz w:val="20"/>
        </w:rPr>
        <w:t>RTOs</w:t>
      </w:r>
      <w:r>
        <w:rPr>
          <w:color w:val="000000"/>
        </w:rPr>
        <w:t>”</w:t>
      </w:r>
      <w:r>
        <w:rPr>
          <w:rFonts w:ascii="Times New Roman;sans-serif" w:hAnsi="Times New Roman;sans-serif"/>
          <w:b w:val="false"/>
          <w:color w:val="000000"/>
          <w:sz w:val="20"/>
        </w:rPr>
        <w:t>) that control and administer regional power markets.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volume and composition of landfill gas (“</w:t>
      </w:r>
      <w:r>
        <w:rPr>
          <w:rFonts w:ascii="Times New Roman;sans-serif" w:hAnsi="Times New Roman;sans-serif"/>
          <w:b/>
          <w:i/>
          <w:color w:val="000000"/>
          <w:sz w:val="20"/>
        </w:rPr>
        <w:t>LFG</w:t>
      </w:r>
      <w:r>
        <w:rPr>
          <w:color w:val="000000"/>
        </w:rPr>
        <w:t>”</w:t>
      </w:r>
      <w:r>
        <w:rPr>
          <w:rFonts w:ascii="Times New Roman;sans-serif" w:hAnsi="Times New Roman;sans-serif"/>
          <w:b w:val="false"/>
          <w:color w:val="000000"/>
          <w:sz w:val="20"/>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Biogas Capture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acquire, convert, develop and operate Biogas Conversion Projects, as well as expand production at current Biogas Conversion Projects, is subject to many risks.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convert, develop and operate Biogas Conversion Projects, as well as expand production at current Biogas Conversion Projects, is subject to several additional risks, including:</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energy commodity prices, such as natural gas and wholesale electricity prices, which could have a significant effect on our revenues and expenses;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pipeline gas quality standards or other regulatory changes that may limit our ability to transport RNG on pipelines for delivery to third parties or increase the costs of processing RNG to allow for such deliveries;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broader waste collection industry, including changes affecting the waste collection and biogas potential of the landfill industry, which could limit the LFG resource that we currently target for our Biogas Conversion Projects;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tc>
      </w:tr>
    </w:tbl>
    <w:p>
      <w:pPr>
        <w:pStyle w:val="TextBody"/>
        <w:spacing w:lineRule="auto" w:line="240" w:before="0" w:after="0"/>
        <w:ind w:left="0" w:right="0" w:hanging="480"/>
        <w:jc w:val="both"/>
        <w:rPr>
          <w:color w:val="000000"/>
        </w:rPr>
      </w:pPr>
      <w:r>
        <w:rPr>
          <w:color w:val="000000"/>
        </w:rPr>
        <w:t> </w:t>
      </w:r>
    </w:p>
    <w:tbl>
      <w:tblPr>
        <w:tblW w:w="5169" w:type="dxa"/>
        <w:jc w:val="left"/>
        <w:tblInd w:w="0" w:type="dxa"/>
        <w:tblCellMar>
          <w:top w:w="28" w:type="dxa"/>
          <w:left w:w="28" w:type="dxa"/>
          <w:bottom w:w="28" w:type="dxa"/>
          <w:right w:w="28" w:type="dxa"/>
        </w:tblCellMar>
      </w:tblPr>
      <w:tblGrid>
        <w:gridCol w:w="124"/>
        <w:gridCol w:w="109"/>
        <w:gridCol w:w="109"/>
        <w:gridCol w:w="109"/>
        <w:gridCol w:w="109"/>
        <w:gridCol w:w="109"/>
        <w:gridCol w:w="1316"/>
        <w:gridCol w:w="1316"/>
        <w:gridCol w:w="18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entering into markets where we have less experience, such as our Biogas Conversion Projects for biogas recovery at livestock farms;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failures or delays in obtaining desired or necessary land rights, including ownership, leases, easements, zoning rights and building permits;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keeping in good standing permits, authorizations and consents from local city, county, state and US federal government agencies and organizations;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penalties, including potential termination, under short-term and long-term contracts for failing to produce or deliver a sufficient quantity and acceptable quality of RNG in accordance with our contractual obligations;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unknown regulatory changes related to the transportation of RNG, which may increase the transportation cost for delivering under our contracts then in effect;</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consent and authorization of local utilities or other energy development off-takers to ensure successful interconnection to energy grids to enable power and gas sales; and</w:t>
            </w:r>
          </w:p>
        </w:tc>
      </w:tr>
    </w:tbl>
    <w:p>
      <w:pPr>
        <w:pStyle w:val="TextBody"/>
        <w:spacing w:lineRule="auto" w:line="240" w:before="0" w:after="0"/>
        <w:ind w:left="0" w:right="0" w:hanging="480"/>
        <w:jc w:val="both"/>
        <w:rPr>
          <w:color w:val="000000"/>
        </w:rPr>
      </w:pPr>
      <w:r>
        <w:rPr>
          <w:color w:val="000000"/>
        </w:rPr>
        <w:t> </w:t>
      </w:r>
    </w:p>
    <w:tbl>
      <w:tblPr>
        <w:tblW w:w="9083" w:type="dxa"/>
        <w:jc w:val="left"/>
        <w:tblInd w:w="0" w:type="dxa"/>
        <w:tblCellMar>
          <w:top w:w="28" w:type="dxa"/>
          <w:left w:w="28" w:type="dxa"/>
          <w:bottom w:w="28" w:type="dxa"/>
          <w:right w:w="28" w:type="dxa"/>
        </w:tblCellMar>
      </w:tblPr>
      <w:tblGrid>
        <w:gridCol w:w="124"/>
        <w:gridCol w:w="109"/>
        <w:gridCol w:w="109"/>
        <w:gridCol w:w="109"/>
        <w:gridCol w:w="109"/>
        <w:gridCol w:w="109"/>
        <w:gridCol w:w="2461"/>
        <w:gridCol w:w="2461"/>
        <w:gridCol w:w="34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34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Biogas Conversion Projects.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prevent us from acquiring, developing, converting, operating or expanding our Biogas Conversion Projects, or otherwise adversely affect our business, growth potential, financial condition and results of operations.</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Acquiring Biogas Conversion Projects involves numerous risks, including potential exposure to pre-existing liabilities, unanticipated costs in acquiring and implementing the project, and lack of or limited experience in new geographic markets.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risks related to acquiring existing projects, include: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we pay could significantly deplete our cash reserves or result in dilution to our existing stockholders;</w:t>
            </w:r>
          </w:p>
        </w:tc>
      </w:tr>
    </w:tbl>
    <w:p>
      <w:pPr>
        <w:pStyle w:val="TextBody"/>
        <w:spacing w:lineRule="auto" w:line="240" w:before="0" w:after="0"/>
        <w:ind w:left="0" w:right="0" w:hanging="480"/>
        <w:jc w:val="both"/>
        <w:rPr>
          <w:color w:val="000000"/>
        </w:rPr>
      </w:pPr>
      <w:r>
        <w:rPr>
          <w:color w:val="000000"/>
        </w:rPr>
        <w:t> </w:t>
      </w:r>
    </w:p>
    <w:tbl>
      <w:tblPr>
        <w:tblW w:w="9248" w:type="dxa"/>
        <w:jc w:val="left"/>
        <w:tblInd w:w="0" w:type="dxa"/>
        <w:tblCellMar>
          <w:top w:w="28" w:type="dxa"/>
          <w:left w:w="28" w:type="dxa"/>
          <w:bottom w:w="28" w:type="dxa"/>
          <w:right w:w="28" w:type="dxa"/>
        </w:tblCellMar>
      </w:tblPr>
      <w:tblGrid>
        <w:gridCol w:w="124"/>
        <w:gridCol w:w="109"/>
        <w:gridCol w:w="109"/>
        <w:gridCol w:w="109"/>
        <w:gridCol w:w="109"/>
        <w:gridCol w:w="109"/>
        <w:gridCol w:w="2512"/>
        <w:gridCol w:w="2512"/>
        <w:gridCol w:w="35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2512" w:type="dxa"/>
            <w:tcBorders/>
            <w:shd w:fill="auto" w:val="clear"/>
            <w:vAlign w:val="center"/>
          </w:tcPr>
          <w:p>
            <w:pPr>
              <w:pStyle w:val="TableContents"/>
              <w:spacing w:before="0" w:after="283"/>
              <w:rPr>
                <w:sz w:val="4"/>
                <w:szCs w:val="4"/>
              </w:rPr>
            </w:pPr>
            <w:r>
              <w:rPr>
                <w:sz w:val="4"/>
                <w:szCs w:val="4"/>
              </w:rPr>
            </w:r>
          </w:p>
        </w:tc>
        <w:tc>
          <w:tcPr>
            <w:tcW w:w="35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companies or assets may not improve our customer offerings or market position as planned;</w:t>
            </w:r>
          </w:p>
        </w:tc>
      </w:tr>
    </w:tbl>
    <w:p>
      <w:pPr>
        <w:pStyle w:val="TextBody"/>
        <w:spacing w:lineRule="auto" w:line="240" w:before="0" w:after="0"/>
        <w:ind w:left="0" w:right="0" w:hanging="480"/>
        <w:jc w:val="both"/>
        <w:rPr>
          <w:color w:val="000000"/>
        </w:rPr>
      </w:pPr>
      <w:r>
        <w:rPr>
          <w:color w:val="000000"/>
        </w:rPr>
        <w:t> </w:t>
      </w:r>
    </w:p>
    <w:tbl>
      <w:tblPr>
        <w:tblW w:w="8243" w:type="dxa"/>
        <w:jc w:val="left"/>
        <w:tblInd w:w="0" w:type="dxa"/>
        <w:tblCellMar>
          <w:top w:w="28" w:type="dxa"/>
          <w:left w:w="28" w:type="dxa"/>
          <w:bottom w:w="28" w:type="dxa"/>
          <w:right w:w="28" w:type="dxa"/>
        </w:tblCellMar>
      </w:tblPr>
      <w:tblGrid>
        <w:gridCol w:w="124"/>
        <w:gridCol w:w="109"/>
        <w:gridCol w:w="109"/>
        <w:gridCol w:w="109"/>
        <w:gridCol w:w="109"/>
        <w:gridCol w:w="109"/>
        <w:gridCol w:w="2212"/>
        <w:gridCol w:w="2212"/>
        <w:gridCol w:w="31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31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difficulty integrating the operations and personnel of the acquired companies;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personnel and counterparties of the acquired companies may terminate their relationships with the acquired companies as a result of or following the acquisition;</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additional financial and accounting challenges and complexities in certain areas, such as tax planning and financial reporting;</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costs and expenses related to complying with additional laws, rules or regulations in new jurisdictions;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assume or be held liable for risks and liabilities (including for environmental-related costs) as a result of our acquisitions, some of which we may not discover during our due diligence or adequately adjust for in our acquisition arrangements;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business and management’s attention may be disrupted or diverted by transition or integration issues and the complexity of managing geographically diverse enterprises;</w:t>
            </w:r>
          </w:p>
        </w:tc>
      </w:tr>
    </w:tbl>
    <w:p>
      <w:pPr>
        <w:pStyle w:val="TextBody"/>
        <w:spacing w:lineRule="auto" w:line="240" w:before="0" w:after="0"/>
        <w:ind w:left="0" w:right="0" w:hanging="480"/>
        <w:jc w:val="both"/>
        <w:rPr>
          <w:color w:val="000000"/>
        </w:rPr>
      </w:pPr>
      <w:r>
        <w:rPr>
          <w:color w:val="000000"/>
        </w:rPr>
        <w:t> </w:t>
      </w:r>
    </w:p>
    <w:tbl>
      <w:tblPr>
        <w:tblW w:w="8258" w:type="dxa"/>
        <w:jc w:val="left"/>
        <w:tblInd w:w="0" w:type="dxa"/>
        <w:tblCellMar>
          <w:top w:w="28" w:type="dxa"/>
          <w:left w:w="28" w:type="dxa"/>
          <w:bottom w:w="28" w:type="dxa"/>
          <w:right w:w="28" w:type="dxa"/>
        </w:tblCellMar>
      </w:tblPr>
      <w:tblGrid>
        <w:gridCol w:w="124"/>
        <w:gridCol w:w="109"/>
        <w:gridCol w:w="109"/>
        <w:gridCol w:w="109"/>
        <w:gridCol w:w="109"/>
        <w:gridCol w:w="109"/>
        <w:gridCol w:w="2223"/>
        <w:gridCol w:w="2223"/>
        <w:gridCol w:w="31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31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5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one-time write-offs or restructuring charges in connection with an acquisition;</w:t>
            </w:r>
          </w:p>
        </w:tc>
      </w:tr>
    </w:tbl>
    <w:p>
      <w:pPr>
        <w:pStyle w:val="TextBody"/>
        <w:spacing w:before="0" w:after="0"/>
        <w:ind w:left="0" w:right="0" w:hanging="48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 and</w:t>
            </w:r>
          </w:p>
        </w:tc>
      </w:tr>
    </w:tbl>
    <w:p>
      <w:pPr>
        <w:pStyle w:val="TextBody"/>
        <w:spacing w:lineRule="auto" w:line="240" w:before="0" w:after="0"/>
        <w:ind w:left="0" w:right="0" w:hanging="480"/>
        <w:jc w:val="both"/>
        <w:rPr>
          <w:color w:val="000000"/>
        </w:rPr>
      </w:pPr>
      <w:r>
        <w:rPr>
          <w:color w:val="000000"/>
        </w:rPr>
        <w:t> </w:t>
      </w:r>
    </w:p>
    <w:tbl>
      <w:tblPr>
        <w:tblW w:w="7913" w:type="dxa"/>
        <w:jc w:val="left"/>
        <w:tblInd w:w="0" w:type="dxa"/>
        <w:tblCellMar>
          <w:top w:w="28" w:type="dxa"/>
          <w:left w:w="28" w:type="dxa"/>
          <w:bottom w:w="28" w:type="dxa"/>
          <w:right w:w="28" w:type="dxa"/>
        </w:tblCellMar>
      </w:tblPr>
      <w:tblGrid>
        <w:gridCol w:w="124"/>
        <w:gridCol w:w="109"/>
        <w:gridCol w:w="109"/>
        <w:gridCol w:w="109"/>
        <w:gridCol w:w="109"/>
        <w:gridCol w:w="109"/>
        <w:gridCol w:w="2119"/>
        <w:gridCol w:w="2119"/>
        <w:gridCol w:w="30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30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cost savings or other financial benefits we anticipated.</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development and operation of our Biogas Conversion Projects involves significant risks and hazards.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RNG supplier the quality and quantity of RNG we produce at our Biogas Conversion Projects may be negatively affected by, among other things, lack of feedstock or the relative mix in the components of the feedstock, </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sans-serif" w:hAnsi="Times New Roman;sans-serif"/>
          <w:b/>
          <w:i/>
          <w:color w:val="000000"/>
          <w:sz w:val="20"/>
        </w:rPr>
        <w:t>Shortfall Amount</w:t>
      </w:r>
      <w:r>
        <w:rPr>
          <w:color w:val="000000"/>
        </w:rPr>
        <w:t>”</w:t>
      </w:r>
      <w:r>
        <w:rPr>
          <w:rFonts w:ascii="Times New Roman;sans-serif" w:hAnsi="Times New Roman;sans-serif"/>
          <w:b w:val="false"/>
          <w:color w:val="000000"/>
          <w:sz w:val="20"/>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$10.6 million based on current market prices for such Environmental Attributes.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our Biogas Conversion Projects involve the risk of unplanned outages or reduced output, resulting from among other things periodic upgrading and improvement, unplanned breakdowns in equipment, and forced outages.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design and construction process for our Biogas Conversion Projects generally lasts from 20 to 48 months, on average. Prior to signing a development agreement, we typically conduct a preliminary audit of the </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gas and manure rights agreements for Biogas Conversion Projects are subject to certain conditions. A failure to satisfy such conditions could result in the loss of such rights.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Dispensing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influence the adoption of natural gas vehicle fuels, many of which are beyond our control, include, among others:</w:t>
      </w:r>
    </w:p>
    <w:p>
      <w:pPr>
        <w:pStyle w:val="TextBody"/>
        <w:spacing w:lineRule="auto" w:line="240" w:before="0" w:after="0"/>
        <w:ind w:left="0" w:right="0" w:hanging="480"/>
        <w:jc w:val="both"/>
        <w:rPr>
          <w:color w:val="000000"/>
        </w:rPr>
      </w:pPr>
      <w:r>
        <w:rPr>
          <w:color w:val="000000"/>
        </w:rPr>
        <w:t> </w:t>
      </w:r>
    </w:p>
    <w:tbl>
      <w:tblPr>
        <w:tblW w:w="9908" w:type="dxa"/>
        <w:jc w:val="left"/>
        <w:tblInd w:w="0" w:type="dxa"/>
        <w:tblCellMar>
          <w:top w:w="28" w:type="dxa"/>
          <w:left w:w="28" w:type="dxa"/>
          <w:bottom w:w="28" w:type="dxa"/>
          <w:right w:w="28" w:type="dxa"/>
        </w:tblCellMar>
      </w:tblPr>
      <w:tblGrid>
        <w:gridCol w:w="124"/>
        <w:gridCol w:w="109"/>
        <w:gridCol w:w="109"/>
        <w:gridCol w:w="109"/>
        <w:gridCol w:w="109"/>
        <w:gridCol w:w="109"/>
        <w:gridCol w:w="2704"/>
        <w:gridCol w:w="2704"/>
        <w:gridCol w:w="38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2704" w:type="dxa"/>
            <w:tcBorders/>
            <w:shd w:fill="auto" w:val="clear"/>
            <w:vAlign w:val="center"/>
          </w:tcPr>
          <w:p>
            <w:pPr>
              <w:pStyle w:val="TableContents"/>
              <w:spacing w:before="0" w:after="283"/>
              <w:rPr>
                <w:sz w:val="4"/>
                <w:szCs w:val="4"/>
              </w:rPr>
            </w:pPr>
            <w:r>
              <w:rPr>
                <w:sz w:val="4"/>
                <w:szCs w:val="4"/>
              </w:rPr>
            </w:r>
          </w:p>
        </w:tc>
        <w:tc>
          <w:tcPr>
            <w:tcW w:w="38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2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Lack of demand for trucks that use natural gas vehicle fuels due to business disruptions and depressed oil prices;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volatility in the supply, demand, use and prices of crude oil, gasoline, diesel, RNG, natural gas and other vehicle fuels, such as electricity, hydrogen, renewable diesel, biodiesel and ethanol;</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tc>
      </w:tr>
    </w:tbl>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production, cost, availability, performance, sales and marketing and reputation of engines that are well-suited for the vehicles used in our key customer markets, including heavy and medium-duty trucks and other fleets;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 competition in the market for vehicle fuels generally, and the nature and effect of competitive developments in such market, including improvements in or perceived advantages of other vehicle fuels and engines powered by such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tc>
      </w:tr>
    </w:tbl>
    <w:p>
      <w:pPr>
        <w:pStyle w:val="TextBody"/>
        <w:spacing w:lineRule="auto" w:line="240" w:before="0" w:after="0"/>
        <w:ind w:left="0" w:right="0" w:hanging="480"/>
        <w:jc w:val="both"/>
        <w:rPr>
          <w:color w:val="000000"/>
        </w:rPr>
      </w:pPr>
      <w:r>
        <w:rPr>
          <w:color w:val="000000"/>
        </w:rPr>
        <w:t> </w:t>
      </w:r>
    </w:p>
    <w:tbl>
      <w:tblPr>
        <w:tblW w:w="10103" w:type="dxa"/>
        <w:jc w:val="left"/>
        <w:tblInd w:w="0" w:type="dxa"/>
        <w:tblCellMar>
          <w:top w:w="28" w:type="dxa"/>
          <w:left w:w="28" w:type="dxa"/>
          <w:bottom w:w="28" w:type="dxa"/>
          <w:right w:w="28" w:type="dxa"/>
        </w:tblCellMar>
      </w:tblPr>
      <w:tblGrid>
        <w:gridCol w:w="124"/>
        <w:gridCol w:w="109"/>
        <w:gridCol w:w="109"/>
        <w:gridCol w:w="109"/>
        <w:gridCol w:w="109"/>
        <w:gridCol w:w="109"/>
        <w:gridCol w:w="2761"/>
        <w:gridCol w:w="2761"/>
        <w:gridCol w:w="39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39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Emissions and other environmental regulations and pressures on producing, transporting, and dispensing our fuels.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financing, construction, and development of Fueling Station projects by us or our partners that own projects may not commence on anticipated timelines or at all.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financing, construction and development of projects involves numerous risks, including:</w:t>
      </w:r>
    </w:p>
    <w:p>
      <w:pPr>
        <w:pStyle w:val="TextBody"/>
        <w:spacing w:lineRule="auto" w:line="240" w:before="0" w:after="0"/>
        <w:ind w:left="0" w:right="0" w:hanging="480"/>
        <w:jc w:val="both"/>
        <w:rPr>
          <w:color w:val="000000"/>
        </w:rPr>
      </w:pPr>
      <w:r>
        <w:rPr>
          <w:color w:val="000000"/>
        </w:rPr>
        <w:t> </w:t>
      </w:r>
    </w:p>
    <w:tbl>
      <w:tblPr>
        <w:tblW w:w="7538" w:type="dxa"/>
        <w:jc w:val="left"/>
        <w:tblInd w:w="0" w:type="dxa"/>
        <w:tblCellMar>
          <w:top w:w="28" w:type="dxa"/>
          <w:left w:w="28" w:type="dxa"/>
          <w:bottom w:w="28" w:type="dxa"/>
          <w:right w:w="28" w:type="dxa"/>
        </w:tblCellMar>
      </w:tblPr>
      <w:tblGrid>
        <w:gridCol w:w="124"/>
        <w:gridCol w:w="109"/>
        <w:gridCol w:w="109"/>
        <w:gridCol w:w="109"/>
        <w:gridCol w:w="109"/>
        <w:gridCol w:w="109"/>
        <w:gridCol w:w="2009"/>
        <w:gridCol w:w="2009"/>
        <w:gridCol w:w="28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8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projects;</w:t>
            </w:r>
          </w:p>
        </w:tc>
      </w:tr>
    </w:tbl>
    <w:p>
      <w:pPr>
        <w:pStyle w:val="TextBody"/>
        <w:spacing w:lineRule="auto" w:line="240" w:before="0" w:after="0"/>
        <w:ind w:left="0" w:right="0" w:hanging="480"/>
        <w:jc w:val="both"/>
        <w:rPr>
          <w:color w:val="000000"/>
        </w:rPr>
      </w:pPr>
      <w:r>
        <w:rPr>
          <w:color w:val="000000"/>
        </w:rPr>
        <w:t> </w:t>
      </w:r>
    </w:p>
    <w:tbl>
      <w:tblPr>
        <w:tblW w:w="5604" w:type="dxa"/>
        <w:jc w:val="left"/>
        <w:tblInd w:w="0" w:type="dxa"/>
        <w:tblCellMar>
          <w:top w:w="28" w:type="dxa"/>
          <w:left w:w="28" w:type="dxa"/>
          <w:bottom w:w="28" w:type="dxa"/>
          <w:right w:w="28" w:type="dxa"/>
        </w:tblCellMar>
      </w:tblPr>
      <w:tblGrid>
        <w:gridCol w:w="124"/>
        <w:gridCol w:w="109"/>
        <w:gridCol w:w="109"/>
        <w:gridCol w:w="109"/>
        <w:gridCol w:w="109"/>
        <w:gridCol w:w="109"/>
        <w:gridCol w:w="1442"/>
        <w:gridCol w:w="1442"/>
        <w:gridCol w:w="20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all necessary rights to land access and use;</w:t>
            </w:r>
          </w:p>
        </w:tc>
      </w:tr>
    </w:tbl>
    <w:p>
      <w:pPr>
        <w:pStyle w:val="TextBody"/>
        <w:spacing w:lineRule="auto" w:line="240" w:before="0" w:after="0"/>
        <w:ind w:left="0" w:right="0" w:hanging="480"/>
        <w:jc w:val="both"/>
        <w:rPr>
          <w:color w:val="000000"/>
        </w:rPr>
      </w:pPr>
      <w:r>
        <w:rPr>
          <w:color w:val="000000"/>
        </w:rPr>
        <w:t> </w:t>
      </w:r>
    </w:p>
    <w:tbl>
      <w:tblPr>
        <w:tblW w:w="8348" w:type="dxa"/>
        <w:jc w:val="left"/>
        <w:tblInd w:w="0" w:type="dxa"/>
        <w:tblCellMar>
          <w:top w:w="28" w:type="dxa"/>
          <w:left w:w="28" w:type="dxa"/>
          <w:bottom w:w="28" w:type="dxa"/>
          <w:right w:w="28" w:type="dxa"/>
        </w:tblCellMar>
      </w:tblPr>
      <w:tblGrid>
        <w:gridCol w:w="124"/>
        <w:gridCol w:w="109"/>
        <w:gridCol w:w="109"/>
        <w:gridCol w:w="109"/>
        <w:gridCol w:w="109"/>
        <w:gridCol w:w="109"/>
        <w:gridCol w:w="2249"/>
        <w:gridCol w:w="2249"/>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7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cost and schedule for completing construction;</w:t>
            </w:r>
          </w:p>
        </w:tc>
      </w:tr>
    </w:tbl>
    <w:p>
      <w:pPr>
        <w:pStyle w:val="TextBody"/>
        <w:spacing w:lineRule="auto" w:line="240" w:before="0" w:after="0"/>
        <w:ind w:left="0" w:right="0" w:hanging="480"/>
        <w:jc w:val="both"/>
        <w:rPr>
          <w:color w:val="000000"/>
        </w:rPr>
      </w:pPr>
      <w:r>
        <w:rPr>
          <w:color w:val="000000"/>
        </w:rPr>
        <w:t> </w:t>
      </w:r>
    </w:p>
    <w:tbl>
      <w:tblPr>
        <w:tblW w:w="9278" w:type="dxa"/>
        <w:jc w:val="left"/>
        <w:tblInd w:w="0" w:type="dxa"/>
        <w:tblCellMar>
          <w:top w:w="28" w:type="dxa"/>
          <w:left w:w="28" w:type="dxa"/>
          <w:bottom w:w="28" w:type="dxa"/>
          <w:right w:w="28" w:type="dxa"/>
        </w:tblCellMar>
      </w:tblPr>
      <w:tblGrid>
        <w:gridCol w:w="124"/>
        <w:gridCol w:w="109"/>
        <w:gridCol w:w="109"/>
        <w:gridCol w:w="109"/>
        <w:gridCol w:w="109"/>
        <w:gridCol w:w="109"/>
        <w:gridCol w:w="2517"/>
        <w:gridCol w:w="2517"/>
        <w:gridCol w:w="35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7" w:type="dxa"/>
            <w:tcBorders/>
            <w:shd w:fill="auto" w:val="clear"/>
            <w:vAlign w:val="center"/>
          </w:tcPr>
          <w:p>
            <w:pPr>
              <w:pStyle w:val="TableContents"/>
              <w:spacing w:before="0" w:after="283"/>
              <w:rPr>
                <w:sz w:val="4"/>
                <w:szCs w:val="4"/>
              </w:rPr>
            </w:pPr>
            <w:r>
              <w:rPr>
                <w:sz w:val="4"/>
                <w:szCs w:val="4"/>
              </w:rPr>
            </w:r>
          </w:p>
        </w:tc>
        <w:tc>
          <w:tcPr>
            <w:tcW w:w="2517"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6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biogas potential, including quality, volume, and asset life;</w:t>
            </w:r>
          </w:p>
        </w:tc>
      </w:tr>
    </w:tbl>
    <w:p>
      <w:pPr>
        <w:pStyle w:val="TextBody"/>
        <w:spacing w:lineRule="auto" w:line="240" w:before="0" w:after="0"/>
        <w:ind w:left="0" w:right="0" w:hanging="480"/>
        <w:jc w:val="both"/>
        <w:rPr>
          <w:color w:val="000000"/>
        </w:rPr>
      </w:pPr>
      <w:r>
        <w:rPr>
          <w:color w:val="000000"/>
        </w:rPr>
        <w:t> </w:t>
      </w:r>
    </w:p>
    <w:tbl>
      <w:tblPr>
        <w:tblW w:w="6654" w:type="dxa"/>
        <w:jc w:val="left"/>
        <w:tblInd w:w="0" w:type="dxa"/>
        <w:tblCellMar>
          <w:top w:w="28" w:type="dxa"/>
          <w:left w:w="28" w:type="dxa"/>
          <w:bottom w:w="28" w:type="dxa"/>
          <w:right w:w="28" w:type="dxa"/>
        </w:tblCellMar>
      </w:tblPr>
      <w:tblGrid>
        <w:gridCol w:w="124"/>
        <w:gridCol w:w="109"/>
        <w:gridCol w:w="109"/>
        <w:gridCol w:w="109"/>
        <w:gridCol w:w="109"/>
        <w:gridCol w:w="109"/>
        <w:gridCol w:w="1753"/>
        <w:gridCol w:w="1753"/>
        <w:gridCol w:w="24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4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project on acceptable terms or at all;</w:t>
            </w:r>
          </w:p>
        </w:tc>
      </w:tr>
    </w:tbl>
    <w:p>
      <w:pPr>
        <w:pStyle w:val="TextBody"/>
        <w:spacing w:lineRule="auto" w:line="240" w:before="0" w:after="0"/>
        <w:ind w:left="0" w:right="0" w:hanging="480"/>
        <w:jc w:val="both"/>
        <w:rPr>
          <w:color w:val="000000"/>
        </w:rPr>
      </w:pPr>
      <w:r>
        <w:rPr>
          <w:color w:val="000000"/>
        </w:rPr>
        <w:t> </w:t>
      </w:r>
    </w:p>
    <w:tbl>
      <w:tblPr>
        <w:tblW w:w="6983" w:type="dxa"/>
        <w:jc w:val="left"/>
        <w:tblInd w:w="0" w:type="dxa"/>
        <w:tblCellMar>
          <w:top w:w="28" w:type="dxa"/>
          <w:left w:w="28" w:type="dxa"/>
          <w:bottom w:w="28" w:type="dxa"/>
          <w:right w:w="28" w:type="dxa"/>
        </w:tblCellMar>
      </w:tblPr>
      <w:tblGrid>
        <w:gridCol w:w="124"/>
        <w:gridCol w:w="109"/>
        <w:gridCol w:w="109"/>
        <w:gridCol w:w="109"/>
        <w:gridCol w:w="109"/>
        <w:gridCol w:w="109"/>
        <w:gridCol w:w="1849"/>
        <w:gridCol w:w="1849"/>
        <w:gridCol w:w="26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26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3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delays in deliveries or increases in the price of equipment or other materials;</w:t>
            </w:r>
          </w:p>
        </w:tc>
      </w:tr>
    </w:tbl>
    <w:p>
      <w:pPr>
        <w:pStyle w:val="TextBody"/>
        <w:spacing w:lineRule="auto" w:line="240" w:before="0" w:after="0"/>
        <w:ind w:left="0" w:right="0" w:hanging="480"/>
        <w:jc w:val="both"/>
        <w:rPr>
          <w:color w:val="000000"/>
        </w:rPr>
      </w:pPr>
      <w:r>
        <w:rPr>
          <w:color w:val="000000"/>
        </w:rPr>
        <w:t> </w:t>
      </w:r>
    </w:p>
    <w:tbl>
      <w:tblPr>
        <w:tblW w:w="8334" w:type="dxa"/>
        <w:jc w:val="left"/>
        <w:tblInd w:w="0" w:type="dxa"/>
        <w:tblCellMar>
          <w:top w:w="28" w:type="dxa"/>
          <w:left w:w="28" w:type="dxa"/>
          <w:bottom w:w="28" w:type="dxa"/>
          <w:right w:w="28" w:type="dxa"/>
        </w:tblCellMar>
      </w:tblPr>
      <w:tblGrid>
        <w:gridCol w:w="124"/>
        <w:gridCol w:w="109"/>
        <w:gridCol w:w="109"/>
        <w:gridCol w:w="109"/>
        <w:gridCol w:w="109"/>
        <w:gridCol w:w="109"/>
        <w:gridCol w:w="2240"/>
        <w:gridCol w:w="2240"/>
        <w:gridCol w:w="31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31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6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permitting and other regulatory issues, license revocation and changes in legal requirements;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the cost of labor, labor disputes and work stoppages or the inability to find an adequate supply of workers;</w:t>
            </w:r>
          </w:p>
        </w:tc>
      </w:tr>
    </w:tbl>
    <w:p>
      <w:pPr>
        <w:pStyle w:val="TextBody"/>
        <w:spacing w:lineRule="auto" w:line="240" w:before="0" w:after="0"/>
        <w:ind w:left="0" w:right="0" w:hanging="480"/>
        <w:jc w:val="both"/>
        <w:rPr>
          <w:color w:val="000000"/>
        </w:rPr>
      </w:pPr>
      <w:r>
        <w:rPr>
          <w:color w:val="000000"/>
        </w:rPr>
        <w:t> </w:t>
      </w:r>
    </w:p>
    <w:tbl>
      <w:tblPr>
        <w:tblW w:w="6653" w:type="dxa"/>
        <w:jc w:val="left"/>
        <w:tblInd w:w="0" w:type="dxa"/>
        <w:tblCellMar>
          <w:top w:w="28" w:type="dxa"/>
          <w:left w:w="28" w:type="dxa"/>
          <w:bottom w:w="28" w:type="dxa"/>
          <w:right w:w="28" w:type="dxa"/>
        </w:tblCellMar>
      </w:tblPr>
      <w:tblGrid>
        <w:gridCol w:w="124"/>
        <w:gridCol w:w="109"/>
        <w:gridCol w:w="109"/>
        <w:gridCol w:w="109"/>
        <w:gridCol w:w="109"/>
        <w:gridCol w:w="109"/>
        <w:gridCol w:w="1752"/>
        <w:gridCol w:w="1752"/>
        <w:gridCol w:w="24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receive quality and timely performance of third-party services;</w:t>
            </w:r>
          </w:p>
        </w:tc>
      </w:tr>
    </w:tbl>
    <w:p>
      <w:pPr>
        <w:pStyle w:val="TextBody"/>
        <w:spacing w:lineRule="auto" w:line="240" w:before="0" w:after="0"/>
        <w:ind w:left="0" w:right="0" w:hanging="480"/>
        <w:jc w:val="both"/>
        <w:rPr>
          <w:color w:val="000000"/>
        </w:rPr>
      </w:pPr>
      <w:r>
        <w:rPr>
          <w:color w:val="000000"/>
        </w:rPr>
        <w:t> </w:t>
      </w:r>
    </w:p>
    <w:tbl>
      <w:tblPr>
        <w:tblW w:w="5153" w:type="dxa"/>
        <w:jc w:val="left"/>
        <w:tblInd w:w="0" w:type="dxa"/>
        <w:tblCellMar>
          <w:top w:w="28" w:type="dxa"/>
          <w:left w:w="28" w:type="dxa"/>
          <w:bottom w:w="28" w:type="dxa"/>
          <w:right w:w="28" w:type="dxa"/>
        </w:tblCellMar>
      </w:tblPr>
      <w:tblGrid>
        <w:gridCol w:w="124"/>
        <w:gridCol w:w="109"/>
        <w:gridCol w:w="109"/>
        <w:gridCol w:w="109"/>
        <w:gridCol w:w="109"/>
        <w:gridCol w:w="109"/>
        <w:gridCol w:w="1312"/>
        <w:gridCol w:w="1312"/>
        <w:gridCol w:w="18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unforeseen engineering and environmental problems;</w:t>
            </w:r>
          </w:p>
        </w:tc>
      </w:tr>
    </w:tbl>
    <w:p>
      <w:pPr>
        <w:pStyle w:val="TextBody"/>
        <w:spacing w:lineRule="auto" w:line="240" w:before="0" w:after="0"/>
        <w:ind w:left="0" w:right="0" w:hanging="480"/>
        <w:jc w:val="both"/>
        <w:rPr>
          <w:color w:val="000000"/>
        </w:rPr>
      </w:pPr>
      <w:r>
        <w:rPr>
          <w:color w:val="000000"/>
        </w:rPr>
        <w:t> </w:t>
      </w:r>
    </w:p>
    <w:tbl>
      <w:tblPr>
        <w:tblW w:w="4223" w:type="dxa"/>
        <w:jc w:val="left"/>
        <w:tblInd w:w="0" w:type="dxa"/>
        <w:tblCellMar>
          <w:top w:w="28" w:type="dxa"/>
          <w:left w:w="28" w:type="dxa"/>
          <w:bottom w:w="28" w:type="dxa"/>
          <w:right w:w="28" w:type="dxa"/>
        </w:tblCellMar>
      </w:tblPr>
      <w:tblGrid>
        <w:gridCol w:w="124"/>
        <w:gridCol w:w="109"/>
        <w:gridCol w:w="109"/>
        <w:gridCol w:w="109"/>
        <w:gridCol w:w="109"/>
        <w:gridCol w:w="109"/>
        <w:gridCol w:w="1040"/>
        <w:gridCol w:w="1040"/>
        <w:gridCol w:w="14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overruns or supply chain disruptions;</w:t>
            </w:r>
          </w:p>
        </w:tc>
      </w:tr>
    </w:tbl>
    <w:p>
      <w:pPr>
        <w:pStyle w:val="TextBody"/>
        <w:spacing w:lineRule="auto" w:line="240" w:before="0" w:after="0"/>
        <w:ind w:left="0" w:right="0" w:hanging="480"/>
        <w:jc w:val="both"/>
        <w:rPr>
          <w:color w:val="000000"/>
        </w:rPr>
      </w:pPr>
      <w:r>
        <w:rPr>
          <w:color w:val="000000"/>
        </w:rPr>
        <w:t> </w:t>
      </w:r>
    </w:p>
    <w:tbl>
      <w:tblPr>
        <w:tblW w:w="5108" w:type="dxa"/>
        <w:jc w:val="left"/>
        <w:tblInd w:w="0" w:type="dxa"/>
        <w:tblCellMar>
          <w:top w:w="28" w:type="dxa"/>
          <w:left w:w="28" w:type="dxa"/>
          <w:bottom w:w="28" w:type="dxa"/>
          <w:right w:w="28" w:type="dxa"/>
        </w:tblCellMar>
      </w:tblPr>
      <w:tblGrid>
        <w:gridCol w:w="124"/>
        <w:gridCol w:w="109"/>
        <w:gridCol w:w="109"/>
        <w:gridCol w:w="109"/>
        <w:gridCol w:w="109"/>
        <w:gridCol w:w="109"/>
        <w:gridCol w:w="1298"/>
        <w:gridCol w:w="1298"/>
        <w:gridCol w:w="18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weather conditions, health crises, pandemics, catastrophic events, including fires, explosions, earthquakes, droughts and acts of terrorism, and other force majeure events; and</w:t>
            </w:r>
          </w:p>
        </w:tc>
      </w:tr>
    </w:tbl>
    <w:p>
      <w:pPr>
        <w:pStyle w:val="TextBody"/>
        <w:spacing w:lineRule="auto" w:line="240" w:before="0" w:after="0"/>
        <w:ind w:left="0" w:right="0" w:hanging="480"/>
        <w:jc w:val="both"/>
        <w:rPr>
          <w:color w:val="000000"/>
        </w:rPr>
      </w:pPr>
      <w:r>
        <w:rPr>
          <w:color w:val="000000"/>
        </w:rPr>
        <w:t> </w:t>
      </w:r>
    </w:p>
    <w:tbl>
      <w:tblPr>
        <w:tblW w:w="3938" w:type="dxa"/>
        <w:jc w:val="left"/>
        <w:tblInd w:w="0" w:type="dxa"/>
        <w:tblCellMar>
          <w:top w:w="28" w:type="dxa"/>
          <w:left w:w="28" w:type="dxa"/>
          <w:bottom w:w="28" w:type="dxa"/>
          <w:right w:w="28" w:type="dxa"/>
        </w:tblCellMar>
      </w:tblPr>
      <w:tblGrid>
        <w:gridCol w:w="124"/>
        <w:gridCol w:w="109"/>
        <w:gridCol w:w="109"/>
        <w:gridCol w:w="109"/>
        <w:gridCol w:w="109"/>
        <w:gridCol w:w="109"/>
        <w:gridCol w:w="957"/>
        <w:gridCol w:w="957"/>
        <w:gridCol w:w="13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and access to utilities.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projects have no operating history. A new project may be unable to fund principal and interest payments under its debt service obligations or may operate at a loss.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Business in General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Biogas Conversion Projects and Fueling Stations are newly constructed or are under construction and may not perform as we expect.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total indebtedness was $170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and preferred units redemption obligations could have important consequences, including, for example:</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refinance, or to comply with the covenants in the agreements governing, these obligations could result in an event of default under those agreements, which could be difficult to cure or result in our bankruptcy;</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tc>
      </w:tr>
    </w:tbl>
    <w:p>
      <w:pPr>
        <w:pStyle w:val="TextBody"/>
        <w:spacing w:lineRule="auto" w:line="240" w:before="0" w:after="0"/>
        <w:ind w:left="0" w:right="0" w:hanging="480"/>
        <w:jc w:val="both"/>
        <w:rPr>
          <w:color w:val="000000"/>
        </w:rPr>
      </w:pPr>
      <w:r>
        <w:rPr>
          <w:color w:val="000000"/>
        </w:rPr>
        <w:t> </w:t>
      </w:r>
    </w:p>
    <w:tbl>
      <w:tblPr>
        <w:tblW w:w="9759" w:type="dxa"/>
        <w:jc w:val="left"/>
        <w:tblInd w:w="0" w:type="dxa"/>
        <w:tblCellMar>
          <w:top w:w="28" w:type="dxa"/>
          <w:left w:w="28" w:type="dxa"/>
          <w:bottom w:w="28" w:type="dxa"/>
          <w:right w:w="28" w:type="dxa"/>
        </w:tblCellMar>
      </w:tblPr>
      <w:tblGrid>
        <w:gridCol w:w="124"/>
        <w:gridCol w:w="109"/>
        <w:gridCol w:w="109"/>
        <w:gridCol w:w="109"/>
        <w:gridCol w:w="109"/>
        <w:gridCol w:w="109"/>
        <w:gridCol w:w="2659"/>
        <w:gridCol w:w="2659"/>
        <w:gridCol w:w="37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37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limited financial flexibility could reduce our ability to plan for and react to unexpected opportunities; and</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cash could be adversely affected if the financial institutions in which we hold our cash fail.</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pStyle w:val="TextBody"/>
        <w:spacing w:lineRule="auto" w:line="240" w:before="0" w:after="0"/>
        <w:jc w:val="both"/>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accounting losses and may incur additional losses in the future.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Opco and its predecessor companies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prospectus.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Loss of our key management could adversely affect our business performance. Our management team has limited experience in operating a public company such as 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COVID-19 pandemic and measures intended to reduce its spread have, and may continue to, adversely affect our business, results of operations and financial condition.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further delay in the adoption of natural gas vehicle fuels by heavy-duty trucks and/or a delay in increasing the use of our vehicle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tc>
      </w:tr>
    </w:tbl>
    <w:p>
      <w:pPr>
        <w:pStyle w:val="TextBody"/>
        <w:spacing w:lineRule="auto" w:line="240" w:before="0" w:after="0"/>
        <w:ind w:left="0" w:right="0" w:hanging="48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business disruptions on the production of vehicles and engines that use our fuels, which has resulted in, and may continue to result in, plant closures, decreased manufacturing capacity, and delays in deliveries; and</w:t>
            </w:r>
          </w:p>
        </w:tc>
      </w:tr>
    </w:tbl>
    <w:p>
      <w:pPr>
        <w:pStyle w:val="TextBody"/>
        <w:spacing w:lineRule="auto" w:line="240"/>
        <w:ind w:left="0" w:right="0" w:hanging="48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depressed oil and diesel prices, especially relative to natural gas prices and for a prolonged period, which may decrease the price-related incentive for operators to adopt trucks that use our vehicle fuels.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We have identified material weaknesses in our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r>
        <w:rPr>
          <w:color w:val="000000"/>
        </w:rPr>
        <w:t>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2021 and 2020, we identified material weaknesses in our internal controls over financial reporting.</w:t>
      </w:r>
    </w:p>
    <w:p>
      <w:pPr>
        <w:pStyle w:val="TextBody"/>
        <w:spacing w:before="0" w:after="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spacing w:before="0" w:after="0"/>
        <w:ind w:left="0" w:right="0" w:firstLine="48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identified were as follows:</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A lack of an adequate control environment, including internal communications, to allow for timeliness of reviews for the accounting and disclosures of significant and unusual transactions and contracts;</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spacing w:before="0" w:after="0"/>
        <w:ind w:left="0" w:right="0" w:firstLine="480"/>
        <w:jc w:val="both"/>
        <w:rPr/>
      </w:pPr>
      <w:r>
        <w:rPr/>
      </w:r>
    </w:p>
    <w:p>
      <w:pPr>
        <w:pStyle w:val="TextBody"/>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Our review controls over application of Accounting Standards Codification ('ASC")-606 were not designed and implemented appropriately during the current year.</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a misstatement of substantially all of our accounts or disclosures that would result in a material misstatement to our annual or interim financial statements that would not be prevented or detected.</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Our remediation plans include measures such as: designing and implementing formal processes, policies and procedures supporting our financial close process, creating standard balance sheet reconciliation templates and journal entry controls; and designing and implementing controls to formalize roles and review responsibilities to align with our team’s skills.</w:t>
      </w:r>
    </w:p>
    <w:p>
      <w:pPr>
        <w:pStyle w:val="TextBody"/>
        <w:spacing w:before="0" w:after="0"/>
        <w:ind w:left="0" w:right="0" w:firstLine="480"/>
        <w:jc w:val="both"/>
        <w:rPr/>
      </w:pPr>
      <w:r>
        <w:rPr/>
      </w:r>
    </w:p>
    <w:p>
      <w:pPr>
        <w:pStyle w:val="TextBody"/>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its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could result in additional dilution of the percentage ownership of our shareholders and could cause our share price to fall.</w:t>
      </w:r>
    </w:p>
    <w:p>
      <w:pPr>
        <w:pStyle w:val="TextBody"/>
        <w:spacing w:lineRule="auto" w:line="240" w:before="0" w:after="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Such sales may also result in material dilution to our existing shareholders, and new investors could gain rights, preferences, and privileges senior to existing holders of our Class A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a substantial number of shares of our Class A common stock, or the perception in the market that the holders of a large number of shares of Class A common stock intend to sell shares, could reduce the market</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price of our Class A common stock.</w:t>
      </w:r>
    </w:p>
    <w:p>
      <w:pPr>
        <w:pStyle w:val="TextBody"/>
        <w:spacing w:lineRule="auto" w:line="240" w:before="0" w:after="0"/>
        <w:ind w:left="0" w:right="0" w:firstLine="72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Approximately 155,237,646 of these shares of Class A common stock were subject to restrictions on transfer under a 180-day lock-up agreement entered into between us and the holders of those shares. These restrictions expired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Until such time that such registration statement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certain holders of our Class A common stock sell a significant portion of their securities, it may negatively impact the market price of the shares of our Class A common stock and such holders still may receive significant proceeds.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 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or legal proceedings could expose us to significant liabilities and have a negative impact on our reputations or business.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Under the terms of ArcLight’s placement agent agreements with BofA Securities, Inc. (“</w:t>
      </w:r>
      <w:r>
        <w:rPr>
          <w:rFonts w:ascii="Times New Roman;sans-serif" w:hAnsi="Times New Roman;sans-serif"/>
          <w:b/>
          <w:i/>
          <w:color w:val="000000"/>
          <w:sz w:val="20"/>
        </w:rPr>
        <w:t>BofA</w:t>
      </w:r>
      <w:r>
        <w:rPr>
          <w:color w:val="000000"/>
        </w:rPr>
        <w:t>”</w:t>
      </w:r>
      <w:r>
        <w:rPr>
          <w:rFonts w:ascii="Times New Roman;sans-serif" w:hAnsi="Times New Roman;sans-serif"/>
          <w:b w:val="false"/>
          <w:color w:val="000000"/>
          <w:sz w:val="20"/>
        </w:rPr>
        <w:t>), Credit Suisse Securities (USA) LLC (“</w:t>
      </w:r>
      <w:r>
        <w:rPr>
          <w:rFonts w:ascii="Times New Roman;sans-serif" w:hAnsi="Times New Roman;sans-serif"/>
          <w:b/>
          <w:i/>
          <w:color w:val="000000"/>
          <w:sz w:val="20"/>
        </w:rPr>
        <w:t>CS</w:t>
      </w:r>
      <w:r>
        <w:rPr>
          <w:color w:val="000000"/>
        </w:rPr>
        <w:t>”</w:t>
      </w:r>
      <w:r>
        <w:rPr>
          <w:rFonts w:ascii="Times New Roman;sans-serif" w:hAnsi="Times New Roman;sans-serif"/>
          <w:b w:val="false"/>
          <w:color w:val="000000"/>
          <w:sz w:val="20"/>
        </w:rPr>
        <w:t>), Barclays Capital Inc. (“</w:t>
      </w:r>
      <w:r>
        <w:rPr>
          <w:rFonts w:ascii="Times New Roman;sans-serif" w:hAnsi="Times New Roman;sans-serif"/>
          <w:b/>
          <w:i/>
          <w:color w:val="000000"/>
          <w:sz w:val="20"/>
        </w:rPr>
        <w:t>Barclays</w:t>
      </w:r>
      <w:r>
        <w:rPr>
          <w:color w:val="000000"/>
        </w:rPr>
        <w:t>”</w:t>
      </w:r>
      <w:r>
        <w:rPr>
          <w:rFonts w:ascii="Times New Roman;sans-serif" w:hAnsi="Times New Roman;sans-serif"/>
          <w:b w:val="false"/>
          <w:color w:val="000000"/>
          <w:sz w:val="20"/>
        </w:rPr>
        <w:t>) and Citigroup Global Markets Inc. (“</w:t>
      </w:r>
      <w:r>
        <w:rPr>
          <w:rFonts w:ascii="Times New Roman;sans-serif" w:hAnsi="Times New Roman;sans-serif"/>
          <w:b/>
          <w:i/>
          <w:color w:val="000000"/>
          <w:sz w:val="20"/>
        </w:rPr>
        <w:t>Citi</w:t>
      </w:r>
      <w:r>
        <w:rPr>
          <w:color w:val="000000"/>
        </w:rPr>
        <w:t xml:space="preserve">” </w:t>
      </w:r>
      <w:r>
        <w:rPr>
          <w:rFonts w:ascii="Times New Roman;sans-serif" w:hAnsi="Times New Roman;sans-serif"/>
          <w:b w:val="false"/>
          <w:color w:val="000000"/>
          <w:sz w:val="20"/>
        </w:rPr>
        <w:t>and together with BofA, CS and Barclays, the “</w:t>
      </w:r>
      <w:r>
        <w:rPr>
          <w:rFonts w:ascii="Times New Roman;sans-serif" w:hAnsi="Times New Roman;sans-serif"/>
          <w:b/>
          <w:i/>
          <w:color w:val="000000"/>
          <w:sz w:val="20"/>
        </w:rPr>
        <w:t>Advisors</w:t>
      </w:r>
      <w:r>
        <w:rPr>
          <w:color w:val="000000"/>
        </w:rPr>
        <w:t>”</w:t>
      </w:r>
      <w:r>
        <w:rPr>
          <w:rFonts w:ascii="Times New Roman;sans-serif" w:hAnsi="Times New Roman;sans-serif"/>
          <w:b w:val="false"/>
          <w:color w:val="000000"/>
          <w:sz w:val="20"/>
        </w:rPr>
        <w:t>)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 and regulations regarding regulatory matters, corporate governance and public disclosure that will increase both our costs and the risk of noncompliance.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r>
        <w:rPr>
          <w:color w:val="000000"/>
        </w:rPr>
        <w:t> </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our election to comply with the reduced disclosure requirements as a public company may make our Class A common stock less attractive to investors.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84.4% of our outstanding common stock as of April 28, 2023. All of these shares (with the exception of 880,600 shares of Class A common stock purchased by Fortistar in the PIPE Investment) are Class D common stock, which have no economic rights but are entitled to five votes per share, giving Mr. Mark Comora control over 96.4%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only material assets are our direct interests in OPAL Fuels, and we are accordingly dependent upon distributions from OPAL Fuels to pay dividends and taxes and other expenses.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agreements or applicable law or regulation, or is otherwise unable to provide such funds, it could materially adversely affect our liquidity and financial condition.</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Opco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and thus not subject to all of the corporate governance rules of Nasdaq. You will not have the same protections afforded to stockholders of companies that are subject to such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dual-class structure of our common stock may adversely affect the trading market for the shares of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limited availability of market quotations for our securities;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determination that the Class A common stock is a “penny stock” which will require brokers trading in the Class A common stock to adhere to more stringent rules;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possible reduction in the level of trading activity in the secondary trading market for shares of the Class A common stock;</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limited amount of analyst coverage; and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shares of common stock for the foreseeable future, you may not receive any return on investment unless you sell your shares of common stock for a price greater than that which you paid for it.</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unless you sell your shares of Class A common stock for a price greater than that which you paid for it.</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are contained in the Organizational Documents that could delay or prevent a change of control.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among other things:</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permit our board to establish the number of directors;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provide that our board is expressly authorized to make, alter or repeal the Bylaws; and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that we realize in respect of the tax attributes subject to the Tax Receivable Agreement.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$192.0 million depending on OPAL Fuels’s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and Information Technology Risks</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may be impacted by macroeconomic conditions, including fears concerning the financial services industry, inflation, rising interest rates and volatile market conditions, and other uncertainties beyond our control.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shares of Class A common stock offered by the Selling Holders pursuant to this prospectus will be sold by the Selling Holders for their respective accounts. We will not receive any of the proceeds from these sales.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120" w:after="240"/>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audited consolidated financial statements as of and for the years ended December 31, 2022 and 2021, the related notes, and other information included elsewhere in this prospectus. In addition to historical information, this discussion and analysis includes certain forward-looking statements which reflect our current expectations. Our actual results may materially differ from these forward-looking statements.</w:t>
      </w:r>
    </w:p>
    <w:p>
      <w:pPr>
        <w:pStyle w:val="TextBody"/>
        <w:spacing w:lineRule="auto" w:line="333"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renewable identification numbers (“RINs,”)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spacing w:before="0" w:after="0"/>
        <w:ind w:left="0" w:right="0" w:firstLine="360"/>
        <w:jc w:val="both"/>
        <w:rPr/>
      </w:pPr>
      <w:r>
        <w:rPr/>
      </w:r>
    </w:p>
    <w:p>
      <w:pPr>
        <w:pStyle w:val="TextBody"/>
        <w:spacing w:lineRule="auto" w:line="240"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before="0" w:after="0"/>
        <w:ind w:left="0" w:right="0" w:firstLine="972"/>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the Business Combination Agreement.</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lineRule="auto" w:line="240" w:before="160" w:after="283"/>
        <w:jc w:val="both"/>
        <w:rPr>
          <w:color w:val="000000"/>
        </w:rPr>
      </w:pPr>
      <w:r>
        <w:rPr>
          <w:color w:val="000000"/>
        </w:rPr>
        <w:t>    </w:t>
      </w: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were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Capital Market under the symbols “OPAL” and “OPALW,” respectively, on July 22, 2022.</w:t>
      </w:r>
    </w:p>
    <w:p>
      <w:pPr>
        <w:pStyle w:val="TextBody"/>
        <w:spacing w:before="0" w:after="0"/>
        <w:ind w:left="0" w:right="0" w:firstLine="72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to permit the Company to require that each Warrant that was outstanding upon the closing of the Offer be exchanged for 0.225 shares of Class A common stock, which was a ratio 10% less than the exchange ratio applicable to the Offer (such amendment, the “Warrant Amendment”).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effected the Post-Offer Exchange and issued 497,080 shares of Class A common stock. As a result of the completion of the Offer and the Post-Offer Exchange, there are no outstanding Warrants. Accordingly, the Public Warrants were suspended from trading on the Nasdaq and delisted. </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2022, FM3, an indirect subsidiary of the Company, which is the borrower under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Upon consummation of the FM3 Amendment, Opal Fuels holds approximately $45,000 of the outstanding loans under the FM3 Credit Agreement as an affiliate lender. On March 20, 2023, the Company repaid in full the remaining outstanding loan of $22,750.</w:t>
      </w:r>
    </w:p>
    <w:p>
      <w:pPr>
        <w:pStyle w:val="TextBody"/>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lineRule="auto" w:line="240"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an indirect wholly-owned subsidiary the Company, entered into the OPAL Term Loan II with a syndicate of lenders. The indebtedness is guaranteed by certain of the direct and indirect subsidiaries of OPAL Intermediate Holdco 2. The OPAL Term Loan II provides for an approximately two year DDTL Facility of up to a maximum aggregate principal amount of $100,000 and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w:t>
      </w:r>
    </w:p>
    <w:p>
      <w:pPr>
        <w:pStyle w:val="TextBody"/>
        <w:spacing w:lineRule="auto" w:line="240" w:before="14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spacing w:before="0" w:after="0"/>
        <w:ind w:left="0" w:right="0" w:firstLine="360"/>
        <w:jc w:val="both"/>
        <w:rPr/>
      </w:pPr>
      <w:r>
        <w:rPr/>
      </w:r>
    </w:p>
    <w:p>
      <w:pPr>
        <w:pStyle w:val="TextBody"/>
        <w:spacing w:lineRule="auto" w:line="240" w:before="240" w:after="283"/>
        <w:rPr>
          <w:color w:val="000000"/>
        </w:rPr>
      </w:pPr>
      <w:r>
        <w:rPr>
          <w:color w:val="000000"/>
        </w:rPr>
        <w:t> </w:t>
      </w:r>
      <w:r>
        <w:rPr>
          <w:rFonts w:ascii="Times New Roman;sans-serif" w:hAnsi="Times New Roman;sans-serif"/>
          <w:b/>
          <w:color w:val="000000"/>
          <w:sz w:val="20"/>
        </w:rPr>
        <w:t>Key Factors and Trends Influencing our Results of Operations</w:t>
      </w:r>
    </w:p>
    <w:p>
      <w:pPr>
        <w:pStyle w:val="TextBody"/>
        <w:spacing w:lineRule="auto" w:line="240"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prospectus.</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spacing w:lineRule="auto" w:line="240" w:before="160" w:after="283"/>
        <w:ind w:left="0" w:right="0" w:firstLine="360"/>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spacing w:lineRule="auto" w:line="240"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pStyle w:val="TextBody"/>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prospectus, the COVID-19 pandemic has had a relatively minimal economic impact on our results of operations.</w:t>
      </w:r>
    </w:p>
    <w:p>
      <w:pPr>
        <w:pStyle w:val="TextBody"/>
        <w:spacing w:before="0" w:after="0"/>
        <w:ind w:left="0" w:right="0" w:firstLine="36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duration and future economic severity of the COVID-19 remains uncertain, and our results of operations and financial condition could potentially face material adverse effect(s) in the future due to COVID-19.</w:t>
      </w:r>
    </w:p>
    <w:p>
      <w:pPr>
        <w:pStyle w:val="TextBody"/>
        <w:spacing w:lineRule="auto" w:line="240" w:before="0" w:after="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RNG Fuel. The </w:t>
            </w:r>
            <w:r>
              <w:rPr>
                <w:rFonts w:ascii="Times New Roman;sans-serif" w:hAnsi="Times New Roman;sans-serif"/>
                <w:b w:val="false"/>
                <w:color w:val="000000"/>
                <w:sz w:val="20"/>
              </w:rPr>
              <w:t>RNG Fuel. The RNG Fuel segment includes RNG supply and dispensing activities as well as the associated generation and sale of commodity natural gas and environmental credits, and consists 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Included here are the Company's interests in both operating and construction projects.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RNG and CNG Fuel Dispensing Stations - This includes both the dispensing (or sale) of RNG, commodity natural gas, and environmental credit generation and monetization. The Company operates Fueling Stations that dispense both CNG and RNG fuel for vehicles.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 the Company provides construction and maintenance services to third-party owners of Fueling Stations. This segment includes: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Service and maintenance contracts for RNG/CNG Fueling Stations.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ableContents"/>
              <w:spacing w:lineRule="auto" w:line="240" w:before="0" w:after="0"/>
              <w:ind w:left="0" w:right="0" w:hanging="360"/>
              <w:jc w:val="both"/>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Power portfolio operates primarily in Southern California.</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spacing w:lineRule="auto" w:line="240" w:before="0" w:after="0"/>
        <w:ind w:left="0" w:right="0" w:firstLine="36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 equipment supplier costs; service provider costs; and salaries and other indirect expenses.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tc>
      </w:tr>
    </w:tbl>
    <w:p>
      <w:pPr>
        <w:pStyle w:val="TextBody"/>
        <w:spacing w:lineRule="auto" w:line="240" w:before="0" w:after="0"/>
        <w:rPr>
          <w:color w:val="000000"/>
        </w:rPr>
      </w:pPr>
      <w:r>
        <w:rPr>
          <w:color w:val="000000"/>
        </w:rPr>
        <w:t> </w:t>
      </w:r>
    </w:p>
    <w:p>
      <w:pPr>
        <w:pStyle w:val="TextBody"/>
        <w:spacing w:lineRule="auto" w:line="240" w:before="0" w:after="0"/>
        <w:ind w:left="0" w:right="0" w:firstLine="360"/>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cost of services provided to us by an affiliate, and marketing costs.</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120" w:after="240"/>
        <w:rPr>
          <w:color w:val="000000"/>
        </w:rPr>
      </w:pPr>
      <w:r>
        <w:rPr>
          <w:color w:val="000000"/>
        </w:rPr>
        <w:t>     </w:t>
      </w:r>
      <w:r>
        <w:rPr>
          <w:rFonts w:ascii="Times New Roman;sans-serif" w:hAnsi="Times New Roman;sans-serif"/>
          <w:b w:val="false"/>
          <w:color w:val="000000"/>
          <w:sz w:val="20"/>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pStyle w:val="TextBody"/>
        <w:spacing w:lineRule="auto" w:line="240" w:before="120" w:after="240"/>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December 31, 2022 and 2021. No other single customer accounted for 10% or greater of our consolidated accounts receivable, net as of December 31, 2022 and 2021.</w:t>
      </w:r>
    </w:p>
    <w:p>
      <w:pPr>
        <w:pStyle w:val="TextBody"/>
        <w:spacing w:before="0" w:after="0"/>
        <w:ind w:left="0" w:right="0" w:firstLine="360"/>
        <w:jc w:val="both"/>
        <w:rPr/>
      </w:pPr>
      <w:r>
        <w:rPr/>
      </w:r>
    </w:p>
    <w:tbl>
      <w:tblPr>
        <w:tblW w:w="5227" w:type="dxa"/>
        <w:jc w:val="left"/>
        <w:tblInd w:w="0" w:type="dxa"/>
        <w:tblCellMar>
          <w:top w:w="28" w:type="dxa"/>
          <w:left w:w="28" w:type="dxa"/>
          <w:bottom w:w="28" w:type="dxa"/>
          <w:right w:w="28" w:type="dxa"/>
        </w:tblCellMar>
      </w:tblPr>
      <w:tblGrid>
        <w:gridCol w:w="391"/>
        <w:gridCol w:w="344"/>
        <w:gridCol w:w="345"/>
        <w:gridCol w:w="109"/>
        <w:gridCol w:w="109"/>
        <w:gridCol w:w="109"/>
        <w:gridCol w:w="574"/>
        <w:gridCol w:w="574"/>
        <w:gridCol w:w="576"/>
        <w:gridCol w:w="109"/>
        <w:gridCol w:w="109"/>
        <w:gridCol w:w="109"/>
        <w:gridCol w:w="517"/>
        <w:gridCol w:w="517"/>
        <w:gridCol w:w="735"/>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r>
    </w:tbl>
    <w:p>
      <w:pPr>
        <w:pStyle w:val="TextBody"/>
        <w:spacing w:before="0" w:after="0"/>
        <w:ind w:left="0" w:right="0" w:firstLine="360"/>
        <w:jc w:val="both"/>
        <w:rPr/>
      </w:pPr>
      <w:r>
        <w:rPr/>
      </w:r>
    </w:p>
    <w:p>
      <w:pPr>
        <w:pStyle w:val="TextBody"/>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p>
      <w:pPr>
        <w:pStyle w:val="TextBody"/>
        <w:spacing w:before="0" w:after="0"/>
        <w:ind w:left="0" w:right="0" w:firstLine="360"/>
        <w:jc w:val="both"/>
        <w:rPr/>
      </w:pPr>
      <w:r>
        <w:rPr/>
      </w:r>
    </w:p>
    <w:tbl>
      <w:tblPr>
        <w:tblW w:w="4627" w:type="dxa"/>
        <w:jc w:val="left"/>
        <w:tblInd w:w="0" w:type="dxa"/>
        <w:tblCellMar>
          <w:top w:w="28" w:type="dxa"/>
          <w:left w:w="28" w:type="dxa"/>
          <w:bottom w:w="28" w:type="dxa"/>
          <w:right w:w="28" w:type="dxa"/>
        </w:tblCellMar>
      </w:tblPr>
      <w:tblGrid>
        <w:gridCol w:w="391"/>
        <w:gridCol w:w="344"/>
        <w:gridCol w:w="345"/>
        <w:gridCol w:w="109"/>
        <w:gridCol w:w="109"/>
        <w:gridCol w:w="109"/>
        <w:gridCol w:w="342"/>
        <w:gridCol w:w="342"/>
        <w:gridCol w:w="342"/>
        <w:gridCol w:w="342"/>
        <w:gridCol w:w="342"/>
        <w:gridCol w:w="342"/>
        <w:gridCol w:w="342"/>
        <w:gridCol w:w="342"/>
        <w:gridCol w:w="48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bl>
    <w:p>
      <w:pPr>
        <w:pStyle w:val="TextBody"/>
        <w:spacing w:before="0" w:after="0"/>
        <w:ind w:left="0" w:right="0" w:firstLine="360"/>
        <w:jc w:val="both"/>
        <w:rPr/>
      </w:pPr>
      <w:r>
        <w:rPr/>
      </w:r>
    </w:p>
    <w:p>
      <w:pPr>
        <w:pStyle w:val="TextBody"/>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years ended December 31, 2022 and 2021:</w:t>
      </w:r>
    </w:p>
    <w:p>
      <w:pPr>
        <w:pStyle w:val="TextBody"/>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years ended December 31, 2022 and 2021:</w:t>
      </w:r>
    </w:p>
    <w:p>
      <w:pPr>
        <w:pStyle w:val="TextBody"/>
        <w:spacing w:before="0" w:after="0"/>
        <w:ind w:left="0" w:right="0" w:firstLine="360"/>
        <w:jc w:val="both"/>
        <w:rPr/>
      </w:pPr>
      <w:r>
        <w:rPr/>
      </w:r>
    </w:p>
    <w:tbl>
      <w:tblPr>
        <w:tblW w:w="7521" w:type="dxa"/>
        <w:jc w:val="left"/>
        <w:tblInd w:w="0" w:type="dxa"/>
        <w:tblCellMar>
          <w:top w:w="28" w:type="dxa"/>
          <w:left w:w="28" w:type="dxa"/>
          <w:bottom w:w="28" w:type="dxa"/>
          <w:right w:w="28" w:type="dxa"/>
        </w:tblCellMar>
      </w:tblPr>
      <w:tblGrid>
        <w:gridCol w:w="1440"/>
        <w:gridCol w:w="1265"/>
        <w:gridCol w:w="1269"/>
        <w:gridCol w:w="109"/>
        <w:gridCol w:w="109"/>
        <w:gridCol w:w="109"/>
        <w:gridCol w:w="342"/>
        <w:gridCol w:w="342"/>
        <w:gridCol w:w="342"/>
        <w:gridCol w:w="342"/>
        <w:gridCol w:w="342"/>
        <w:gridCol w:w="342"/>
        <w:gridCol w:w="342"/>
        <w:gridCol w:w="342"/>
        <w:gridCol w:w="484"/>
      </w:tblGrid>
      <w:tr>
        <w:trPr/>
        <w:tc>
          <w:tcPr>
            <w:tcW w:w="144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r>
    </w:tbl>
    <w:p>
      <w:pPr>
        <w:pStyle w:val="TextBody"/>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197" w:type="dxa"/>
        <w:jc w:val="left"/>
        <w:tblInd w:w="0" w:type="dxa"/>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03"/>
        <w:gridCol w:w="2882"/>
        <w:gridCol w:w="40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3"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44"/>
        <w:gridCol w:w="566"/>
        <w:gridCol w:w="573"/>
        <w:gridCol w:w="1060"/>
        <w:gridCol w:w="1060"/>
        <w:gridCol w:w="1063"/>
        <w:gridCol w:w="763"/>
        <w:gridCol w:w="763"/>
        <w:gridCol w:w="765"/>
        <w:gridCol w:w="866"/>
        <w:gridCol w:w="857"/>
        <w:gridCol w:w="1225"/>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1</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3</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4</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5</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6</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7</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 2</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1</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1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31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2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69"/>
        <w:gridCol w:w="2855"/>
        <w:gridCol w:w="40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bl>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2022, and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consolidated statements of operations for the twelve months ended months ended December 31, 2022 and 2021.</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01"/>
        <w:gridCol w:w="1400"/>
        <w:gridCol w:w="1404"/>
        <w:gridCol w:w="109"/>
        <w:gridCol w:w="109"/>
        <w:gridCol w:w="109"/>
        <w:gridCol w:w="567"/>
        <w:gridCol w:w="319"/>
        <w:gridCol w:w="319"/>
        <w:gridCol w:w="310"/>
        <w:gridCol w:w="310"/>
        <w:gridCol w:w="310"/>
        <w:gridCol w:w="325"/>
        <w:gridCol w:w="325"/>
        <w:gridCol w:w="317"/>
        <w:gridCol w:w="109"/>
        <w:gridCol w:w="109"/>
        <w:gridCol w:w="109"/>
        <w:gridCol w:w="289"/>
        <w:gridCol w:w="289"/>
        <w:gridCol w:w="293"/>
        <w:gridCol w:w="109"/>
        <w:gridCol w:w="109"/>
        <w:gridCol w:w="109"/>
        <w:gridCol w:w="245"/>
        <w:gridCol w:w="245"/>
        <w:gridCol w:w="356"/>
      </w:tblGrid>
      <w:tr>
        <w:trPr/>
        <w:tc>
          <w:tcPr>
            <w:tcW w:w="160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4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spacing w:lineRule="auto" w:line="333" w:before="0" w:after="30"/>
              <w:jc w:val="center"/>
              <w:rPr>
                <w:color w:val="000000"/>
              </w:rPr>
            </w:pPr>
            <w:r>
              <w:rPr>
                <w:color w:val="000000"/>
              </w:rPr>
              <w:t> </w:t>
            </w:r>
            <w:r>
              <w:rPr>
                <w:rFonts w:ascii="Times New Roman;sans-serif" w:hAnsi="Times New Roman;sans-serif"/>
                <w:b/>
                <w:color w:val="000000"/>
                <w:sz w:val="18"/>
              </w:rPr>
              <w:t>Change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vMerge w:val="restart"/>
            <w:tcBorders/>
            <w:shd w:fill="auto" w:val="clear"/>
            <w:tcMar>
              <w:top w:w="0" w:type="dxa"/>
              <w:left w:w="0" w:type="dxa"/>
              <w:bottom w:w="0" w:type="dxa"/>
              <w:right w:w="0" w:type="dxa"/>
            </w:tcMar>
            <w:vAlign w:val="center"/>
          </w:tcPr>
          <w:p>
            <w:pPr>
              <w:pStyle w:val="TableContents"/>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p>
            <w:pPr>
              <w:pStyle w:val="TableContents"/>
              <w:spacing w:lineRule="auto" w:line="333" w:before="0" w:after="30"/>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4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126,830</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70,360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56,470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r>
      <w:tr>
        <w:trPr/>
        <w:tc>
          <w:tcPr>
            <w:tcW w:w="440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w:t>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3677    %</w:t>
            </w:r>
          </w:p>
        </w:tc>
      </w:tr>
      <w:tr>
        <w:trPr/>
        <w:tc>
          <w:tcPr>
            <w:tcW w:w="440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$56.5 million, or 80%, for the year ended December 31, 2022 compared to the year ended December 31, 2021. $18.0 million of this increase was attributable primarily to the impact of full year of Beacon revenues in 2022 versus only eight months in 2021. Additionally, revenues increased by $3.1 million from methanol pathway credits, $9.0 million increase from brown gas sales and $25.6 million increase from sale of environmental credits.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$18.8 million, or 37%, for the year ended December 31, 2022 compared to the year ended December 31, 2021. This was primarily attributable to an increase of $16.3 million from fuel station construction projects which were completed into 2022, coupled with an incremental $1.6 million from increase in volumes at existing and new service sites and $1.7 million from sale of portable fueling stations.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$5.9 million, or 13%, for the year ended December 31, 2022 compared to the year ended December 31, 2021. This change was attributable primarily to a decrease of $5.1 million due to conversion of one of our electricity generation facilities into an RNG facility and a decrease of $0.8 million due to the closure of one of our electricity generation facilities as our gas rights agreement concluded.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RNG Fuel increased by $37.9 million, or 92%, for the year ended December 31, 2022 compared to the year ended December 31, 2021. This change was attributable primarily to the inclusion of full year of Beacon’s cost of sales upon consolidation in May 2021 resulting in an increase of $9.2 million, a $3.2 million increase in development costs for building new RNG facilities, $10.3 million increase from new RNG facilities such as Sunoma and New River, $14.7 million increase relating to increased dispensing fees from an increased volume of environmental credits generated and $0.7 million write down charges relating to our brown gas inventory to its net realizable value due to decrease in prices. Additionally, there were savings of $1.2 million from deconsolidation of Pine Bend and Noble Road as of December 31, 2021.</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$18.7 million, or 44%, for the year ended December 31, 2022 compared to the year ended December 31, 2021. This change was attributable primarily to an increase in costs of $17.1 million for third-party construction projects completed in 2022 and an increase of $1.2 million in service from higher volumes dispensed.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increased by $0.4 million, or 1%, for the year ended December 31, 2022 compared to the year ended December 31, 2021.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a total of $19.2 million, or 65%, for the year ended December 31, 2022 compared to the year ended December 31, 2021. This change was attributable primarily to higher insurance expense of $5.1 million relating to the insurance policies for Arclight’s former directors and the Company’s current management, higher employee headcount and related compensation and benefit expenses of $6.9 million to support our organic growth year-over-year, a $5.0 million increase in professional fees related to audit, tax, legal and consulting fees, a $2.5 million increase in IT-related expenses, $0.8 million stock-based compensation expense and $0.4 million related to corporate governance expenses for a public company.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$2.5 million, or 23%, for the year ended December 31, 2022 compared to the year ended December 31, 2021. This change was primarily due to $2.0 million increase from two new RNG facilities coming online - Sunoma and New River, $0.4 million increase from amortization of right-of-use assets for finance leases from adoption of ASC 842, $0.6 million increase from downstream dispensing sites becoming operational offset by decrease in depreciation for Renewable Power business by $0.3 million.</w:t>
      </w:r>
    </w:p>
    <w:p>
      <w:pPr>
        <w:pStyle w:val="TextBody"/>
        <w:spacing w:before="0" w:after="0"/>
        <w:ind w:left="0" w:right="0" w:firstLine="45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$0.8 million, or 11%, for the year ended December 31, 2022 compared to the year ended December 31, 2021. The decrease is primarily attributable to $2.9 million decrease in the Convertible Note Payable as a result of a decrease of $2.9 million in change in fair market value as well as an increase in interest income of $2.0 million from the Note receivable and short term investments and $3.7 million was capitalized as part of Property, plant and equipment. These savings were offset by $1.0 million higher expense on the Senior Secured Credit Facility, $0.2 million higher interest expense on the OPAL Term Loan, $0.9 million increase in amortization of deferred financing costs, $1.8 million increase in Sunoma Loan as interest on Sunoma Loan was capitalized in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$33.0 million, or 333%, for the year ended December 31, 2022 compared to the year ended December 31, 2021. This change was attributable primarily to gain of $37.1 million on our earnout liabilities offset by change in fair value on derivative instruments including warrant liabilities, contingent payment to a non-controlling interest of one our VIEs, put option on a forward purchase agreement and interest rate swaps. These liabilities were recorded in the consolidated balance sheet upon completion of the Business Combination.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$1.9 million, or 100%, for the year ended December 31, 2022 compared to the year ended December 31, 2021. This change is primarily related to a gain recognized on redemption of Note receivable.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Loss on warrant exchange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w:t>
      </w:r>
      <w:r>
        <w:rPr>
          <w:color w:val="000000"/>
        </w:rPr>
        <w:t xml:space="preserve">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$3.5 million, or 155%, for the year ended December 31, 2022 compared to the year ended December 31, 2021. This change was attributable primarily to the increase in net income from Pine Bend,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acquisition of equity method investment</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acquisition of equity method investment decreased by $19.8 million for the year ended December 31, 2022 compared to the year ended December 31, 2021. This change was attributable primarily to the fair value adjustment resulting from our step acquisition of the remaining interest in Beacon in May 2021.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deconsolidation of VIEs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deconsolidation of VIEs decreased by $15.0 million, or 100% for the year ended December 31, 2022. This is primarily due to deconsolidation of Pine Bend and Noble Road as of December 31, 2021, which was not a recurring item in 2022.</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for the year ended December 31, 2022 and 2021 is $22.4 million and $41.4 million, respectively. The net income for the year ended December 31, 2022 reflects the net income belonging to OPAL Fuels equity holders prior to Business Combination for the period January 1, 2022 through July 21, 2022 and portion of net income belonging to OPAL Fuels equity holders from July 21, 2022 through December 31, 2022 based on pro-rata ownership.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 for the year ended December 31, 2022 increased by $0.3 million or 43%, compared to the year ended December 31, 2021. This reflects the joint venture partners' loss in those entities we sold a portion of our membership interests in certain RNG facilities which are consolidated in our financial statements. These entities for the year ended December 31, 2022, were Sunoma, Emerald, Sapphire and Central Valley. The entities accounted for as non-redeemable non-controlling interests for the year ended December 31, 2021 were Sunoma and Central Valley.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spacing w:lineRule="auto" w:line="240" w:before="0" w:after="0"/>
        <w:jc w:val="both"/>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$7.9 million and $0.2 million for the years ended December 31, 2022 and 2021, respectively as paid-in-kind dividends.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liquidity consisted of cash and cash equivalents including restricted cash of $77.2 million and $65.0 million of short term investments. Additionally, we entered into the OPAL Term Loan II where we have undrawn availability of $105.0 million. We also drew down on the remaining $10.0 million available under OPAL Term Loan I in March 2023.</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prospectus.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Cautionary Statement Regarding Forward-Looking Statements</w:t>
      </w:r>
      <w:r>
        <w:rPr>
          <w:rFonts w:ascii="Times New Roman;sans-serif" w:hAnsi="Times New Roman;sans-serif"/>
          <w:b w:val="false"/>
          <w:color w:val="000000"/>
          <w:sz w:val="20"/>
        </w:rPr>
        <w: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total indebtedness excluding deferred financing costs of $170.4 million which primarily consists of $22.8 million under the Senior Secured Credit Facility, $28.5 million under the Convertible Note Payable, $96.1 million under the OPAL Term Loan, $0.1 million under the Municipality loan and $23.0 million under Sunoma Loan.</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operations we have arrangements for office space for our corporate headquarters under the Administrative Services Agreement as well as operating leases for office space, warehouse space, and our vehicle fleet.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See Note 8</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to our consolidated financial statements.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years ended December 31, 2022 and 2021:</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8302" w:type="dxa"/>
        <w:jc w:val="left"/>
        <w:tblInd w:w="0" w:type="dxa"/>
        <w:tblCellMar>
          <w:top w:w="28" w:type="dxa"/>
          <w:left w:w="28" w:type="dxa"/>
          <w:bottom w:w="28" w:type="dxa"/>
          <w:right w:w="28" w:type="dxa"/>
        </w:tblCellMar>
      </w:tblPr>
      <w:tblGrid>
        <w:gridCol w:w="1721"/>
        <w:gridCol w:w="1515"/>
        <w:gridCol w:w="1519"/>
        <w:gridCol w:w="109"/>
        <w:gridCol w:w="109"/>
        <w:gridCol w:w="109"/>
        <w:gridCol w:w="342"/>
        <w:gridCol w:w="342"/>
        <w:gridCol w:w="342"/>
        <w:gridCol w:w="342"/>
        <w:gridCol w:w="342"/>
        <w:gridCol w:w="342"/>
        <w:gridCol w:w="342"/>
        <w:gridCol w:w="342"/>
        <w:gridCol w:w="484"/>
      </w:tblGrid>
      <w:tr>
        <w:trPr/>
        <w:tc>
          <w:tcPr>
            <w:tcW w:w="172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(1,355)</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18,856</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(184,028)</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(117,204)</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220,550</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125,014</w:t>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35,167</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26,666</w:t>
            </w:r>
          </w:p>
        </w:tc>
      </w:tr>
    </w:tbl>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year ended December 31, 2022 was $1.4 million, a decrease of $20.2 million compared to net cash provided of $18.9 million for the year ended December 31, 2021. The decrease in cash provided by operating activities was primarily attributable to lower margins reducing our operating income year-over-year and higher transaction costs that were not capitalized associated with becoming a public company and negative working capital changes primarily related to accounts receivable.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2022 was $184.0 million, an increase of $66.8 million compared to the $117.2 million used in investing activities for the year ended December 31, 2021. This was primarily driven by cash invested in short term investments of $65.0 million, payments made for the construction of various RNG generation and dispensing facilities of $131.4 million as compared to $89.6 million in the prior year. These amounts were partially offset by proceeds from repayment of Note receivable of $10.9 million and lower distribution from equity method investment of $1.6 million.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from financing activities for the year ended December 31, 2022 was $220.6 million, an increase of $95.5 million compared to the $125.0 million provided from financing activities for the year ended December 31, 2021. The current year activity is primarily driven by proceeds received from the consummation of Business Combination of $138.9 million, issuance of redeemable preferred non-controlling interests for total proceeds of $100.0 million, proceeds from the OPAL Term Loan of $40.0 million, proceeds from the Sunoma Loan of $4.6 million and a capital contribution from a related party of $23.2 million related to a joint venture. This was offset by debt repayments of $58.6 million and $18.9 million on the Senior Secured Credit Facility and the OPAL Term Loan, respectively, and $8.3 million in financing costs.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spacing w:lineRule="auto" w:line="240" w:before="0" w:after="0"/>
        <w:rPr>
          <w:color w:val="000000"/>
        </w:rPr>
      </w:pPr>
      <w:r>
        <w:rPr>
          <w:color w:val="000000"/>
        </w:rPr>
        <w:t> </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As of December 31, 2022, we have budgeted for $231.0 million in capital expenditures for the next 12 months, of which $184.7 million is committed under existing contracts. These expenditures represent net capital expenditures to be incurred by the Company after expected contributions from our joint venture and non-controlling interest partners. They primarily relate to our development of new RNG facilities and the purchase of equipment used in our Fueling Station services and Renewable Power operations. </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8.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consolidated financial statements for additional information. </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pStyle w:val="TextBody"/>
        <w:spacing w:before="0" w:after="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Gas — Fuel Purchase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Interstate Gas Pipeline Delivery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Attributes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Operation and Maintenance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have operating and maintenance (“</w:t>
      </w:r>
      <w:r>
        <w:rPr>
          <w:rFonts w:ascii="Times New Roman;sans-serif" w:hAnsi="Times New Roman;sans-serif"/>
          <w:b/>
          <w:i/>
          <w:color w:val="000000"/>
          <w:sz w:val="20"/>
        </w:rPr>
        <w:t>O&amp;M</w:t>
      </w:r>
      <w:r>
        <w:rPr>
          <w:color w:val="000000"/>
        </w:rPr>
        <w:t>”</w:t>
      </w:r>
      <w:r>
        <w:rPr>
          <w:rFonts w:ascii="Times New Roman;sans-serif" w:hAnsi="Times New Roman;sans-serif"/>
          <w:b w:val="false"/>
          <w:color w:val="000000"/>
          <w:sz w:val="20"/>
        </w:rPr>
        <w:t>) agreements in which we are contracted to operate, maintain, and repair landfill site gas collection systems. Revenue is based on the volume of per million British thermal units (“</w:t>
      </w:r>
      <w:r>
        <w:rPr>
          <w:rFonts w:ascii="Times New Roman;sans-serif" w:hAnsi="Times New Roman;sans-serif"/>
          <w:b/>
          <w:i/>
          <w:color w:val="000000"/>
          <w:sz w:val="20"/>
        </w:rPr>
        <w:t>MMBtu</w:t>
      </w:r>
      <w:r>
        <w:rPr>
          <w:color w:val="000000"/>
        </w:rPr>
        <w:t>”</w:t>
      </w:r>
      <w:r>
        <w:rPr>
          <w:rFonts w:ascii="Times New Roman;sans-serif" w:hAnsi="Times New Roman;sans-serif"/>
          <w:b w:val="false"/>
          <w:color w:val="000000"/>
          <w:sz w:val="20"/>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Type Contracts — Third Party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Goodwill and Long-Lived Assets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Goodwill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spacing w:lineRule="auto" w:line="240" w:before="0" w:after="0"/>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for the six months ended June 30, 2022, there is no impairment recorded on our Plant, Property and Equipment.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Refer to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to our condensed consolidated financial statements, for details on our assets and liabilities regularly recorded at fair value and the respective placements in the fair value hierarchy.</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Refer to Note 16.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to our consolidated financial statements, for additional information.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earnout liabilities, put option on a forward purchase agreement, interest rate swaps and commodity swap contracts. Actual results could differ from those estimates.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pStyle w:val="TextBody"/>
        <w:spacing w:before="0" w:after="0"/>
        <w:ind w:left="0" w:right="0" w:firstLine="360"/>
        <w:jc w:val="both"/>
        <w:rPr/>
      </w:pPr>
      <w:r>
        <w:rPr/>
      </w:r>
    </w:p>
    <w:p>
      <w:pPr>
        <w:pStyle w:val="TextBody"/>
        <w:spacing w:lineRule="auto" w:line="240" w:before="0" w:after="0"/>
        <w:ind w:left="0" w:right="0" w:firstLine="360"/>
        <w:jc w:val="both"/>
        <w:rPr/>
      </w:pPr>
      <w:r>
        <w:rPr>
          <w:color w:val="000000"/>
        </w:rPr>
        <w:t>    </w:t>
      </w:r>
      <w:r>
        <w:rPr>
          <w:rFonts w:ascii="Times New Roman;sans-serif" w:hAnsi="Times New Roman;sans-serif"/>
          <w:b w:val="false"/>
          <w:color w:val="000000"/>
          <w:sz w:val="20"/>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10. </w:t>
      </w:r>
      <w:r>
        <w:rPr>
          <w:rFonts w:ascii="Times New Roman;sans-serif" w:hAnsi="Times New Roman;sans-serif"/>
          <w:b w:val="false"/>
          <w:i/>
          <w:color w:val="000000"/>
          <w:sz w:val="20"/>
        </w:rPr>
        <w:t>Derivative Financial Instruments and Fair Value Measurements</w:t>
      </w:r>
      <w:r>
        <w:rPr>
          <w:rFonts w:ascii="Times New Roman;sans-serif" w:hAnsi="Times New Roman;sans-serif"/>
          <w:b w:val="false"/>
          <w:color w:val="000000"/>
          <w:sz w:val="20"/>
        </w:rPr>
        <w:t>, to our consolidated financial statements.</w:t>
      </w:r>
    </w:p>
    <w:p>
      <w:pPr>
        <w:pStyle w:val="TextBody"/>
        <w:spacing w:before="120" w:after="24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spacing w:lineRule="auto" w:line="240"/>
        <w:jc w:val="center"/>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production of RNG for use as a vehicle fuel for heavy and medium-duty trucking fleets, generation of Renewable Power for sale to utilities, generation and sale of Environmental Attributes associated with RNG and Renewable Power, and sales of RNG as pipeline quality natural gas. We are an established biogas-to-energy producer in the United States, having participated in the landfill gas to energy industry for over 20 years. We have established our operating portfolio through self-development, partnerships, and acquisitions.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landfill gas, which is produced by the decomposition of organic waste at landfills and dairy manure, which is processed through anaerobic digesters to produce the biogas.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spacing w:before="0" w:after="0"/>
        <w:ind w:left="0" w:right="0" w:firstLine="288"/>
        <w:jc w:val="both"/>
        <w:rPr/>
      </w:pPr>
      <w:r>
        <w:rPr/>
      </w:r>
    </w:p>
    <w:p>
      <w:pPr>
        <w:pStyle w:val="TextBody"/>
        <w:spacing w:lineRule="auto" w:line="240" w:before="0" w:after="0"/>
        <w:ind w:left="0" w:right="0" w:firstLine="288"/>
        <w:jc w:val="both"/>
        <w:rPr>
          <w:color w:val="000000"/>
        </w:rPr>
      </w:pPr>
      <w:r>
        <w:rPr>
          <w:color w:val="000000"/>
        </w:rPr>
        <w:t>    </w:t>
      </w:r>
      <w:r>
        <w:rPr>
          <w:rFonts w:ascii="Times New Roman;sans-serif" w:hAnsi="Times New Roman;sans-serif"/>
          <w:b w:val="false"/>
          <w:color w:val="000000"/>
          <w:sz w:val="20"/>
        </w:rPr>
        <w:t xml:space="preserve">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a long-term agreement with UPS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spacing w:before="0" w:after="0"/>
        <w:rPr/>
      </w:pPr>
      <w:r>
        <w:rPr/>
      </w:r>
    </w:p>
    <w:p>
      <w:pPr>
        <w:pStyle w:val="TextBody"/>
        <w:spacing w:lineRule="auto" w:line="240"/>
        <w:ind w:left="0" w:right="0" w:firstLine="720"/>
        <w:jc w:val="both"/>
        <w:rPr/>
      </w:pPr>
      <w:r>
        <w:rPr>
          <w:rFonts w:ascii="Times New Roman;sans-serif" w:hAnsi="Times New Roman;sans-serif"/>
          <w:b w:val="false"/>
          <w:color w:val="000000"/>
          <w:sz w:val="20"/>
        </w:rPr>
        <w:t xml:space="preserve">On December 19, 2022, Fortistar Methane 3 LLC (“FM3”), an indirect subsidiary of the Company, and the borrower under the senior secured credit facility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an Omnibus and Consent Agreement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As of December 31, 2022, Opal Fuels holds approximately $45.0 million of the outstanding loans under the FM3 Credit Agreement as an affiliate lender. On March 20, 2023, the Company repaid in full the remaining outstanding balance under this loan facility.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spacing w:before="0" w:after="0"/>
        <w:ind w:left="0" w:right="0" w:firstLine="72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of the Company, entered into a new senior secured credit facility (the "OPAL Term Loan II") with a syndicate of lenders. The indebtedness is guaranteed by certain of the direct and indirect subsidiaries of OPAL Intermediate Holdco 2. OPAL Term Loan II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 million as financing fees to the lenders and incurred $1.4 million of expenses.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extBody"/>
        <w:spacing w:before="0" w:after="0"/>
        <w:ind w:left="0" w:right="0" w:firstLine="36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Promoting the reduction of methane and GHG emissions and expanding the use of renewable fuels to displace fossil-based fuels: </w:t>
      </w:r>
      <w:r>
        <w:rPr>
          <w:rFonts w:ascii="Times New Roman;sans-serif" w:hAnsi="Times New Roman;sans-serif"/>
          <w:b w:val="false"/>
          <w:color w:val="000000"/>
          <w:sz w:val="20"/>
        </w:rPr>
        <w:t>We share the renewable fuel industry’s commitment to</w:t>
      </w:r>
      <w:r>
        <w:rPr>
          <w:color w:val="000000"/>
        </w:rPr>
        <w:t xml:space="preserve"> </w:t>
      </w:r>
      <w:r>
        <w:rPr>
          <w:rFonts w:ascii="Times New Roman;sans-serif" w:hAnsi="Times New Roman;sans-serif"/>
          <w:b w:val="false"/>
          <w:color w:val="000000"/>
          <w:sz w:val="20"/>
        </w:rPr>
        <w:t>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extBody"/>
        <w:spacing w:before="0" w:after="0"/>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industry position as a full-service partner for development opportunities, including through strategic transactions: </w:t>
      </w:r>
      <w:r>
        <w:rPr>
          <w:rFonts w:ascii="Times New Roman;sans-serif" w:hAnsi="Times New Roman;sans-serif"/>
          <w:b w:val="false"/>
          <w:color w:val="000000"/>
          <w:sz w:val="20"/>
        </w:rPr>
        <w:t>Throughout our over 20 years of biogas conversion</w:t>
      </w:r>
      <w:r>
        <w:rPr>
          <w:color w:val="000000"/>
        </w:rPr>
        <w:t xml:space="preserve"> </w:t>
      </w:r>
      <w:r>
        <w:rPr>
          <w:rFonts w:ascii="Times New Roman;sans-serif" w:hAnsi="Times New Roman;sans-serif"/>
          <w:b w:val="false"/>
          <w:color w:val="000000"/>
          <w:sz w:val="20"/>
        </w:rPr>
        <w:t>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extBody"/>
        <w:spacing w:before="0" w:after="0"/>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capabilities to new feedstock sources and technologies: </w:t>
      </w:r>
      <w:r>
        <w:rPr>
          <w:rFonts w:ascii="Times New Roman;sans-serif" w:hAnsi="Times New Roman;sans-serif"/>
          <w:b w:val="false"/>
          <w:color w:val="000000"/>
          <w:sz w:val="20"/>
        </w:rPr>
        <w:t>We believe we will be</w:t>
      </w:r>
      <w:r>
        <w:rPr>
          <w:color w:val="000000"/>
        </w:rPr>
        <w:t xml:space="preserve"> </w:t>
      </w:r>
      <w:r>
        <w:rPr>
          <w:rFonts w:ascii="Times New Roman;sans-serif" w:hAnsi="Times New Roman;sans-serif"/>
          <w:b w:val="false"/>
          <w:color w:val="000000"/>
          <w:sz w:val="20"/>
        </w:rPr>
        <w:t>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Empowering our customers to achieve their sustainability and carbon reduction objectives: </w:t>
      </w:r>
      <w:r>
        <w:rPr>
          <w:rFonts w:ascii="Times New Roman;sans-serif" w:hAnsi="Times New Roman;sans-serif"/>
          <w:b w:val="false"/>
          <w:color w:val="000000"/>
          <w:sz w:val="20"/>
        </w:rPr>
        <w:t>We are well positioned to empower our customers to achieve their sustainability and</w:t>
      </w:r>
      <w:r>
        <w:rPr>
          <w:color w:val="000000"/>
        </w:rPr>
        <w:t xml:space="preserve"> </w:t>
      </w:r>
      <w:r>
        <w:rPr>
          <w:rFonts w:ascii="Times New Roman;sans-serif" w:hAnsi="Times New Roman;sans-serif"/>
          <w:b w:val="false"/>
          <w:color w:val="000000"/>
          <w:sz w:val="20"/>
        </w:rPr>
        <w:t>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extBody"/>
        <w:spacing w:before="0" w:after="0"/>
        <w:jc w:val="both"/>
        <w:rPr/>
      </w:pPr>
      <w:r>
        <w:rPr/>
      </w:r>
    </w:p>
    <w:p>
      <w:pPr>
        <w:pStyle w:val="TextBody"/>
        <w:spacing w:lineRule="auto" w:line="240" w:before="0" w:after="0"/>
        <w:rPr/>
      </w:pPr>
      <w:r>
        <w:rPr>
          <w:color w:val="000000"/>
        </w:rPr>
        <w:t> </w:t>
      </w:r>
      <w:r>
        <w:rPr>
          <w:rFonts w:ascii="Times New Roman;sans-serif" w:hAnsi="Times New Roman;sans-serif"/>
          <w:b w:val="false"/>
          <w:i/>
          <w:color w:val="000000"/>
          <w:sz w:val="20"/>
        </w:rPr>
        <w:t>Vertical Integration of Business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increasing number of transportation customers. The increasing adoption of RNG as a fuel for transportation use amongst our customers subsequently gives us more opportunities to secure additional gas rights for Biogas Conversion Projects.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Management and Project Expertise</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pStyle w:val="TextBody"/>
        <w:spacing w:before="0" w:after="0"/>
        <w:ind w:left="0" w:right="0" w:firstLine="892"/>
        <w:jc w:val="both"/>
        <w:rPr/>
      </w:pPr>
      <w:r>
        <w:rPr/>
      </w:r>
    </w:p>
    <w:p>
      <w:pPr>
        <w:pStyle w:val="TextBody"/>
        <w:spacing w:lineRule="auto" w:line="24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network of experienced and creditworthy EPC contractors to perform design, development, procurement and construction services under supervision by us.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pStyle w:val="TextBody"/>
        <w:spacing w:before="0" w:after="0"/>
        <w:ind w:left="0" w:right="0" w:firstLine="892"/>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Access to Development Opportunities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pStyle w:val="TextBody"/>
        <w:spacing w:before="0" w:after="0"/>
        <w:rPr/>
      </w:pPr>
      <w:r>
        <w:rPr/>
      </w:r>
    </w:p>
    <w:p>
      <w:pPr>
        <w:pStyle w:val="TextBody"/>
        <w:spacing w:lineRule="auto" w:line="240" w:before="0" w:after="0"/>
        <w:ind w:left="0" w:right="0" w:firstLine="892"/>
        <w:jc w:val="both"/>
        <w:rPr/>
      </w:pPr>
      <w:r>
        <w:rPr>
          <w:rFonts w:ascii="Times New Roman;sans-serif" w:hAnsi="Times New Roman;sans-serif"/>
          <w:b w:val="false"/>
          <w:color w:val="000000"/>
          <w:sz w:val="20"/>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actively seek to extend the term of our contracts at project sites and views our positive relationships with the owners and managers of its host landfills and dairy farms as a contributing factor to our ability to extend contract terms as they come due.</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Large and Diverse Project Portfolio</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EHS and Compliance</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Capture and Conversion Business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Dispensing and Monetization Business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Hydrogen Fuel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engineering phase and construction of the first several of these hydrogen fueling stations.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We Generate Revenue</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Overview.</w:t>
      </w:r>
      <w:r>
        <w:rPr>
          <w:color w:val="000000"/>
        </w:rPr>
        <w:t xml:space="preserve"> </w:t>
      </w:r>
      <w:r>
        <w:rPr>
          <w:rFonts w:ascii="Times New Roman;sans-serif" w:hAnsi="Times New Roman;sans-serif"/>
          <w:b w:val="false"/>
          <w:color w:val="000000"/>
          <w:sz w:val="20"/>
        </w:rPr>
        <w:t>Our revenues are driven principally from the sale of Environmental Attributes that are generated 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Environmental Attributes.</w:t>
      </w:r>
      <w:r>
        <w:rPr>
          <w:color w:val="000000"/>
        </w:rPr>
        <w:t xml:space="preserve"> </w:t>
      </w:r>
      <w:r>
        <w:rPr>
          <w:rFonts w:ascii="Times New Roman;sans-serif" w:hAnsi="Times New Roman;sans-serif"/>
          <w:b w:val="false"/>
          <w:color w:val="000000"/>
          <w:sz w:val="20"/>
        </w:rPr>
        <w:t>Currently, our Environmental Attributes revenue stream is primarily comprised of RINs, LCFS credits, and renewable energy credits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"Biogas RNG Market Opportunity".</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Power Purchase Agreements.</w:t>
      </w:r>
      <w:r>
        <w:rPr>
          <w:color w:val="000000"/>
        </w:rPr>
        <w:t xml:space="preserve"> </w:t>
      </w:r>
      <w:r>
        <w:rPr>
          <w:rFonts w:ascii="Times New Roman;sans-serif" w:hAnsi="Times New Roman;sans-serif"/>
          <w:b w:val="false"/>
          <w:color w:val="000000"/>
          <w:sz w:val="20"/>
        </w:rPr>
        <w:t>Our Renewable Power projects generally have associated long-term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Fueling Station Construction and Services.</w:t>
      </w:r>
      <w:r>
        <w:rPr>
          <w:color w:val="000000"/>
        </w:rPr>
        <w:t xml:space="preserve"> </w:t>
      </w:r>
      <w:r>
        <w:rPr>
          <w:rFonts w:ascii="Times New Roman;sans-serif" w:hAnsi="Times New Roman;sans-serif"/>
          <w:b w:val="false"/>
          <w:color w:val="000000"/>
          <w:sz w:val="20"/>
        </w:rPr>
        <w:t>We have significant experience in the engineering, design, construction and operation of Fueling Stations that dispense RNG. Since 2009, TruStar Energy Holdings LLC ("OPAL Fuel Station Services"),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our customers obtain federal, state and local tax credits, grants and incentives.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Biogas Conversion Projects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Typically, a Biogas Conversion Project includes two phases: (i) biogas collection and (ii) processing and purifying biogas.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separation of the CO2 from the methane molecules. Further treatment of the biogas is often required to remove residual nitrogen and/or oxygen to meet pipeline specifications.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If a biogas capture and conversion project is not within close proximity to a pipeline, the RNG is transported by road using tube trailers to a gas injection point. This is referred to as a virtual pipeline.</w:t>
      </w:r>
    </w:p>
    <w:p>
      <w:pPr>
        <w:pStyle w:val="TextBody"/>
        <w:spacing w:before="0" w:after="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Biogas RNG Market Opportunity</w:t>
      </w:r>
    </w:p>
    <w:p>
      <w:pPr>
        <w:pStyle w:val="TextBody"/>
        <w:ind w:left="0" w:right="0" w:firstLine="892"/>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 of Landfill Gas Sources</w:t>
      </w:r>
    </w:p>
    <w:p>
      <w:pPr>
        <w:pStyle w:val="TextBody"/>
        <w:spacing w:before="0" w:after="0"/>
        <w:ind w:left="0" w:right="0" w:firstLine="892"/>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pStyle w:val="TextBody"/>
        <w:spacing w:before="0" w:after="0"/>
        <w:ind w:left="0" w:right="0" w:firstLine="892"/>
        <w:jc w:val="both"/>
        <w:rPr/>
      </w:pPr>
      <w:r>
        <w:rPr/>
      </w:r>
    </w:p>
    <w:p>
      <w:pPr>
        <w:pStyle w:val="TextBody"/>
        <w:spacing w:lineRule="auto" w:line="240" w:before="0" w:after="0"/>
        <w:ind w:left="0" w:right="0" w:firstLine="900"/>
        <w:jc w:val="both"/>
        <w:rPr/>
      </w:pPr>
      <w:r>
        <w:rPr>
          <w:rFonts w:ascii="Times New Roman;sans-serif" w:hAnsi="Times New Roman;sans-serif"/>
          <w:b w:val="false"/>
          <w:color w:val="000000"/>
          <w:sz w:val="20"/>
        </w:rPr>
        <w:t>Using proven gas purification technology, biogas can be processed onsite to remove impurities, and used at around 50% methane to generate Renewable Power. Biogas can be further processed and upgraded to remove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pStyle w:val="TextBody"/>
        <w:spacing w:before="0" w:after="0"/>
        <w:jc w:val="both"/>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Overview of Livestock Sources</w:t>
      </w:r>
    </w:p>
    <w:p>
      <w:pPr>
        <w:pStyle w:val="TextBody"/>
        <w:spacing w:before="0" w:after="0"/>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Livestock are the top agricultural source of GHG worldwide, according to the EPA. Livestock waste, particularly from dairies, produces biomethane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view dairy farms as a significant opportunity for us to expand our RNG business. Processing biogas from dairy farms requires similar expertise and capabilities as processing biogas from landfills.</w:t>
      </w:r>
    </w:p>
    <w:p>
      <w:pPr>
        <w:pStyle w:val="TextBody"/>
        <w:spacing w:before="0" w:after="0"/>
        <w:ind w:left="0" w:right="0" w:firstLine="892"/>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Highly Fragmented Market</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LFG market is heavily fragmented, which we believe represents an opportunity for companies like us to find project opportunities. According to the EPA, the top ten players account for approximately 54% of installed LFG capacity as of December 31, 2022, and over 90% of developers own five or fewer projects. This market dynamic creates the opportunity for consolidation by well capitalized, experienced market participants such as OPAL.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While LFG has accounted for most of the growth in Biogas Conversion Projects to date, we believe additional economically viable LFG project opportunities exist. According to the EPA LMOP project database, as of August 2022, there were 538 LFG projects in operation in the United States, including 366 operating LFG-to-electricity projects that may be converted to produce RNG as well as 470 additional candidate landfills. Based on EPA data, these 470 candidate landfills have the potential to collect a combined 326.7 million standard cubic feet of LFG per day. Based on our industry experience, technical knowledge and analysis, we believe many of these sites are potentially economically viable for RNG project acquisitions.</w:t>
      </w:r>
    </w:p>
    <w:p>
      <w:pPr>
        <w:pStyle w:val="TextBody"/>
        <w:spacing w:before="0" w:after="0"/>
        <w:jc w:val="both"/>
        <w:rPr/>
      </w:pPr>
      <w:r>
        <w:rPr/>
      </w:r>
    </w:p>
    <w:p>
      <w:pPr>
        <w:pStyle w:val="TextBody"/>
        <w:spacing w:lineRule="auto" w:line="240"/>
        <w:jc w:val="both"/>
        <w:rPr>
          <w:color w:val="000000"/>
        </w:rPr>
      </w:pPr>
      <w:r>
        <w:rPr>
          <w:color w:val="000000"/>
        </w:rPr>
        <w:t>    </w:t>
      </w:r>
      <w:r>
        <w:rPr>
          <w:rFonts w:ascii="Times New Roman;sans-serif" w:hAnsi="Times New Roman;sans-serif"/>
          <w:b w:val="false"/>
          <w:color w:val="000000"/>
          <w:sz w:val="20"/>
        </w:rPr>
        <w:t xml:space="preserve">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CO2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our market leadership in RNG,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Well-Established Regulatory Framework</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Benefits Incentivize Switching to RNG</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spacing w:before="0" w:after="0"/>
        <w:ind w:left="0" w:right="0" w:firstLine="972"/>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Below is a table setting forth the RNG projects in operation and construction in our portfolio:</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8728" w:type="dxa"/>
        <w:jc w:val="left"/>
        <w:tblInd w:w="0" w:type="dxa"/>
        <w:tblCellMar>
          <w:top w:w="28" w:type="dxa"/>
          <w:left w:w="28" w:type="dxa"/>
          <w:bottom w:w="28" w:type="dxa"/>
          <w:right w:w="28" w:type="dxa"/>
        </w:tblCellMar>
      </w:tblPr>
      <w:tblGrid>
        <w:gridCol w:w="949"/>
        <w:gridCol w:w="834"/>
        <w:gridCol w:w="841"/>
        <w:gridCol w:w="1094"/>
        <w:gridCol w:w="1094"/>
        <w:gridCol w:w="1097"/>
        <w:gridCol w:w="514"/>
        <w:gridCol w:w="514"/>
        <w:gridCol w:w="516"/>
        <w:gridCol w:w="373"/>
        <w:gridCol w:w="373"/>
        <w:gridCol w:w="52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03"/>
        <w:gridCol w:w="2882"/>
        <w:gridCol w:w="40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3"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our over 20-year history which has allowed us to pivot towards projects and markets that we believe deliver optimal returns and shareholder value in response to changes in market, regulatory and competitive pressures.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val="false"/>
          <w:color w:val="000000"/>
          <w:sz w:val="20"/>
        </w:rPr>
        <w:t>Our RNG projects are subject to federal RFS program regulations, including the Energy Policy Act of 2005 (the “</w:t>
      </w:r>
      <w:r>
        <w:rPr>
          <w:rFonts w:ascii="Times New Roman;sans-serif" w:hAnsi="Times New Roman;sans-serif"/>
          <w:b/>
          <w:i/>
          <w:color w:val="000000"/>
          <w:sz w:val="20"/>
        </w:rPr>
        <w:t>EPACT 2005</w:t>
      </w:r>
      <w:r>
        <w:rPr>
          <w:color w:val="000000"/>
        </w:rPr>
        <w:t>”</w:t>
      </w:r>
      <w:r>
        <w:rPr>
          <w:rFonts w:ascii="Times New Roman;sans-serif" w:hAnsi="Times New Roman;sans-serif"/>
          <w:b w:val="false"/>
          <w:color w:val="000000"/>
          <w:sz w:val="20"/>
        </w:rPr>
        <w:t xml:space="preserve">) and EISA. The EPA administers the RFS program with volume requirements for several categories of renewable fuels. The EPA’s RFS regulations establish rules for fuel supplied and administer the RIN system for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EPA under the Clean Air Act (the “</w:t>
      </w:r>
      <w:r>
        <w:rPr>
          <w:rFonts w:ascii="Times New Roman;sans-serif" w:hAnsi="Times New Roman;sans-serif"/>
          <w:b/>
          <w:i/>
          <w:color w:val="000000"/>
          <w:sz w:val="20"/>
        </w:rPr>
        <w:t>CAA</w:t>
      </w:r>
      <w:r>
        <w:rPr>
          <w:color w:val="000000"/>
        </w:rPr>
        <w:t>”</w:t>
      </w:r>
      <w:r>
        <w:rPr>
          <w:rFonts w:ascii="Times New Roman;sans-serif" w:hAnsi="Times New Roman;sans-serif"/>
          <w:b w:val="false"/>
          <w:color w:val="000000"/>
          <w:sz w:val="20"/>
        </w:rPr>
        <w:t>) regulates emissions of pollutants to protect the environment and public health and contains provisions for New Source Review (the “</w:t>
      </w:r>
      <w:r>
        <w:rPr>
          <w:rFonts w:ascii="Times New Roman;sans-serif" w:hAnsi="Times New Roman;sans-serif"/>
          <w:b/>
          <w:i/>
          <w:color w:val="000000"/>
          <w:sz w:val="20"/>
        </w:rPr>
        <w:t>NSR</w:t>
      </w:r>
      <w:r>
        <w:rPr>
          <w:color w:val="000000"/>
        </w:rPr>
        <w:t>”</w:t>
      </w:r>
      <w:r>
        <w:rPr>
          <w:rFonts w:ascii="Times New Roman;sans-serif" w:hAnsi="Times New Roman;sans-serif"/>
          <w:b w:val="false"/>
          <w:color w:val="000000"/>
          <w:sz w:val="20"/>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Before an RNG project can be developed, all the Resource Conservation and Recovery (the “</w:t>
      </w:r>
      <w:r>
        <w:rPr>
          <w:rFonts w:ascii="Times New Roman;sans-serif" w:hAnsi="Times New Roman;sans-serif"/>
          <w:b/>
          <w:i/>
          <w:color w:val="000000"/>
          <w:sz w:val="20"/>
        </w:rPr>
        <w:t>RCRA”)</w:t>
      </w:r>
      <w:r>
        <w:rPr>
          <w:color w:val="000000"/>
        </w:rPr>
        <w:t> </w:t>
      </w:r>
      <w:r>
        <w:rPr>
          <w:rFonts w:ascii="Times New Roman;sans-serif" w:hAnsi="Times New Roman;sans-serif"/>
          <w:b w:val="false"/>
          <w:color w:val="000000"/>
          <w:sz w:val="20"/>
        </w:rPr>
        <w:t>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FERC</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wind power. EPACT 2005’s market conduct, penalty and enforcement provisions also apply to fraud and certain other misconduct in the natural gas sector.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Qualifying Facilities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Public Utility Regulatory Policies Act (“</w:t>
      </w:r>
      <w:r>
        <w:rPr>
          <w:rFonts w:ascii="Times New Roman;sans-serif" w:hAnsi="Times New Roman;sans-serif"/>
          <w:b/>
          <w:i/>
          <w:color w:val="000000"/>
          <w:sz w:val="20"/>
        </w:rPr>
        <w:t>PURPA</w:t>
      </w:r>
      <w:r>
        <w:rPr>
          <w:color w:val="000000"/>
        </w:rPr>
        <w:t>”</w:t>
      </w:r>
      <w:r>
        <w:rPr>
          <w:rFonts w:ascii="Times New Roman;sans-serif" w:hAnsi="Times New Roman;sans-serif"/>
          <w:b w:val="false"/>
          <w:color w:val="000000"/>
          <w:sz w:val="20"/>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State Utility Regulation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Production and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Regulations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Effect of Existing or Probable Government Regulations on Our Business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r>
        <w:rPr>
          <w:color w:val="000000"/>
        </w:rPr>
        <w:t> </w:t>
      </w:r>
      <w:r>
        <w:rPr>
          <w:rFonts w:ascii="Times New Roman;sans-serif" w:hAnsi="Times New Roman;sans-serif"/>
          <w:b w:val="false"/>
          <w:color w:val="000000"/>
          <w:sz w:val="20"/>
        </w:rPr>
        <w:t>See</w:t>
      </w:r>
      <w:r>
        <w:rPr>
          <w:color w:val="000000"/>
        </w:rPr>
        <w:t> “</w:t>
      </w:r>
      <w:r>
        <w:rPr>
          <w:rFonts w:ascii="Times New Roman;sans-serif" w:hAnsi="Times New Roman;sans-serif"/>
          <w:b w:val="false"/>
          <w:i/>
          <w:color w:val="000000"/>
          <w:sz w:val="20"/>
        </w:rPr>
        <w:t>Business—Legal Proceedings.</w:t>
      </w:r>
      <w:r>
        <w:rPr>
          <w:color w:val="00000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Segments and Geographic Information </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sans-serif" w:hAnsi="Times New Roman;sans-serif"/>
          <w:b w:val="false"/>
          <w:i/>
          <w:color w:val="000000"/>
          <w:sz w:val="20"/>
        </w:rPr>
        <w:t>Management’s Discussion and Analysis of Financial Condition and Results of Operations.</w:t>
      </w:r>
      <w:r>
        <w:rPr>
          <w:color w:val="000000"/>
        </w:rPr>
        <w: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corporate headquarters are located in White Plains, New York, where we occupy approximately 13,600 square feet of shared office space with an affiliate of Fortistar pursuant to an Administrative Services Agreement. See “</w:t>
      </w:r>
      <w:r>
        <w:rPr>
          <w:rFonts w:ascii="Times New Roman;sans-serif" w:hAnsi="Times New Roman;sans-serif"/>
          <w:b w:val="false"/>
          <w:i/>
          <w:color w:val="000000"/>
          <w:sz w:val="20"/>
        </w:rPr>
        <w:t>Certain Relationships and Related Party Transactions—Administrative Services Agreement.</w:t>
      </w:r>
      <w:r>
        <w:rPr>
          <w:color w:val="000000"/>
        </w:rPr>
        <w:t xml:space="preserve">” </w:t>
      </w:r>
      <w:r>
        <w:rPr>
          <w:rFonts w:ascii="Times New Roman;sans-serif" w:hAnsi="Times New Roman;sans-serif"/>
          <w:b w:val="false"/>
          <w:color w:val="000000"/>
          <w:sz w:val="20"/>
        </w:rPr>
        <w:t>We believe this office space is adequate for our needs for the immediate future and that, should it be necessary, we can lease additional space to accommodate any future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office and maintenance facility is located in Oronoco, Minnesota, where we own and occupy 20,000 square feet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construction office and maintenance facility is located in Rancho Cucamonga, California, where we occupy approximately 29,935 square feet of combined office space, maintenance shop and loading dock. In March, 2022, the Company entered into an amendment to the lease which extended the lease term till January 2026. We believe the space that we currently lease is adequate for our needs for the immediate future but we will likely seek additional space during the course of 2023 to accommodate future growth, which we believe will be available to us on satisfactory terms.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Employees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OPAL had approximately 298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spacing w:before="0" w:after="0"/>
        <w:jc w:val="both"/>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SAFETY - Passion for safety</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INTEGRITY - Straightforward, open and honest</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RELATIONSHIPS - Engaging all stakeholders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EXCELLENCE - Quality and creativity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leadership</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rights, health and safety</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the accidents occur.</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strive to provide a secure working environment for both our office-based and field operations personnel. During COVID-19, we have taken extraordinary measures to protect the health of our employees by allowing them to work from home. We took measures to adapt all of our office to the new safety precautions to include social distancing guidelines as well as ensuring mask wearing compliance when required. We continued our focus in 2022 on keeping our employees and their families safe from COVID-19 through a variety of workplace health and safety measures, including providing hybrid working schedule, required mask compliance per the local health guidelines, quarantined and contact traced employees, deployed hand sanitizer machines and strongly encouraged all employees to get vaccinated against COVID-19. We offer free COVID-19 test kits to our employees.</w:t>
      </w:r>
    </w:p>
    <w:p>
      <w:pPr>
        <w:pStyle w:val="TextBody"/>
        <w:spacing w:lineRule="auto" w:line="240" w:before="0" w:after="0"/>
        <w:jc w:val="both"/>
        <w:rPr>
          <w:color w:val="000000"/>
        </w:rPr>
      </w:pPr>
      <w:r>
        <w:rPr>
          <w:color w:val="000000"/>
        </w:rPr>
        <w:t> </w:t>
      </w:r>
    </w:p>
    <w:p>
      <w:pPr>
        <w:pStyle w:val="TextBody"/>
        <w:spacing w:before="0" w:after="0"/>
        <w:ind w:left="0" w:right="0" w:firstLine="360"/>
        <w:jc w:val="both"/>
        <w:rPr/>
      </w:pPr>
      <w:r>
        <w:rPr/>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of our board are as follows: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5024" w:type="dxa"/>
        <w:jc w:val="left"/>
        <w:tblInd w:w="0" w:type="dxa"/>
        <w:tblCellMar>
          <w:top w:w="28" w:type="dxa"/>
          <w:left w:w="28" w:type="dxa"/>
          <w:bottom w:w="28" w:type="dxa"/>
          <w:right w:w="28" w:type="dxa"/>
        </w:tblCellMar>
      </w:tblPr>
      <w:tblGrid>
        <w:gridCol w:w="564"/>
        <w:gridCol w:w="495"/>
        <w:gridCol w:w="501"/>
        <w:gridCol w:w="109"/>
        <w:gridCol w:w="109"/>
        <w:gridCol w:w="109"/>
        <w:gridCol w:w="594"/>
        <w:gridCol w:w="594"/>
        <w:gridCol w:w="596"/>
        <w:gridCol w:w="109"/>
        <w:gridCol w:w="109"/>
        <w:gridCol w:w="109"/>
        <w:gridCol w:w="109"/>
        <w:gridCol w:w="109"/>
        <w:gridCol w:w="109"/>
        <w:gridCol w:w="109"/>
        <w:gridCol w:w="109"/>
        <w:gridCol w:w="109"/>
        <w:gridCol w:w="109"/>
        <w:gridCol w:w="109"/>
        <w:gridCol w:w="154"/>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director of our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Mark S. Comora </w:t>
      </w:r>
      <w:r>
        <w:rPr>
          <w:rFonts w:ascii="Times New Roman;sans-serif" w:hAnsi="Times New Roman;sans-serif"/>
          <w:b w:val="false"/>
          <w:color w:val="000000"/>
          <w:sz w:val="20"/>
        </w:rPr>
        <w:t>has served as a director of the Company since December 2020. Mr. Comora is the Founder and President of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Nadeem Nisar</w:t>
      </w:r>
      <w:r>
        <w:rPr>
          <w:color w:val="000000"/>
        </w:rPr>
        <w:t> </w:t>
      </w:r>
      <w:r>
        <w:rPr>
          <w:rFonts w:ascii="Times New Roman;sans-serif" w:hAnsi="Times New Roman;sans-serif"/>
          <w:b w:val="false"/>
          <w:color w:val="000000"/>
          <w:sz w:val="20"/>
        </w:rPr>
        <w:t>has served as a director the Company since December 2020. Mr. Nisar has also served as a Managing Director of Fortistar since July 2008, where he serves as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Marco F. Gatti </w:t>
      </w:r>
      <w:r>
        <w:rPr>
          <w:rFonts w:ascii="Times New Roman;sans-serif" w:hAnsi="Times New Roman;sans-serif"/>
          <w:b w:val="false"/>
          <w:color w:val="000000"/>
          <w:sz w:val="20"/>
        </w:rPr>
        <w:t>has served as a director of the Company since July 2022. currently serves as a Managing Director of ArcLight Capital. Mr. Gatti joined ArcLight 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Kevin M. Fogarty</w:t>
      </w:r>
      <w:r>
        <w:rPr>
          <w:color w:val="000000"/>
        </w:rPr>
        <w:t> </w:t>
      </w:r>
      <w:r>
        <w:rPr>
          <w:rFonts w:ascii="Times New Roman;sans-serif" w:hAnsi="Times New Roman;sans-serif"/>
          <w:b w:val="false"/>
          <w:color w:val="000000"/>
          <w:sz w:val="20"/>
        </w:rPr>
        <w:t>has served as a director of the Company since July 2022. Mr. Fogarty retired from Kraton 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Betsy L. Battle</w:t>
      </w:r>
      <w:r>
        <w:rPr>
          <w:color w:val="000000"/>
        </w:rPr>
        <w:t>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 Partners Management, LP, an investment firm registered with the SEC and NFA. Ms. Battle also serves as a director and member of the audit committee of Williams Rowland Acquisition Corp.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pPr>
      <w:r>
        <w:rPr>
          <w:rFonts w:ascii="Times New Roman;sans-serif" w:hAnsi="Times New Roman;sans-serif"/>
          <w:b/>
          <w:i/>
          <w:color w:val="000000"/>
          <w:sz w:val="20"/>
        </w:rPr>
        <w:t>Scott Dols </w:t>
      </w:r>
      <w:r>
        <w:rPr>
          <w:rFonts w:ascii="Times New Roman;sans-serif" w:hAnsi="Times New Roman;sans-serif"/>
          <w:b w:val="false"/>
          <w:color w:val="000000"/>
          <w:sz w:val="20"/>
        </w:rPr>
        <w:t xml:space="preserve">has served as a director of the Company since July 2022. Mr. Dols is the CEO of several waste-related 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Foundation, which provides research and educational initiatives that translate directly into action for sustainable waste management practices.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Ashok Vemuri </w:t>
      </w:r>
      <w:r>
        <w:rPr>
          <w:rFonts w:ascii="Times New Roman;sans-serif" w:hAnsi="Times New Roman;sans-serif"/>
          <w:b w:val="false"/>
          <w:color w:val="000000"/>
          <w:sz w:val="20"/>
        </w:rPr>
        <w:t>has served as a director of the Company since July 2022. Mr. Vemuri also serves on the board 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pStyle w:val="TextBody"/>
        <w:spacing w:lineRule="auto" w:line="240" w:before="0" w:after="0"/>
        <w:ind w:left="0" w:right="0" w:firstLine="720"/>
        <w:jc w:val="both"/>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40" w:before="0" w:after="0"/>
        <w:rPr>
          <w:color w:val="000000"/>
        </w:rPr>
      </w:pPr>
      <w:r>
        <w:rPr>
          <w:color w:val="000000"/>
        </w:rPr>
        <w:t> </w:t>
      </w:r>
    </w:p>
    <w:p>
      <w:pPr>
        <w:pStyle w:val="TextBody"/>
        <w:spacing w:lineRule="auto" w:line="240"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persons serve as our executive officers:</w:t>
      </w:r>
    </w:p>
    <w:p>
      <w:pPr>
        <w:pStyle w:val="TextBody"/>
        <w:spacing w:lineRule="auto" w:line="240" w:before="0" w:after="0"/>
        <w:ind w:left="0" w:right="0" w:firstLine="360"/>
        <w:rPr>
          <w:color w:val="000000"/>
        </w:rPr>
      </w:pPr>
      <w:r>
        <w:rPr>
          <w:color w:val="000000"/>
        </w:rPr>
        <w:t> </w:t>
      </w:r>
    </w:p>
    <w:tbl>
      <w:tblPr>
        <w:tblW w:w="4945" w:type="dxa"/>
        <w:jc w:val="left"/>
        <w:tblInd w:w="0" w:type="dxa"/>
        <w:tblCellMar>
          <w:top w:w="28" w:type="dxa"/>
          <w:left w:w="28" w:type="dxa"/>
          <w:bottom w:w="28" w:type="dxa"/>
          <w:right w:w="28" w:type="dxa"/>
        </w:tblCellMar>
      </w:tblPr>
      <w:tblGrid>
        <w:gridCol w:w="537"/>
        <w:gridCol w:w="471"/>
        <w:gridCol w:w="477"/>
        <w:gridCol w:w="109"/>
        <w:gridCol w:w="109"/>
        <w:gridCol w:w="109"/>
        <w:gridCol w:w="774"/>
        <w:gridCol w:w="774"/>
        <w:gridCol w:w="777"/>
        <w:gridCol w:w="109"/>
        <w:gridCol w:w="109"/>
        <w:gridCol w:w="109"/>
        <w:gridCol w:w="140"/>
        <w:gridCol w:w="140"/>
        <w:gridCol w:w="201"/>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Falbo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of our executive officers.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Jonathan Maurer</w:t>
      </w:r>
      <w:r>
        <w:rPr>
          <w:color w:val="000000"/>
        </w:rPr>
        <w:t>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Ann Anthony</w:t>
      </w:r>
      <w:r>
        <w:rPr>
          <w:color w:val="000000"/>
        </w:rPr>
        <w:t xml:space="preserve"> </w:t>
      </w:r>
      <w:r>
        <w:rPr>
          <w:rFonts w:ascii="Times New Roman;sans-serif" w:hAnsi="Times New Roman;sans-serif"/>
          <w:b w:val="false"/>
          <w:color w:val="000000"/>
          <w:sz w:val="20"/>
        </w:rPr>
        <w:t>has served as Chief Financial Officer of the Company since April 2021. Prior to joining the 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David Unger</w:t>
      </w:r>
      <w:r>
        <w:rPr>
          <w:color w:val="000000"/>
        </w:rPr>
        <w:t xml:space="preserve"> </w:t>
      </w:r>
      <w:r>
        <w:rPr>
          <w:rFonts w:ascii="Times New Roman;sans-serif" w:hAnsi="Times New Roman;sans-serif"/>
          <w:b w:val="false"/>
          <w:color w:val="000000"/>
          <w:sz w:val="20"/>
        </w:rPr>
        <w:t>served in the role as Executive Vice President of Opco from December 2020 up to the closing of the Business Combination where Mr. 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ind w:left="0" w:right="0" w:firstLine="360"/>
        <w:jc w:val="both"/>
        <w:rPr/>
      </w:pPr>
      <w:r>
        <w:rPr/>
      </w:r>
    </w:p>
    <w:p>
      <w:pPr>
        <w:pStyle w:val="TextBody"/>
        <w:spacing w:lineRule="auto" w:line="240"/>
        <w:ind w:left="0" w:right="0" w:firstLine="360"/>
        <w:jc w:val="both"/>
        <w:rPr/>
      </w:pPr>
      <w:r>
        <w:rPr>
          <w:rFonts w:ascii="Times New Roman;sans-serif" w:hAnsi="Times New Roman;sans-serif"/>
          <w:b/>
          <w:i/>
          <w:color w:val="000000"/>
          <w:sz w:val="20"/>
        </w:rPr>
        <w:t>John Coghlin</w:t>
      </w:r>
      <w:r>
        <w:rPr>
          <w:color w:val="000000"/>
        </w:rPr>
        <w:t xml:space="preserve"> </w:t>
      </w:r>
      <w:r>
        <w:rPr>
          <w:rFonts w:ascii="Times New Roman;sans-serif" w:hAnsi="Times New Roman;sans-serif"/>
          <w:b w:val="false"/>
          <w:color w:val="000000"/>
          <w:sz w:val="20"/>
        </w:rPr>
        <w:t xml:space="preserve">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associate with the law firm of Rogers &amp; Wells. Mr. Coghlin received his Juris Doctorate from Boston College School of Law and his Bachelor of Arts from Tufts University.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Scott Edelbach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spacing w:before="0" w:after="0"/>
        <w:ind w:left="0" w:right="0" w:firstLine="36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Anthony Falbo</w:t>
      </w:r>
      <w:r>
        <w:rPr>
          <w:color w:val="000000"/>
        </w:rPr>
        <w:t xml:space="preserve"> </w:t>
      </w:r>
      <w:r>
        <w:rPr>
          <w:rFonts w:ascii="Times New Roman;sans-serif" w:hAnsi="Times New Roman;sans-serif"/>
          <w:b w:val="false"/>
          <w:color w:val="000000"/>
          <w:sz w:val="20"/>
        </w:rPr>
        <w:t>has served as Chief Operating Officer of the Company since April 2021. From 2006 until 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pStyle w:val="TextBody"/>
        <w:spacing w:lineRule="auto" w:line="240" w:before="0" w:after="0"/>
        <w:jc w:val="both"/>
        <w:rPr/>
      </w:pPr>
      <w:r>
        <w:rPr>
          <w:rFonts w:ascii="Times New Roman;sans-serif" w:hAnsi="Times New Roman;sans-serif"/>
          <w:b/>
          <w:i/>
          <w:color w:val="000000"/>
          <w:sz w:val="20"/>
        </w:rPr>
        <w:t xml:space="preserve">David Unger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Independence of the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Director Terms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was appointed to our board in connection with the closing of the business combination and holds his or her office until the 2023 Annual Meeting of Stockholders or until his or her successor has been duly elected and qualified, or until his or her earlier death, resignation or removal.</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board maintains a standing audit committee (“</w:t>
      </w:r>
      <w:r>
        <w:rPr>
          <w:rFonts w:ascii="Times New Roman;sans-serif" w:hAnsi="Times New Roman;sans-serif"/>
          <w:b/>
          <w:i/>
          <w:color w:val="000000"/>
          <w:sz w:val="20"/>
        </w:rPr>
        <w:t>Audit Committee</w:t>
      </w:r>
      <w:r>
        <w:rPr>
          <w:color w:val="000000"/>
        </w:rPr>
        <w:t>”</w:t>
      </w:r>
      <w:r>
        <w:rPr>
          <w:rFonts w:ascii="Times New Roman;sans-serif" w:hAnsi="Times New Roman;sans-serif"/>
          <w:b w:val="false"/>
          <w:color w:val="000000"/>
          <w:sz w:val="20"/>
        </w:rPr>
        <w:t>) and compensation committee ("</w:t>
      </w:r>
      <w:r>
        <w:rPr>
          <w:rFonts w:ascii="Times New Roman;sans-serif" w:hAnsi="Times New Roman;sans-serif"/>
          <w:b/>
          <w:i/>
          <w:color w:val="000000"/>
          <w:sz w:val="20"/>
        </w:rPr>
        <w:t>Compensation Committee</w:t>
      </w:r>
      <w:r>
        <w:rPr>
          <w:rFonts w:ascii="Times New Roman;sans-serif" w:hAnsi="Times New Roman;sans-serif"/>
          <w:b w:val="false"/>
          <w:color w:val="000000"/>
          <w:sz w:val="20"/>
        </w:rPr>
        <w:t xml:space="preserve">"). The respective members and functions of the committees are described below. Current charters describing the nature and scope of the responsibilities of each of the Audit Committee and Compensation Committee are posted on our website at www.opalfuels.com under the heading "Corporate Governance" and are available in print upon request to OPAL Fuels Inc., One North Lexington Ave, 14th floor, White Plains, New York - 10601.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 As directed by its written charter, which was adopted on July 21, 2022, the Audit Committee is responsible for, among other duties, appointing and overseeing the work of, and relationship with, the independent auditors, including reviewing their formal written statement describing the Company’s internal quality-control procedures and any material issues raised by the internal quality-control review or peer review of the Company or any inquiry or investigation by governmental or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authorities and their formal written statement regarding auditor independence; reading and discussing with management and the independent auditors the annual audited financial statements and quarterly financial statements, and preparing annually a report to be included in the Company’s proxy statement; providing oversight of the Company’s accounting and financial reporting principles, policies, controls, procedures and practices; and discussing with management polices with respect to risk assessment and risk management. In addition, the Board of Directors has tasked the Audit Committee with reviewing transactions with related parties. The Audit Committee held four meetings during fiscal year 2022.</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Mr. Mark Comora, Mr. Nadeem Nisar, Mr. Ashok Vemuri and Mr. Kevin Fogarty. Mr. Vemuri and Mr. Fogarty qualify as the independent directors under the applicable NASDAQ rules. As directed by its written charter, which was approved on December 1, 2022, the Compensation Committee, among other duties, makes recommendations to the Board of Directors as to the Company’s general compensation strategy; reviews and approves the selection of the Company's peer companies for executive and Board compensation assessment purposes; reviews and approves the corporate goals and objectives and evaluates the Company's performance on an annual basis; reviews and recommends to the Board all forms of compensation (including any awards granted under compensatory plans); evaluates and recommends to the Board, the compensation of the Company’s Co-Chief Executive Officers and other executive officers; and reviews and approves employment, severance or change in control agreements. In addition, the Compensation Committee evaluates and recommends, for approval by the Board of Directors, the appropriate level of compensation and fees for Board Committee service by non-employee directors. The Compensation Committee held one meeting during fiscal year 2022.</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pStyle w:val="TextBody"/>
        <w:spacing w:lineRule="auto" w:line="240" w:before="0" w:after="0"/>
        <w:ind w:left="0" w:right="0" w:firstLine="360"/>
        <w:jc w:val="both"/>
        <w:rPr>
          <w:color w:val="000000"/>
        </w:rPr>
      </w:pPr>
      <w:r>
        <w:rPr>
          <w:color w:val="000000"/>
        </w:rPr>
        <w:t> </w:t>
      </w:r>
    </w:p>
    <w:p>
      <w:pPr>
        <w:pStyle w:val="TextBody"/>
        <w:spacing w:lineRule="auto" w:line="312"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312"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Adam Comora, Co-Chief Executive Officer</w:t>
      </w:r>
    </w:p>
    <w:p>
      <w:pPr>
        <w:pStyle w:val="TextBody"/>
        <w:spacing w:before="0" w:after="0"/>
        <w:ind w:left="0" w:right="0" w:firstLine="720"/>
        <w:rPr/>
      </w:pPr>
      <w:r>
        <w:rPr/>
      </w:r>
    </w:p>
    <w:p>
      <w:pPr>
        <w:pStyle w:val="TextBody"/>
        <w:spacing w:lineRule="auto" w:line="312"/>
        <w:ind w:left="0" w:right="0" w:firstLine="360"/>
        <w:rPr/>
      </w:pPr>
      <w:r>
        <w:rPr>
          <w:color w:val="000000"/>
        </w:rPr>
        <w:t>•</w:t>
      </w:r>
      <w:r>
        <w:rPr>
          <w:rFonts w:ascii="Times New Roman;sans-serif" w:hAnsi="Times New Roman;sans-serif"/>
          <w:b w:val="false"/>
          <w:color w:val="000000"/>
          <w:sz w:val="20"/>
        </w:rPr>
        <w:t>Jonathan Maurer, Co-Chief Executive Officer</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 xml:space="preserve">John Coghlin, General Counsel </w:t>
      </w:r>
    </w:p>
    <w:p>
      <w:pPr>
        <w:pStyle w:val="TextBody"/>
        <w:spacing w:before="0" w:after="0"/>
        <w:ind w:left="0" w:right="0" w:firstLine="720"/>
        <w:rPr/>
      </w:pPr>
      <w:r>
        <w:rPr/>
      </w:r>
    </w:p>
    <w:p>
      <w:pPr>
        <w:pStyle w:val="TextBody"/>
        <w:spacing w:lineRule="auto" w:line="312" w:before="0" w:after="0"/>
        <w:ind w:left="0" w:right="0" w:firstLine="360"/>
        <w:rPr/>
      </w:pPr>
      <w:r>
        <w:rPr>
          <w:color w:val="000000"/>
        </w:rPr>
        <w:t>•</w:t>
      </w:r>
      <w:r>
        <w:rPr>
          <w:rFonts w:ascii="Times New Roman;sans-serif" w:hAnsi="Times New Roman;sans-serif"/>
          <w:b w:val="false"/>
          <w:color w:val="000000"/>
          <w:sz w:val="20"/>
        </w:rPr>
        <w:t>Scott Edelbach, Executive Vice President</w:t>
      </w:r>
    </w:p>
    <w:p>
      <w:pPr>
        <w:pStyle w:val="TextBody"/>
        <w:spacing w:before="0" w:after="0"/>
        <w:ind w:left="0" w:right="0" w:firstLine="72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472"/>
        <w:gridCol w:w="390"/>
        <w:gridCol w:w="393"/>
        <w:gridCol w:w="109"/>
        <w:gridCol w:w="109"/>
        <w:gridCol w:w="109"/>
        <w:gridCol w:w="175"/>
        <w:gridCol w:w="175"/>
        <w:gridCol w:w="176"/>
        <w:gridCol w:w="109"/>
        <w:gridCol w:w="109"/>
        <w:gridCol w:w="109"/>
        <w:gridCol w:w="314"/>
        <w:gridCol w:w="248"/>
        <w:gridCol w:w="235"/>
        <w:gridCol w:w="109"/>
        <w:gridCol w:w="109"/>
        <w:gridCol w:w="109"/>
        <w:gridCol w:w="360"/>
        <w:gridCol w:w="227"/>
        <w:gridCol w:w="228"/>
        <w:gridCol w:w="109"/>
        <w:gridCol w:w="109"/>
        <w:gridCol w:w="109"/>
        <w:gridCol w:w="312"/>
        <w:gridCol w:w="285"/>
        <w:gridCol w:w="286"/>
        <w:gridCol w:w="109"/>
        <w:gridCol w:w="109"/>
        <w:gridCol w:w="109"/>
        <w:gridCol w:w="522"/>
        <w:gridCol w:w="522"/>
        <w:gridCol w:w="523"/>
        <w:gridCol w:w="471"/>
        <w:gridCol w:w="471"/>
        <w:gridCol w:w="472"/>
        <w:gridCol w:w="109"/>
        <w:gridCol w:w="109"/>
        <w:gridCol w:w="109"/>
        <w:gridCol w:w="285"/>
        <w:gridCol w:w="285"/>
        <w:gridCol w:w="416"/>
      </w:tblGrid>
      <w:tr>
        <w:trPr/>
        <w:tc>
          <w:tcPr>
            <w:tcW w:w="472"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Non-equity incentive plan compensation ($) </w:t>
            </w:r>
            <w:r>
              <w:rPr>
                <w:rFonts w:ascii="Times New Roman;sans-serif" w:hAnsi="Times New Roman;sans-serif"/>
                <w:b/>
                <w:color w:val="000000"/>
                <w:sz w:val="13"/>
              </w:rPr>
              <w:t>(3)</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5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9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1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83"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56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14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8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53"/>
        <w:gridCol w:w="2859"/>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3"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40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elsewhere in this prospectus.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 Edelbach based on meeting certain performance metrics for the period from January 1, 2020 to December 31, 2022, as further described below in the “Long-Term Incentives” section.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Annual Incentives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spacing w:lineRule="auto" w:line="240" w:before="0" w:after="0"/>
        <w:ind w:left="0" w:right="0" w:firstLine="360"/>
        <w:jc w:val="both"/>
        <w:rPr>
          <w:color w:val="000000"/>
        </w:rPr>
      </w:pPr>
      <w:r>
        <w:rPr>
          <w:color w:val="000000"/>
        </w:rPr>
        <w:t> </w:t>
      </w:r>
    </w:p>
    <w:p>
      <w:pPr>
        <w:pStyle w:val="TextBody"/>
        <w:spacing w:lineRule="auto" w:line="24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spacing w:before="0" w:after="0"/>
        <w:ind w:left="0" w:right="0" w:firstLine="892"/>
        <w:jc w:val="both"/>
        <w:rPr/>
      </w:pPr>
      <w:r>
        <w:rPr/>
      </w:r>
    </w:p>
    <w:p>
      <w:pPr>
        <w:pStyle w:val="TextBody"/>
        <w:spacing w:lineRule="auto" w:line="240"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spacing w:before="0" w:after="0"/>
        <w:ind w:left="0" w:right="0" w:firstLine="892"/>
        <w:jc w:val="both"/>
        <w:rPr/>
      </w:pPr>
      <w:r>
        <w:rPr/>
      </w:r>
    </w:p>
    <w:p>
      <w:pPr>
        <w:pStyle w:val="TextBody"/>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Fiscal Year End” (assuming such change in control occurred on December 31, 2022, and other conditions described in footnote 9 to such table are met).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90"/>
        <w:gridCol w:w="834"/>
        <w:gridCol w:w="840"/>
        <w:gridCol w:w="109"/>
        <w:gridCol w:w="109"/>
        <w:gridCol w:w="109"/>
        <w:gridCol w:w="1073"/>
        <w:gridCol w:w="1047"/>
        <w:gridCol w:w="1050"/>
        <w:gridCol w:w="109"/>
        <w:gridCol w:w="109"/>
        <w:gridCol w:w="109"/>
        <w:gridCol w:w="1084"/>
        <w:gridCol w:w="1084"/>
        <w:gridCol w:w="1549"/>
      </w:tblGrid>
      <w:tr>
        <w:trPr/>
        <w:tc>
          <w:tcPr>
            <w:tcW w:w="99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FFFFFF" w:val="clear"/>
            <w:tcMar>
              <w:top w:w="0" w:type="dxa"/>
              <w:left w:w="0" w:type="dxa"/>
              <w:bottom w:w="0" w:type="dxa"/>
              <w:right w:w="0" w:type="dxa"/>
            </w:tcMar>
            <w:vAlign w:val="center"/>
          </w:tcPr>
          <w:p>
            <w:pPr>
              <w:pStyle w:val="TableContents"/>
              <w:spacing w:lineRule="auto" w:line="240" w:before="55" w:after="3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64" w:type="dxa"/>
            <w:gridSpan w:val="3"/>
            <w:tcBorders/>
            <w:shd w:fill="CCEEFF" w:val="clear"/>
            <w:tcMar>
              <w:top w:w="0" w:type="dxa"/>
              <w:left w:w="0" w:type="dxa"/>
              <w:bottom w:w="0" w:type="dxa"/>
              <w:right w:w="0" w:type="dxa"/>
            </w:tcMar>
            <w:vAlign w:val="center"/>
          </w:tcPr>
          <w:p>
            <w:pPr>
              <w:pStyle w:val="TableContents"/>
              <w:spacing w:lineRule="auto" w:line="240" w:before="75" w:after="3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6"/>
        <w:gridCol w:w="128"/>
        <w:gridCol w:w="130"/>
        <w:gridCol w:w="2957"/>
        <w:gridCol w:w="2834"/>
        <w:gridCol w:w="4010"/>
      </w:tblGrid>
      <w:tr>
        <w:trPr/>
        <w:tc>
          <w:tcPr>
            <w:tcW w:w="1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c>
          <w:tcPr>
            <w:tcW w:w="2834"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spacing w:before="0" w:after="0"/>
        <w:ind w:left="0" w:right="0" w:firstLine="360"/>
        <w:jc w:val="both"/>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spacing w:before="0" w:after="0"/>
        <w:ind w:left="0" w:right="0" w:firstLine="360"/>
        <w:rPr/>
      </w:pPr>
      <w:r>
        <w:rPr/>
      </w:r>
    </w:p>
    <w:tbl>
      <w:tblPr>
        <w:tblW w:w="7667" w:type="dxa"/>
        <w:jc w:val="left"/>
        <w:tblInd w:w="0" w:type="dxa"/>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258"/>
        <w:gridCol w:w="258"/>
        <w:gridCol w:w="368"/>
      </w:tblGrid>
      <w:tr>
        <w:trPr/>
        <w:tc>
          <w:tcPr>
            <w:tcW w:w="46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r>
      <w:tr>
        <w:trPr/>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r>
    </w:tbl>
    <w:p>
      <w:pPr>
        <w:pStyle w:val="TextBody"/>
        <w:spacing w:before="0" w:after="0"/>
        <w:ind w:left="0" w:right="0" w:firstLine="360"/>
        <w:rPr/>
      </w:pPr>
      <w:r>
        <w:rPr/>
      </w:r>
    </w:p>
    <w:tbl>
      <w:tblPr>
        <w:tblW w:w="10205" w:type="dxa"/>
        <w:jc w:val="left"/>
        <w:tblInd w:w="0" w:type="dxa"/>
        <w:tblCellMar>
          <w:top w:w="28" w:type="dxa"/>
          <w:left w:w="28" w:type="dxa"/>
          <w:bottom w:w="28" w:type="dxa"/>
          <w:right w:w="28" w:type="dxa"/>
        </w:tblCellMar>
      </w:tblPr>
      <w:tblGrid>
        <w:gridCol w:w="124"/>
        <w:gridCol w:w="109"/>
        <w:gridCol w:w="109"/>
        <w:gridCol w:w="3106"/>
        <w:gridCol w:w="2797"/>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c>
          <w:tcPr>
            <w:tcW w:w="2797"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elsewhere in this prospectus.</w:t>
            </w:r>
          </w:p>
        </w:tc>
      </w:tr>
    </w:tbl>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The following non-employee director compensation program has been approved for the fiscal year 2022:</w:t>
      </w:r>
    </w:p>
    <w:p>
      <w:pPr>
        <w:pStyle w:val="TextBody"/>
        <w:spacing w:before="0" w:after="0"/>
        <w:rPr/>
      </w:pPr>
      <w:r>
        <w:rPr/>
      </w:r>
    </w:p>
    <w:p>
      <w:pPr>
        <w:pStyle w:val="TextBody"/>
        <w:spacing w:lineRule="auto" w:line="240"/>
        <w:rPr>
          <w:color w:val="000000"/>
        </w:rPr>
      </w:pPr>
      <w:r>
        <w:rPr>
          <w:color w:val="000000"/>
        </w:rPr>
        <w:t>    </w:t>
      </w:r>
      <w:r>
        <w:rPr>
          <w:rFonts w:ascii="Times New Roman;sans-serif" w:hAnsi="Times New Roman;sans-serif"/>
          <w:b w:val="false"/>
          <w:color w:val="000000"/>
          <w:sz w:val="20"/>
        </w:rPr>
        <w:t xml:space="preserve">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w:t>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each committee upon which a non-employee director serves as both a member and a chairperson, such director shall be entitled to receive an additional payment in the amount of $5,000.</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spacing w:before="0" w:after="0"/>
        <w:rPr/>
      </w:pPr>
      <w:r>
        <w:rPr/>
      </w:r>
    </w:p>
    <w:p>
      <w:pPr>
        <w:pStyle w:val="TextBody"/>
        <w:spacing w:lineRule="auto" w:line="240" w:before="0" w:after="0"/>
        <w:rPr>
          <w:color w:val="000000"/>
        </w:rPr>
      </w:pPr>
      <w:r>
        <w:rPr>
          <w:color w:val="000000"/>
        </w:rPr>
        <w:t>    </w:t>
      </w: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spacing w:before="0" w:after="0"/>
        <w:ind w:left="0" w:right="0" w:firstLine="36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all classes of stock that OPAL has the authority to issue is 1,120,000,000 shares, consisting of:</w:t>
      </w:r>
    </w:p>
    <w:p>
      <w:pPr>
        <w:pStyle w:val="TextBody"/>
        <w:spacing w:lineRule="auto" w:line="240" w:before="0" w:after="0"/>
        <w:ind w:left="0" w:right="0" w:hanging="360"/>
        <w:jc w:val="both"/>
        <w:rPr>
          <w:color w:val="000000"/>
        </w:rPr>
      </w:pPr>
      <w:r>
        <w:rPr>
          <w:color w:val="000000"/>
        </w:rPr>
        <w:t> </w:t>
      </w:r>
    </w:p>
    <w:tbl>
      <w:tblPr>
        <w:tblW w:w="7598" w:type="dxa"/>
        <w:jc w:val="left"/>
        <w:tblInd w:w="0" w:type="dxa"/>
        <w:tblCellMar>
          <w:top w:w="28" w:type="dxa"/>
          <w:left w:w="28" w:type="dxa"/>
          <w:bottom w:w="28" w:type="dxa"/>
          <w:right w:w="28" w:type="dxa"/>
        </w:tblCellMar>
      </w:tblPr>
      <w:tblGrid>
        <w:gridCol w:w="124"/>
        <w:gridCol w:w="109"/>
        <w:gridCol w:w="109"/>
        <w:gridCol w:w="109"/>
        <w:gridCol w:w="109"/>
        <w:gridCol w:w="109"/>
        <w:gridCol w:w="2027"/>
        <w:gridCol w:w="2027"/>
        <w:gridCol w:w="28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820,000,000 shares of Common Stock, par value of $0.0001 per share, divided into:</w:t>
            </w:r>
          </w:p>
        </w:tc>
      </w:tr>
    </w:tbl>
    <w:p>
      <w:pPr>
        <w:pStyle w:val="TextBody"/>
        <w:spacing w:lineRule="auto" w:line="240" w:before="0" w:after="0"/>
        <w:ind w:left="0" w:right="0" w:hanging="360"/>
        <w:jc w:val="both"/>
        <w:rPr>
          <w:color w:val="000000"/>
        </w:rPr>
      </w:pPr>
      <w:r>
        <w:rPr>
          <w:color w:val="000000"/>
        </w:rPr>
        <w:t> </w:t>
      </w:r>
    </w:p>
    <w:tbl>
      <w:tblPr>
        <w:tblW w:w="4553" w:type="dxa"/>
        <w:jc w:val="left"/>
        <w:tblInd w:w="0" w:type="dxa"/>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340,000,000 shares of Class A common stock;</w:t>
            </w:r>
          </w:p>
        </w:tc>
      </w:tr>
    </w:tbl>
    <w:p>
      <w:pPr>
        <w:pStyle w:val="TextBody"/>
        <w:spacing w:lineRule="auto" w:line="240" w:before="0" w:after="0"/>
        <w:ind w:left="0" w:right="0" w:hanging="360"/>
        <w:jc w:val="both"/>
        <w:rPr>
          <w:color w:val="000000"/>
        </w:rPr>
      </w:pPr>
      <w:r>
        <w:rPr>
          <w:color w:val="000000"/>
        </w:rPr>
        <w:t> </w:t>
      </w:r>
    </w:p>
    <w:tbl>
      <w:tblPr>
        <w:tblW w:w="4553" w:type="dxa"/>
        <w:jc w:val="left"/>
        <w:tblInd w:w="0" w:type="dxa"/>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B common stock;</w:t>
            </w:r>
          </w:p>
        </w:tc>
      </w:tr>
    </w:tbl>
    <w:p>
      <w:pPr>
        <w:pStyle w:val="TextBody"/>
        <w:spacing w:lineRule="auto" w:line="240" w:before="0" w:after="0"/>
        <w:ind w:left="0" w:right="0" w:hanging="360"/>
        <w:jc w:val="both"/>
        <w:rPr>
          <w:color w:val="000000"/>
        </w:rPr>
      </w:pPr>
      <w:r>
        <w:rPr>
          <w:color w:val="000000"/>
        </w:rPr>
        <w:t> </w:t>
      </w:r>
    </w:p>
    <w:tbl>
      <w:tblPr>
        <w:tblW w:w="4898" w:type="dxa"/>
        <w:jc w:val="left"/>
        <w:tblInd w:w="0" w:type="dxa"/>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C common stock; and</w:t>
            </w:r>
          </w:p>
        </w:tc>
      </w:tr>
    </w:tbl>
    <w:p>
      <w:pPr>
        <w:pStyle w:val="TextBody"/>
        <w:spacing w:lineRule="auto" w:line="240" w:before="0" w:after="0"/>
        <w:ind w:left="0" w:right="0" w:hanging="360"/>
        <w:jc w:val="both"/>
        <w:rPr>
          <w:color w:val="000000"/>
        </w:rPr>
      </w:pPr>
      <w:r>
        <w:rPr>
          <w:color w:val="000000"/>
        </w:rPr>
        <w:t> </w:t>
      </w:r>
    </w:p>
    <w:tbl>
      <w:tblPr>
        <w:tblW w:w="4898" w:type="dxa"/>
        <w:jc w:val="left"/>
        <w:tblInd w:w="0" w:type="dxa"/>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D common stock; and</w:t>
            </w:r>
          </w:p>
        </w:tc>
      </w:tr>
    </w:tbl>
    <w:p>
      <w:pPr>
        <w:pStyle w:val="TextBody"/>
        <w:spacing w:lineRule="auto" w:line="240" w:before="0" w:after="0"/>
        <w:ind w:left="0" w:right="0" w:hanging="360"/>
        <w:jc w:val="both"/>
        <w:rPr>
          <w:color w:val="000000"/>
        </w:rPr>
      </w:pPr>
      <w:r>
        <w:rPr>
          <w:color w:val="000000"/>
        </w:rPr>
        <w:t> </w:t>
      </w:r>
    </w:p>
    <w:tbl>
      <w:tblPr>
        <w:tblW w:w="6788" w:type="dxa"/>
        <w:jc w:val="left"/>
        <w:tblInd w:w="0" w:type="dxa"/>
        <w:tblCellMar>
          <w:top w:w="28" w:type="dxa"/>
          <w:left w:w="28" w:type="dxa"/>
          <w:bottom w:w="28" w:type="dxa"/>
          <w:right w:w="28" w:type="dxa"/>
        </w:tblCellMar>
      </w:tblPr>
      <w:tblGrid>
        <w:gridCol w:w="124"/>
        <w:gridCol w:w="109"/>
        <w:gridCol w:w="109"/>
        <w:gridCol w:w="109"/>
        <w:gridCol w:w="109"/>
        <w:gridCol w:w="109"/>
        <w:gridCol w:w="1790"/>
        <w:gridCol w:w="1790"/>
        <w:gridCol w:w="25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300,000,000 shares of OPAL Preferred Stock, par value $0.0001 per share.</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29,477,766 shares of Class A common stock issued and outstanding.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no event will any stock dividend, stock split, reverse stock split, combination of stock, reclassification or recapitalization be declared or made on any series of Common Stock (each, a “</w:t>
      </w:r>
      <w:r>
        <w:rPr>
          <w:rFonts w:ascii="Times New Roman;sans-serif" w:hAnsi="Times New Roman;sans-serif"/>
          <w:b/>
          <w:i/>
          <w:color w:val="000000"/>
          <w:sz w:val="20"/>
        </w:rPr>
        <w:t>Stock Adjustment</w:t>
      </w:r>
      <w:r>
        <w:rPr>
          <w:color w:val="000000"/>
        </w:rPr>
        <w:t>”</w:t>
      </w:r>
      <w:r>
        <w:rPr>
          <w:rFonts w:ascii="Times New Roman;sans-serif" w:hAnsi="Times New Roman;sans-serif"/>
          <w:b w:val="false"/>
          <w:color w:val="000000"/>
          <w:sz w:val="20"/>
        </w:rPr>
        <w:t>)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ind w:left="0" w:right="0" w:hanging="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 (as defined in the Second A&amp;R LLC Agreement).</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B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xml:space="preserve"> </w:t>
      </w:r>
      <w:r>
        <w:rPr>
          <w:rFonts w:ascii="Times New Roman;sans-serif" w:hAnsi="Times New Roman;sans-serif"/>
          <w:b w:val="false"/>
          <w:color w:val="000000"/>
          <w:sz w:val="20"/>
        </w:rPr>
        <w:t>Dividends of cash or property may not be declared or paid on shares of Class B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 xml:space="preserve">Subscription Rights. </w:t>
      </w:r>
      <w:r>
        <w:rPr>
          <w:rFonts w:ascii="Times New Roman;sans-serif" w:hAnsi="Times New Roman;sans-serif"/>
          <w:b w:val="false"/>
          <w:color w:val="000000"/>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C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did not have any shares of Class C common stock issued and outstanding. Shares of Class C common stock may be converted to shares of Class A common stock, as discussed further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Dividends; Stock Splits and Combinations.</w:t>
      </w:r>
      <w:r>
        <w:rPr>
          <w:color w:val="000000"/>
        </w:rPr>
        <w:t>   </w:t>
      </w:r>
      <w:r>
        <w:rPr>
          <w:rFonts w:ascii="Times New Roman;sans-serif" w:hAnsi="Times New Roman;sans-serif"/>
          <w:b w:val="false"/>
          <w:color w:val="000000"/>
          <w:sz w:val="20"/>
        </w:rPr>
        <w:t>Dividends of cash or property may not be declared or paid on shares of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spacing w:lineRule="auto" w:line="240" w:before="0" w:after="0"/>
        <w:ind w:left="0" w:right="0" w:hanging="360"/>
        <w:jc w:val="both"/>
        <w:rPr>
          <w:color w:val="000000"/>
        </w:rPr>
      </w:pPr>
      <w:r>
        <w:rPr>
          <w:color w:val="000000"/>
        </w:rPr>
        <w:t> </w:t>
      </w:r>
    </w:p>
    <w:tbl>
      <w:tblPr>
        <w:tblW w:w="9447" w:type="dxa"/>
        <w:jc w:val="left"/>
        <w:tblInd w:w="0" w:type="dxa"/>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Subscription Rights.</w:t>
      </w:r>
      <w:r>
        <w:rPr>
          <w:color w:val="000000"/>
        </w:rPr>
        <w:t>   </w:t>
      </w:r>
      <w:r>
        <w:rPr>
          <w:rFonts w:ascii="Times New Roman;sans-serif" w:hAnsi="Times New Roman;sans-serif"/>
          <w:b w:val="false"/>
          <w:color w:val="000000"/>
          <w:sz w:val="20"/>
        </w:rPr>
        <w:t>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Cancellation of Class B common stock and Class D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rights of the Common Stock, the OPAL Preferred Stock or any future class or series of OPAL Preferred Stock or Common Stock.</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But Unissued OPAL Capital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Anti-Takeover Effects of Provisions of Delaware Law and the Organizational Documents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of the Organizational Documents could discourage potential acquisition proposals and could delay or prevent a change in control. These provisions are intended to enhance the likelihood of continuity and </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include: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Action by Written Consent; Special Meeting of Stockholder.</w:t>
      </w:r>
      <w:r>
        <w:rPr>
          <w:color w:val="000000"/>
        </w:rPr>
        <w:t>    </w:t>
      </w:r>
      <w:r>
        <w:rPr>
          <w:rFonts w:ascii="Times New Roman;sans-serif" w:hAnsi="Times New Roman;sans-serif"/>
          <w:b w:val="false"/>
          <w:color w:val="000000"/>
          <w:sz w:val="20"/>
        </w:rPr>
        <w:t>Subject to, with respect to the our Preferred Stock, the terms of any series of our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special rights of the holders of any series of our Preferred Stock and the requirements of applicable law, a special meetings of stockholders may be called only by the chairperson of our board, the vice chairperson of our board, the chief executive officer or at the direction of our board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Election and Removal of Directors.</w:t>
      </w:r>
      <w:r>
        <w:rPr>
          <w:color w:val="000000"/>
        </w:rPr>
        <w:t>    </w:t>
      </w:r>
      <w:r>
        <w:rPr>
          <w:rFonts w:ascii="Times New Roman;sans-serif" w:hAnsi="Times New Roman;sans-serif"/>
          <w:b w:val="false"/>
          <w:color w:val="000000"/>
          <w:sz w:val="20"/>
        </w:rPr>
        <w:t>Subject to any limitations imposed by applicable law and except for additional directors of OPAL elected by the 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Other Limitations on Stockholder Actions</w:t>
      </w:r>
      <w:r>
        <w:rPr>
          <w:rFonts w:ascii="Times New Roman;sans-serif" w:hAnsi="Times New Roman;sans-serif"/>
          <w:b w:val="false"/>
          <w:i/>
          <w:color w:val="000000"/>
          <w:sz w:val="20"/>
        </w:rPr>
        <w:t>.  </w:t>
      </w:r>
      <w:r>
        <w:rPr>
          <w:rFonts w:ascii="Times New Roman;sans-serif" w:hAnsi="Times New Roman;sans-serif"/>
          <w:b w:val="false"/>
          <w:color w:val="000000"/>
          <w:sz w:val="20"/>
        </w:rPr>
        <w:t>Our Bylaws also impose some procedural requirements on stockholders who wish to:</w:t>
      </w:r>
    </w:p>
    <w:p>
      <w:pPr>
        <w:pStyle w:val="TextBody"/>
        <w:spacing w:lineRule="auto" w:line="240" w:before="0" w:after="0"/>
        <w:ind w:left="0" w:right="0" w:hanging="360"/>
        <w:jc w:val="both"/>
        <w:rPr>
          <w:color w:val="000000"/>
        </w:rPr>
      </w:pPr>
      <w:r>
        <w:rPr>
          <w:color w:val="000000"/>
        </w:rPr>
        <w:t> </w:t>
      </w:r>
    </w:p>
    <w:tbl>
      <w:tblPr>
        <w:tblW w:w="4763" w:type="dxa"/>
        <w:jc w:val="left"/>
        <w:tblInd w:w="0" w:type="dxa"/>
        <w:tblCellMar>
          <w:top w:w="28" w:type="dxa"/>
          <w:left w:w="28" w:type="dxa"/>
          <w:bottom w:w="28" w:type="dxa"/>
          <w:right w:w="28" w:type="dxa"/>
        </w:tblCellMar>
      </w:tblPr>
      <w:tblGrid>
        <w:gridCol w:w="124"/>
        <w:gridCol w:w="109"/>
        <w:gridCol w:w="109"/>
        <w:gridCol w:w="109"/>
        <w:gridCol w:w="109"/>
        <w:gridCol w:w="109"/>
        <w:gridCol w:w="1199"/>
        <w:gridCol w:w="1199"/>
        <w:gridCol w:w="16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make nominations in the election of directors; or</w:t>
            </w:r>
          </w:p>
        </w:tc>
      </w:tr>
    </w:tbl>
    <w:p>
      <w:pPr>
        <w:pStyle w:val="TextBody"/>
        <w:spacing w:lineRule="auto" w:line="240" w:before="0" w:after="0"/>
        <w:ind w:left="0" w:right="0" w:hanging="360"/>
        <w:jc w:val="both"/>
        <w:rPr>
          <w:color w:val="000000"/>
        </w:rPr>
      </w:pPr>
      <w:r>
        <w:rPr>
          <w:color w:val="000000"/>
        </w:rPr>
        <w:t> </w:t>
      </w:r>
    </w:p>
    <w:tbl>
      <w:tblPr>
        <w:tblW w:w="7583" w:type="dxa"/>
        <w:jc w:val="left"/>
        <w:tblInd w:w="0" w:type="dxa"/>
        <w:tblCellMar>
          <w:top w:w="28" w:type="dxa"/>
          <w:left w:w="28" w:type="dxa"/>
          <w:bottom w:w="28" w:type="dxa"/>
          <w:right w:w="28" w:type="dxa"/>
        </w:tblCellMar>
      </w:tblPr>
      <w:tblGrid>
        <w:gridCol w:w="124"/>
        <w:gridCol w:w="109"/>
        <w:gridCol w:w="109"/>
        <w:gridCol w:w="109"/>
        <w:gridCol w:w="109"/>
        <w:gridCol w:w="109"/>
        <w:gridCol w:w="2022"/>
        <w:gridCol w:w="2022"/>
        <w:gridCol w:w="2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91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propose any other business to be brought before an annual meeting of stockholders.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spacing w:lineRule="auto" w:line="240" w:before="0" w:after="0"/>
        <w:ind w:left="0" w:right="0" w:hanging="360"/>
        <w:jc w:val="both"/>
        <w:rPr>
          <w:color w:val="000000"/>
        </w:rPr>
      </w:pPr>
      <w:r>
        <w:rPr>
          <w:color w:val="000000"/>
        </w:rPr>
        <w:t> </w:t>
      </w:r>
    </w:p>
    <w:tbl>
      <w:tblPr>
        <w:tblW w:w="9068" w:type="dxa"/>
        <w:jc w:val="left"/>
        <w:tblInd w:w="0" w:type="dxa"/>
        <w:tblCellMar>
          <w:top w:w="28" w:type="dxa"/>
          <w:left w:w="28" w:type="dxa"/>
          <w:bottom w:w="28" w:type="dxa"/>
          <w:right w:w="28" w:type="dxa"/>
        </w:tblCellMar>
      </w:tblPr>
      <w:tblGrid>
        <w:gridCol w:w="124"/>
        <w:gridCol w:w="109"/>
        <w:gridCol w:w="109"/>
        <w:gridCol w:w="109"/>
        <w:gridCol w:w="109"/>
        <w:gridCol w:w="109"/>
        <w:gridCol w:w="2457"/>
        <w:gridCol w:w="2457"/>
        <w:gridCol w:w="34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record address of each stockholder proposing business, as they appear in OPAL’s books;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or series and number of shares of stock of OPAL, directly or indirectly, held of record and beneficially by the Proponent or Stockholder Associated Person, as such terms are defined in the Bylaws;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all persons with whom the stockholder is acting in concert and a description of all arrangements and understandings with those persons;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business or nomination to be brought before the meeting, the text of the proposal and the reasons for conducting such business at the meeting; and</w:t>
            </w:r>
          </w:p>
        </w:tc>
      </w:tr>
    </w:tbl>
    <w:p>
      <w:pPr>
        <w:pStyle w:val="TextBody"/>
        <w:spacing w:lineRule="auto" w:line="240" w:before="0" w:after="0"/>
        <w:ind w:left="0" w:right="0" w:hanging="360"/>
        <w:jc w:val="both"/>
        <w:rPr>
          <w:color w:val="000000"/>
        </w:rPr>
      </w:pPr>
      <w:r>
        <w:rPr>
          <w:color w:val="000000"/>
        </w:rPr>
        <w:t> </w:t>
      </w:r>
    </w:p>
    <w:tbl>
      <w:tblPr>
        <w:tblW w:w="8034" w:type="dxa"/>
        <w:jc w:val="left"/>
        <w:tblInd w:w="0" w:type="dxa"/>
        <w:tblCellMar>
          <w:top w:w="28" w:type="dxa"/>
          <w:left w:w="28" w:type="dxa"/>
          <w:bottom w:w="28" w:type="dxa"/>
          <w:right w:w="28" w:type="dxa"/>
        </w:tblCellMar>
      </w:tblPr>
      <w:tblGrid>
        <w:gridCol w:w="124"/>
        <w:gridCol w:w="109"/>
        <w:gridCol w:w="109"/>
        <w:gridCol w:w="109"/>
        <w:gridCol w:w="109"/>
        <w:gridCol w:w="109"/>
        <w:gridCol w:w="2156"/>
        <w:gridCol w:w="2156"/>
        <w:gridCol w:w="30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material interest of the Proponent or Stockholder Associated Person in such business.</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also set out the timeliness requirements for delivery of such notice.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Limitation on Liability and Indemnification of Officers and Directors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Organizational Documents provide indemnification for OPAL’s directors and officers to the fullest extent permitted by the DGCL. </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July 21, 2022, we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sans-serif" w:hAnsi="Times New Roman;sans-serif"/>
          <w:b/>
          <w:i/>
          <w:color w:val="000000"/>
          <w:sz w:val="20"/>
        </w:rPr>
        <w:t>Expenses</w:t>
      </w:r>
      <w:r>
        <w:rPr>
          <w:color w:val="000000"/>
        </w:rPr>
        <w:t>”</w:t>
      </w:r>
      <w:r>
        <w:rPr>
          <w:rFonts w:ascii="Times New Roman;sans-serif" w:hAnsi="Times New Roman;sans-serif"/>
          <w:b w:val="false"/>
          <w:color w:val="000000"/>
          <w:sz w:val="20"/>
        </w:rPr>
        <w:t>).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Exclusive Forum</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If any action, the subject matter of which is within the scope of the exclusive forum provisions of the Charter, is filed in a court other than a court located within the State of Delaware (a “</w:t>
      </w:r>
      <w:r>
        <w:rPr>
          <w:rFonts w:ascii="Times New Roman;sans-serif" w:hAnsi="Times New Roman;sans-serif"/>
          <w:b/>
          <w:i/>
          <w:color w:val="000000"/>
          <w:sz w:val="20"/>
        </w:rPr>
        <w:t>Foreign Action</w:t>
      </w:r>
      <w:r>
        <w:rPr>
          <w:color w:val="000000"/>
        </w:rPr>
        <w:t>”</w:t>
      </w:r>
      <w:r>
        <w:rPr>
          <w:rFonts w:ascii="Times New Roman;sans-serif" w:hAnsi="Times New Roman;sans-serif"/>
          <w:b w:val="false"/>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sans-serif" w:hAnsi="Times New Roman;sans-serif"/>
          <w:b/>
          <w:i/>
          <w:color w:val="000000"/>
          <w:sz w:val="20"/>
        </w:rPr>
        <w:t>Enforcement Action</w:t>
      </w:r>
      <w:r>
        <w:rPr>
          <w:color w:val="000000"/>
        </w:rPr>
        <w:t>”</w:t>
      </w:r>
      <w:r>
        <w:rPr>
          <w:rFonts w:ascii="Times New Roman;sans-serif" w:hAnsi="Times New Roman;sans-serif"/>
          <w:b w:val="false"/>
          <w:color w:val="000000"/>
          <w:sz w:val="20"/>
        </w:rPr>
        <w:t>) and (ii) having service of process made upon such stockholder in any such Enforcement Action by service upon such stockholder’s counsel in the Foreign Action as agent for such stockholder.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holding, owning or otherwise acquiring any interest in any of our securities shall be deemed to have notice of and to have consented to the exclusive forum provisions of the Charter.</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spacing w:before="0" w:after="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OPAL’s Common Stock is Continental Transfer &amp; Trust Company.</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Listing of Common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Class A common stock are listed on Nasdaq under the symbol “OPAL”.</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OWNERSHIP</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and Class D common stock by:</w:t>
      </w:r>
    </w:p>
    <w:p>
      <w:pPr>
        <w:pStyle w:val="TextBody"/>
        <w:spacing w:lineRule="auto" w:line="240" w:before="0" w:after="0"/>
        <w:ind w:left="0" w:right="0" w:hanging="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 is the beneficial owner of more than 5% of the outstanding shares of our Class A common stock or our Class D common stock;</w:t>
            </w:r>
          </w:p>
        </w:tc>
      </w:tr>
    </w:tbl>
    <w:p>
      <w:pPr>
        <w:pStyle w:val="TextBody"/>
        <w:spacing w:lineRule="auto" w:line="240" w:before="0" w:after="0"/>
        <w:ind w:left="0" w:right="0" w:hanging="360"/>
        <w:jc w:val="both"/>
        <w:rPr>
          <w:color w:val="000000"/>
        </w:rPr>
      </w:pPr>
      <w:r>
        <w:rPr>
          <w:color w:val="000000"/>
        </w:rPr>
        <w:t> </w:t>
      </w:r>
    </w:p>
    <w:tbl>
      <w:tblPr>
        <w:tblW w:w="6249" w:type="dxa"/>
        <w:jc w:val="left"/>
        <w:tblInd w:w="0" w:type="dxa"/>
        <w:tblCellMar>
          <w:top w:w="28" w:type="dxa"/>
          <w:left w:w="28" w:type="dxa"/>
          <w:bottom w:w="28" w:type="dxa"/>
          <w:right w:w="28" w:type="dxa"/>
        </w:tblCellMar>
      </w:tblPr>
      <w:tblGrid>
        <w:gridCol w:w="124"/>
        <w:gridCol w:w="109"/>
        <w:gridCol w:w="109"/>
        <w:gridCol w:w="109"/>
        <w:gridCol w:w="109"/>
        <w:gridCol w:w="109"/>
        <w:gridCol w:w="1631"/>
        <w:gridCol w:w="1631"/>
        <w:gridCol w:w="23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named executive officers and directors; and</w:t>
            </w:r>
          </w:p>
        </w:tc>
      </w:tr>
    </w:tbl>
    <w:p>
      <w:pPr>
        <w:pStyle w:val="TextBody"/>
        <w:spacing w:lineRule="auto" w:line="240" w:before="0" w:after="0"/>
        <w:ind w:left="0" w:right="0" w:hanging="360"/>
        <w:jc w:val="both"/>
        <w:rPr>
          <w:color w:val="000000"/>
        </w:rPr>
      </w:pPr>
      <w:r>
        <w:rPr>
          <w:color w:val="000000"/>
        </w:rPr>
        <w:t> </w:t>
      </w:r>
    </w:p>
    <w:tbl>
      <w:tblPr>
        <w:tblW w:w="6009" w:type="dxa"/>
        <w:jc w:val="left"/>
        <w:tblInd w:w="0" w:type="dxa"/>
        <w:tblCellMar>
          <w:top w:w="28" w:type="dxa"/>
          <w:left w:w="28" w:type="dxa"/>
          <w:bottom w:w="28" w:type="dxa"/>
          <w:right w:w="28" w:type="dxa"/>
        </w:tblCellMar>
      </w:tblPr>
      <w:tblGrid>
        <w:gridCol w:w="124"/>
        <w:gridCol w:w="109"/>
        <w:gridCol w:w="109"/>
        <w:gridCol w:w="109"/>
        <w:gridCol w:w="109"/>
        <w:gridCol w:w="109"/>
        <w:gridCol w:w="1561"/>
        <w:gridCol w:w="1561"/>
        <w:gridCol w:w="22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executive officers and directors as a group.</w:t>
            </w:r>
          </w:p>
        </w:tc>
      </w:tr>
    </w:tbl>
    <w:p>
      <w:pPr>
        <w:pStyle w:val="TextBody"/>
        <w:spacing w:lineRule="auto" w:line="2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derivative securities that are currently exercisable or exercisable within 60 days of the date of this prospectus are considered outstanding and beneficially owned by the person holding such derivative security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Class A common stock is based on 27,694,332 shares of our Class A common stock issued and outstanding and 144,399,037 shares of our Class D common stock issued and outstanding as of April 28,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April 28, 2023, but we do not include those shares of common stock underlying such securities when computing the percentage ownership of any other person.</w:t>
      </w:r>
    </w:p>
    <w:p>
      <w:pPr>
        <w:pStyle w:val="TextBody"/>
        <w:spacing w:before="0" w:after="0"/>
        <w:ind w:left="0" w:right="0" w:firstLine="892"/>
        <w:jc w:val="both"/>
        <w:rPr/>
      </w:pPr>
      <w:r>
        <w:rPr/>
      </w:r>
    </w:p>
    <w:tbl>
      <w:tblPr>
        <w:tblW w:w="10205" w:type="dxa"/>
        <w:jc w:val="left"/>
        <w:tblInd w:w="0" w:type="dxa"/>
        <w:tblCellMar>
          <w:top w:w="28" w:type="dxa"/>
          <w:left w:w="28" w:type="dxa"/>
          <w:bottom w:w="28" w:type="dxa"/>
          <w:right w:w="28" w:type="dxa"/>
        </w:tblCellMar>
      </w:tblPr>
      <w:tblGrid>
        <w:gridCol w:w="521"/>
        <w:gridCol w:w="385"/>
        <w:gridCol w:w="386"/>
        <w:gridCol w:w="109"/>
        <w:gridCol w:w="109"/>
        <w:gridCol w:w="109"/>
        <w:gridCol w:w="622"/>
        <w:gridCol w:w="223"/>
        <w:gridCol w:w="223"/>
        <w:gridCol w:w="223"/>
        <w:gridCol w:w="223"/>
        <w:gridCol w:w="228"/>
        <w:gridCol w:w="109"/>
        <w:gridCol w:w="109"/>
        <w:gridCol w:w="109"/>
        <w:gridCol w:w="282"/>
        <w:gridCol w:w="217"/>
        <w:gridCol w:w="217"/>
        <w:gridCol w:w="217"/>
        <w:gridCol w:w="217"/>
        <w:gridCol w:w="222"/>
        <w:gridCol w:w="109"/>
        <w:gridCol w:w="109"/>
        <w:gridCol w:w="109"/>
        <w:gridCol w:w="531"/>
        <w:gridCol w:w="447"/>
        <w:gridCol w:w="449"/>
        <w:gridCol w:w="109"/>
        <w:gridCol w:w="109"/>
        <w:gridCol w:w="109"/>
        <w:gridCol w:w="109"/>
        <w:gridCol w:w="109"/>
        <w:gridCol w:w="109"/>
        <w:gridCol w:w="217"/>
        <w:gridCol w:w="217"/>
        <w:gridCol w:w="217"/>
        <w:gridCol w:w="217"/>
        <w:gridCol w:w="217"/>
        <w:gridCol w:w="222"/>
        <w:gridCol w:w="109"/>
        <w:gridCol w:w="109"/>
        <w:gridCol w:w="109"/>
        <w:gridCol w:w="352"/>
        <w:gridCol w:w="166"/>
        <w:gridCol w:w="129"/>
        <w:gridCol w:w="129"/>
        <w:gridCol w:w="129"/>
        <w:gridCol w:w="198"/>
      </w:tblGrid>
      <w:tr>
        <w:trPr/>
        <w:tc>
          <w:tcPr>
            <w:tcW w:w="52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color w:val="000000"/>
                <w:sz w:val="20"/>
              </w:rPr>
              <w:t>Name and Address of Beneficial Owners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D common stock beneficially owned</w:t>
            </w:r>
          </w:p>
        </w:tc>
        <w:tc>
          <w:tcPr>
            <w:tcW w:w="654"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6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Kevin M. Fogarty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Mark Comora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6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4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All directors and officers as a group (15 persons)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1,458,775</w:t>
            </w:r>
          </w:p>
        </w:tc>
        <w:tc>
          <w:tcPr>
            <w:tcW w:w="674"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6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Mark Comora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6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4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ArcLight CTC Holdings II, L.P.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6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ARCC Beacon LLC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6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2"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Mendocino Capital LLC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6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6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513"/>
        <w:gridCol w:w="1321"/>
        <w:gridCol w:w="1324"/>
        <w:gridCol w:w="109"/>
        <w:gridCol w:w="109"/>
        <w:gridCol w:w="109"/>
        <w:gridCol w:w="325"/>
        <w:gridCol w:w="325"/>
        <w:gridCol w:w="326"/>
        <w:gridCol w:w="109"/>
        <w:gridCol w:w="109"/>
        <w:gridCol w:w="109"/>
        <w:gridCol w:w="109"/>
        <w:gridCol w:w="109"/>
        <w:gridCol w:w="109"/>
        <w:gridCol w:w="204"/>
        <w:gridCol w:w="204"/>
        <w:gridCol w:w="208"/>
        <w:gridCol w:w="109"/>
        <w:gridCol w:w="109"/>
        <w:gridCol w:w="109"/>
        <w:gridCol w:w="109"/>
        <w:gridCol w:w="109"/>
        <w:gridCol w:w="109"/>
        <w:gridCol w:w="135"/>
        <w:gridCol w:w="135"/>
        <w:gridCol w:w="136"/>
        <w:gridCol w:w="109"/>
        <w:gridCol w:w="109"/>
        <w:gridCol w:w="109"/>
        <w:gridCol w:w="109"/>
        <w:gridCol w:w="109"/>
        <w:gridCol w:w="109"/>
        <w:gridCol w:w="135"/>
        <w:gridCol w:w="135"/>
        <w:gridCol w:w="136"/>
        <w:gridCol w:w="109"/>
        <w:gridCol w:w="109"/>
        <w:gridCol w:w="109"/>
        <w:gridCol w:w="109"/>
        <w:gridCol w:w="109"/>
        <w:gridCol w:w="109"/>
        <w:gridCol w:w="109"/>
        <w:gridCol w:w="109"/>
        <w:gridCol w:w="109"/>
        <w:gridCol w:w="109"/>
        <w:gridCol w:w="109"/>
        <w:gridCol w:w="155"/>
      </w:tblGrid>
      <w:tr>
        <w:trPr/>
        <w:tc>
          <w:tcPr>
            <w:tcW w:w="1513"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Electron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Nyera II Limited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8"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Entities affiliated with Encompass Capital Advisors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Zimmer Partners, LP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2,054,183 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8" w:type="dxa"/>
            <w:gridSpan w:val="3"/>
            <w:tcBorders/>
            <w:shd w:fill="FFFF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Barclays PLC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spacing w:lineRule="auto" w:line="240" w:before="0" w:after="100"/>
              <w:jc w:val="left"/>
              <w:rPr/>
            </w:pPr>
            <w:r>
              <w:rPr>
                <w:rFonts w:ascii="Times New Roman;sans-serif" w:hAnsi="Times New Roman;sans-serif"/>
                <w:b w:val="false"/>
                <w:color w:val="000000"/>
                <w:sz w:val="20"/>
              </w:rPr>
              <w:t>Barclays Bank PLC</w:t>
            </w:r>
            <w:r>
              <w:rPr>
                <w:color w:val="000000"/>
              </w:rPr>
              <w:t xml:space="preserve">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6"/>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892"/>
        <w:jc w:val="both"/>
        <w:rPr/>
      </w:pPr>
      <w:r>
        <w:rPr/>
      </w:r>
    </w:p>
    <w:p>
      <w:pPr>
        <w:pStyle w:val="TextBody"/>
        <w:spacing w:lineRule="auto" w:line="240"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*Represents less than 1%</w:t>
      </w:r>
    </w:p>
    <w:p>
      <w:pPr>
        <w:pStyle w:val="TextBody"/>
        <w:spacing w:before="0" w:after="0"/>
        <w:ind w:left="0" w:right="0" w:firstLine="892"/>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Unless otherwise noted, the business address of each of the directors and officers is One North Lexington Avenue, 14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Floor, White Plains, New York 10601.</w:t>
            </w:r>
          </w:p>
        </w:tc>
      </w:tr>
    </w:tbl>
    <w:p>
      <w:pPr>
        <w:pStyle w:val="TextBody"/>
        <w:spacing w:lineRule="auto" w:line="240" w:before="0" w:after="0"/>
        <w:rPr>
          <w:color w:val="000000"/>
        </w:rPr>
      </w:pPr>
      <w:r>
        <w:rPr>
          <w:color w:val="000000"/>
        </w:rPr>
        <w:t> </w:t>
      </w:r>
    </w:p>
    <w:tbl>
      <w:tblPr>
        <w:tblW w:w="5279" w:type="dxa"/>
        <w:jc w:val="left"/>
        <w:tblInd w:w="0" w:type="dxa"/>
        <w:tblCellMar>
          <w:top w:w="28" w:type="dxa"/>
          <w:left w:w="28" w:type="dxa"/>
          <w:bottom w:w="28" w:type="dxa"/>
          <w:right w:w="28" w:type="dxa"/>
        </w:tblCellMar>
      </w:tblPr>
      <w:tblGrid>
        <w:gridCol w:w="125"/>
        <w:gridCol w:w="110"/>
        <w:gridCol w:w="110"/>
        <w:gridCol w:w="1443"/>
        <w:gridCol w:w="1443"/>
        <w:gridCol w:w="2048"/>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shares are held by GBBH Family Limited Partnership.</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LLC (“</w:t>
            </w:r>
            <w:r>
              <w:rPr>
                <w:rFonts w:ascii="Times New Roman;sans-serif" w:hAnsi="Times New Roman;sans-serif"/>
                <w:b/>
                <w:i/>
                <w:color w:val="000000"/>
                <w:sz w:val="20"/>
              </w:rPr>
              <w:t>Fortistar</w:t>
            </w:r>
            <w:r>
              <w:rPr>
                <w:color w:val="000000"/>
              </w:rPr>
              <w:t>”</w:t>
            </w:r>
            <w:r>
              <w:rPr>
                <w:rFonts w:ascii="Times New Roman;sans-serif" w:hAnsi="Times New Roman;sans-serif"/>
                <w:b w:val="false"/>
                <w:color w:val="000000"/>
                <w:sz w:val="20"/>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color w:val="000000"/>
              </w:rPr>
              <w:t>”</w:t>
            </w:r>
            <w:r>
              <w:rPr>
                <w:rFonts w:ascii="Times New Roman;sans-serif" w:hAnsi="Times New Roman;sans-serif"/>
                <w:b w:val="false"/>
                <w:color w:val="000000"/>
                <w:sz w:val="20"/>
              </w:rPr>
              <w:t>.  Shares of Class D common stock may be converted into shares of Class A common stock as further discussed in “Description of Securities</w:t>
            </w:r>
            <w:r>
              <w:rPr>
                <w:color w:val="000000"/>
              </w:rPr>
              <w:t>—</w:t>
            </w:r>
            <w:r>
              <w:rPr>
                <w:rFonts w:ascii="Times New Roman;sans-serif" w:hAnsi="Times New Roman;sans-serif"/>
                <w:b w:val="false"/>
                <w:color w:val="000000"/>
                <w:sz w:val="20"/>
              </w:rPr>
              <w:t>Common Stock</w:t>
            </w:r>
            <w:r>
              <w:rPr>
                <w:color w:val="000000"/>
              </w:rPr>
              <w:t xml:space="preserve">— </w:t>
            </w:r>
            <w:r>
              <w:rPr>
                <w:rFonts w:ascii="Times New Roman;sans-serif" w:hAnsi="Times New Roman;sans-serif"/>
                <w:b w:val="false"/>
                <w:color w:val="000000"/>
                <w:sz w:val="20"/>
              </w:rPr>
              <w:t>Class D common stock.” The business address of each of Mr. Comora, OPAL Holdco, Hillman and Fortistar is One North Lexington Avenue, 14th Floor, White Plains, New York 10601.</w:t>
            </w:r>
          </w:p>
        </w:tc>
      </w:tr>
    </w:tbl>
    <w:p>
      <w:pPr>
        <w:pStyle w:val="TextBody"/>
        <w:spacing w:lineRule="auto" w:line="240" w:before="0" w:after="0"/>
        <w:rPr>
          <w:color w:val="000000"/>
        </w:rPr>
      </w:pPr>
      <w:r>
        <w:rPr>
          <w:color w:val="000000"/>
        </w:rPr>
        <w:t> </w:t>
      </w:r>
    </w:p>
    <w:tbl>
      <w:tblPr>
        <w:tblW w:w="8835" w:type="dxa"/>
        <w:jc w:val="left"/>
        <w:tblInd w:w="0" w:type="dxa"/>
        <w:tblCellMar>
          <w:top w:w="28" w:type="dxa"/>
          <w:left w:w="28" w:type="dxa"/>
          <w:bottom w:w="28" w:type="dxa"/>
          <w:right w:w="28" w:type="dxa"/>
        </w:tblCellMar>
      </w:tblPr>
      <w:tblGrid>
        <w:gridCol w:w="125"/>
        <w:gridCol w:w="110"/>
        <w:gridCol w:w="110"/>
        <w:gridCol w:w="2482"/>
        <w:gridCol w:w="2482"/>
        <w:gridCol w:w="3526"/>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2482" w:type="dxa"/>
            <w:tcBorders/>
            <w:shd w:fill="auto" w:val="clear"/>
            <w:vAlign w:val="center"/>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4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Excludes an aggregate of 302,187 restricted stock units issued to these individuals on October 3, 2022.</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 such shares. The business address of Sponsor and Mr. Revers is 200 Clarendon Street, 55th Floor, Boston, Massachusetts 02116.</w:t>
            </w:r>
          </w:p>
        </w:tc>
      </w:tr>
    </w:tbl>
    <w:p>
      <w:pPr>
        <w:pStyle w:val="TextBody"/>
        <w:spacing w:lineRule="auto" w:line="240" w:before="0" w:after="0"/>
        <w:rPr>
          <w:color w:val="000000"/>
        </w:rPr>
      </w:pPr>
      <w:r>
        <w:rPr>
          <w:color w:val="000000"/>
        </w:rPr>
        <w:t> </w:t>
      </w:r>
    </w:p>
    <w:tbl>
      <w:tblPr>
        <w:tblW w:w="8999" w:type="dxa"/>
        <w:jc w:val="left"/>
        <w:tblInd w:w="0" w:type="dxa"/>
        <w:tblCellMar>
          <w:top w:w="28" w:type="dxa"/>
          <w:left w:w="28" w:type="dxa"/>
          <w:bottom w:w="28" w:type="dxa"/>
          <w:right w:w="28" w:type="dxa"/>
        </w:tblCellMar>
      </w:tblPr>
      <w:tblGrid>
        <w:gridCol w:w="125"/>
        <w:gridCol w:w="110"/>
        <w:gridCol w:w="110"/>
        <w:gridCol w:w="2531"/>
        <w:gridCol w:w="2531"/>
        <w:gridCol w:w="3592"/>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3592"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65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ARCC Beacon LLC is 245 Park Avenue, 43rd Floor New York, New York 10167.</w:t>
            </w:r>
          </w:p>
        </w:tc>
      </w:tr>
    </w:tbl>
    <w:p>
      <w:pPr>
        <w:pStyle w:val="TextBody"/>
        <w:spacing w:lineRule="auto" w:line="240" w:before="0" w:after="0"/>
        <w:rPr>
          <w:color w:val="000000"/>
        </w:rPr>
      </w:pPr>
      <w:r>
        <w:rPr>
          <w:color w:val="000000"/>
        </w:rPr>
        <w:t> </w:t>
      </w:r>
    </w:p>
    <w:tbl>
      <w:tblPr>
        <w:tblW w:w="8970" w:type="dxa"/>
        <w:jc w:val="left"/>
        <w:tblInd w:w="0" w:type="dxa"/>
        <w:tblCellMar>
          <w:top w:w="28" w:type="dxa"/>
          <w:left w:w="28" w:type="dxa"/>
          <w:bottom w:w="28" w:type="dxa"/>
          <w:right w:w="28" w:type="dxa"/>
        </w:tblCellMar>
      </w:tblPr>
      <w:tblGrid>
        <w:gridCol w:w="125"/>
        <w:gridCol w:w="110"/>
        <w:gridCol w:w="110"/>
        <w:gridCol w:w="2525"/>
        <w:gridCol w:w="2525"/>
        <w:gridCol w:w="357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62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Mendocino and NextEra is 700 Universe Boulevard, Juno Beach, Florida 33408.</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 dispositive power over such shares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3"/>
        <w:gridCol w:w="126"/>
        <w:gridCol w:w="128"/>
        <w:gridCol w:w="2870"/>
        <w:gridCol w:w="2870"/>
        <w:gridCol w:w="4068"/>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1,638,655 shares of Class A common stock which are held by certain fund entities and managed accounts for which Encompass Capital Advisors, LLC (“Encompass Advisors”) exercises investment discretion, and (ii) 1,344,484 shares of Class A common stock which are held by certain fund entities and managed accounts for which Encompass Capital Partners LLC (“Encompass Partners”)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6"/>
        <w:gridCol w:w="129"/>
        <w:gridCol w:w="131"/>
        <w:gridCol w:w="2861"/>
        <w:gridCol w:w="2861"/>
        <w:gridCol w:w="4077"/>
      </w:tblGrid>
      <w:tr>
        <w:trPr/>
        <w:tc>
          <w:tcPr>
            <w:tcW w:w="1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77"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February 9, 2023 by Zimmer Partners, LP, Zimmer Financial Services Group LLC, Zimmer Partners GP, LLC, and Stuart J. Zimmer (the “Zimmer Parties”), the business address of the Zimmer Partners Parties is 9 West 57th Street, 33rd Floor, New York, NY 10019. The Zimmer Parties share voting and dispositive power over 2,054,183 shares of Class A common stock.</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56"/>
        <w:gridCol w:w="137"/>
        <w:gridCol w:w="139"/>
        <w:gridCol w:w="2855"/>
        <w:gridCol w:w="2855"/>
        <w:gridCol w:w="4063"/>
      </w:tblGrid>
      <w:tr>
        <w:trPr/>
        <w:tc>
          <w:tcPr>
            <w:tcW w:w="15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4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7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PLC, the business address of such parties is 1 Churchill Place, London, E14 5HP, England.</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55"/>
        <w:gridCol w:w="137"/>
        <w:gridCol w:w="139"/>
        <w:gridCol w:w="2855"/>
        <w:gridCol w:w="2855"/>
        <w:gridCol w:w="4064"/>
      </w:tblGrid>
      <w:tr>
        <w:trPr/>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Bank PLC, the business address of such parties is 1 Churchill Place, London, E14 5HP, England.</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SELLING HOLDERS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relates to the resale by the Selling Holders from time to time of up to 166,318,246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pStyle w:val="TextBody"/>
        <w:spacing w:lineRule="auto" w:line="240"/>
        <w:ind w:left="0" w:right="0" w:firstLine="54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43"/>
        <w:gridCol w:w="701"/>
        <w:gridCol w:w="707"/>
        <w:gridCol w:w="109"/>
        <w:gridCol w:w="109"/>
        <w:gridCol w:w="109"/>
        <w:gridCol w:w="109"/>
        <w:gridCol w:w="109"/>
        <w:gridCol w:w="109"/>
        <w:gridCol w:w="585"/>
        <w:gridCol w:w="585"/>
        <w:gridCol w:w="586"/>
        <w:gridCol w:w="109"/>
        <w:gridCol w:w="109"/>
        <w:gridCol w:w="109"/>
        <w:gridCol w:w="109"/>
        <w:gridCol w:w="109"/>
        <w:gridCol w:w="109"/>
        <w:gridCol w:w="738"/>
        <w:gridCol w:w="738"/>
        <w:gridCol w:w="739"/>
        <w:gridCol w:w="109"/>
        <w:gridCol w:w="109"/>
        <w:gridCol w:w="109"/>
        <w:gridCol w:w="109"/>
        <w:gridCol w:w="109"/>
        <w:gridCol w:w="109"/>
        <w:gridCol w:w="503"/>
        <w:gridCol w:w="503"/>
        <w:gridCol w:w="715"/>
      </w:tblGrid>
      <w:tr>
        <w:trPr/>
        <w:tc>
          <w:tcPr>
            <w:tcW w:w="1143"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Selling Holder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Prior to Offering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Registered for Sale Hereby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After Offering</w:t>
            </w:r>
          </w:p>
        </w:tc>
      </w:tr>
      <w:tr>
        <w:trPr/>
        <w:tc>
          <w:tcPr>
            <w:tcW w:w="255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ARCC Beacon LLC (1)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ArcLight CTC Holdings II, L.P. (2)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Arno Harris (3)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Goncher (3)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Ja-Chin Audrey Lee (3)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Berkenfeld (3)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Mark Comora (4)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Adage Capital Partners LP (5)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Alternative Energy Fund LP (6)</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Opportunistic Fund LP (7)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Dmitri Sinenko (8)</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Nyera II Limited (9)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Goldman Master Fund (10)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Mendocino Capital, LLC (11)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Northbank Capital Management, LLC (12)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Stearns, Conrad and Schmidt Consulting Engineers, Inc. (13)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Vichie (14)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Encompass Capital Advisors (15)</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Electron (16)</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ACHP B, L.P.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ACTC Holdings GP II, LLC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Alexander Busch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Brannan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Carl Stjernfeldt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Carter Aubrey Ward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A. Poole, III (17)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Miller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George Yong (18)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R. Revers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Elisabeth Wallace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Gavin Robert Danaher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Hayes A. Winik (19)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Jeanna T. Simeone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F. Erhard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Josef Alves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Crosby (20)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Keystone 2020, LLC (21)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Lucius Taylor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Marco Francesco Gatti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Tarini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Williamson Miller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Neelamkavil and Parekh Trust dated March 5, 2020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 Special Ops Holdings, LLC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Knight (22)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Meister Trevisani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S. McGaughey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Ryan James Ganong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Theodore D. Burke (23)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M. Evans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Trevor Edward Breen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Vancouver Resources, Inc. (24)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WSI Cicada II Ltd. (25)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3,059,533 shares of Class A common stock. ARCC Beacon LLC’s (“</w:t>
            </w:r>
            <w:r>
              <w:rPr>
                <w:rFonts w:ascii="Times New Roman;sans-serif" w:hAnsi="Times New Roman;sans-serif"/>
                <w:b/>
                <w:i/>
                <w:color w:val="000000"/>
                <w:sz w:val="20"/>
              </w:rPr>
              <w:t>ARCC Beacon</w:t>
            </w:r>
            <w:r>
              <w:rPr>
                <w:color w:val="000000"/>
              </w:rPr>
              <w:t>”</w:t>
            </w:r>
            <w:r>
              <w:rPr>
                <w:rFonts w:ascii="Times New Roman;sans-serif" w:hAnsi="Times New Roman;sans-serif"/>
                <w:b w:val="false"/>
                <w:color w:val="000000"/>
                <w:sz w:val="20"/>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sans-serif" w:hAnsi="Times New Roman;sans-serif"/>
                <w:b/>
                <w:i/>
                <w:color w:val="000000"/>
                <w:sz w:val="20"/>
              </w:rPr>
              <w:t>Ares Class B Common Stock</w:t>
            </w:r>
            <w:r>
              <w:rPr>
                <w:color w:val="000000"/>
              </w:rPr>
              <w:t>”</w:t>
            </w:r>
            <w:r>
              <w:rPr>
                <w:rFonts w:ascii="Times New Roman;sans-serif" w:hAnsi="Times New Roman;sans-serif"/>
                <w:b w:val="false"/>
                <w:color w:val="000000"/>
                <w:sz w:val="20"/>
              </w:rPr>
              <w:t>) and Ares Voting LLC is the sole holder of the Class C common stock, $0.01 par value per share, of Ares Management Corporation (the “</w:t>
            </w:r>
            <w:r>
              <w:rPr>
                <w:rFonts w:ascii="Times New Roman;sans-serif" w:hAnsi="Times New Roman;sans-serif"/>
                <w:b/>
                <w:i/>
                <w:color w:val="000000"/>
                <w:sz w:val="20"/>
              </w:rPr>
              <w:t>Ares Class C Common Stock</w:t>
            </w:r>
            <w:r>
              <w:rPr>
                <w:color w:val="000000"/>
              </w:rPr>
              <w:t>”</w:t>
            </w:r>
            <w:r>
              <w:rPr>
                <w:rFonts w:ascii="Times New Roman;sans-serif" w:hAnsi="Times New Roman;sans-serif"/>
                <w:b w:val="false"/>
                <w:color w:val="000000"/>
                <w:sz w:val="20"/>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sans-serif" w:hAnsi="Times New Roman;sans-serif"/>
                <w:b/>
                <w:i/>
                <w:color w:val="000000"/>
                <w:sz w:val="20"/>
              </w:rPr>
              <w:t>Ares Board Members</w:t>
            </w:r>
            <w:r>
              <w:rPr>
                <w:color w:val="000000"/>
              </w:rPr>
              <w:t>”</w:t>
            </w:r>
            <w:r>
              <w:rPr>
                <w:rFonts w:ascii="Times New Roman;sans-serif" w:hAnsi="Times New Roman;sans-serif"/>
                <w:b w:val="false"/>
                <w:color w:val="000000"/>
                <w:sz w:val="20"/>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1,498,804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business address of Sponsor and the reporting person is 200 Clarendon Street, 55th Floor, Boston, Massachusetts 02116.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rFonts w:ascii="Times New Roman;sans-serif" w:hAnsi="Times New Roman;sans-serif"/>
                <w:b w:val="false"/>
                <w:color w:val="000000"/>
                <w:sz w:val="20"/>
              </w:rPr>
              <w:t>.” The business address of each of Mr. Comora, OPAL Holdco, Hillman and Fortistar is One North Lexington Avenue 14th Floor, White Plains, New York 10601.</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79"/>
        <w:gridCol w:w="2879"/>
        <w:gridCol w:w="410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c>
          <w:tcPr>
            <w:tcW w:w="410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The address of the Selling Holder is 1614 Sul Ross Street, Houston, Texas 77006.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1,500,000 shares of Class A common stock. Benjamin Wasem, Pantelitsa Georgiade and Vasiliki Papalli (the “</w:t>
            </w:r>
            <w:r>
              <w:rPr>
                <w:rFonts w:ascii="Times New Roman;sans-serif" w:hAnsi="Times New Roman;sans-serif"/>
                <w:b/>
                <w:i/>
                <w:color w:val="000000"/>
                <w:sz w:val="20"/>
              </w:rPr>
              <w:t>Nyera Principals</w:t>
            </w:r>
            <w:r>
              <w:rPr>
                <w:color w:val="000000"/>
              </w:rPr>
              <w:t>”</w:t>
            </w:r>
            <w:r>
              <w:rPr>
                <w:rFonts w:ascii="Times New Roman;sans-serif" w:hAnsi="Times New Roman;sans-serif"/>
                <w:b w:val="false"/>
                <w:color w:val="000000"/>
                <w:sz w:val="20"/>
              </w:rPr>
              <w:t>) each has voting and investment discretion with respect to the securities held Nyera II Limited (“</w:t>
            </w:r>
            <w:r>
              <w:rPr>
                <w:rFonts w:ascii="Times New Roman;sans-serif" w:hAnsi="Times New Roman;sans-serif"/>
                <w:b/>
                <w:i/>
                <w:color w:val="000000"/>
                <w:sz w:val="20"/>
              </w:rPr>
              <w:t>Nyera</w:t>
            </w:r>
            <w:r>
              <w:rPr>
                <w:color w:val="000000"/>
              </w:rPr>
              <w:t>”</w:t>
            </w:r>
            <w:r>
              <w:rPr>
                <w:rFonts w:ascii="Times New Roman;sans-serif" w:hAnsi="Times New Roman;sans-serif"/>
                <w:b w:val="false"/>
                <w:color w:val="000000"/>
                <w:sz w:val="20"/>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3"/>
        <w:gridCol w:w="126"/>
        <w:gridCol w:w="128"/>
        <w:gridCol w:w="2869"/>
        <w:gridCol w:w="2869"/>
        <w:gridCol w:w="4070"/>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500,000 shares of Class A common stock. J. Goldman Master Fund, L.P. (the “</w:t>
            </w:r>
            <w:r>
              <w:rPr>
                <w:rFonts w:ascii="Times New Roman;sans-serif" w:hAnsi="Times New Roman;sans-serif"/>
                <w:b/>
                <w:i/>
                <w:color w:val="000000"/>
                <w:sz w:val="20"/>
              </w:rPr>
              <w:t>Master Fund</w:t>
            </w:r>
            <w:r>
              <w:rPr>
                <w:color w:val="000000"/>
              </w:rPr>
              <w:t>”</w:t>
            </w:r>
            <w:r>
              <w:rPr>
                <w:rFonts w:ascii="Times New Roman;sans-serif" w:hAnsi="Times New Roman;sans-serif"/>
                <w:b w:val="false"/>
                <w:color w:val="000000"/>
                <w:sz w:val="20"/>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9"/>
        <w:gridCol w:w="131"/>
        <w:gridCol w:w="133"/>
        <w:gridCol w:w="2861"/>
        <w:gridCol w:w="2861"/>
        <w:gridCol w:w="4070"/>
      </w:tblGrid>
      <w:tr>
        <w:trPr/>
        <w:tc>
          <w:tcPr>
            <w:tcW w:w="14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4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2,500,000 shares of Class A common stock. Mendocino Capital, LLC (“</w:t>
            </w:r>
            <w:r>
              <w:rPr>
                <w:rFonts w:ascii="Times New Roman;sans-serif" w:hAnsi="Times New Roman;sans-serif"/>
                <w:b/>
                <w:i/>
                <w:color w:val="000000"/>
                <w:sz w:val="20"/>
              </w:rPr>
              <w:t>Mendocino</w:t>
            </w:r>
            <w:r>
              <w:rPr>
                <w:color w:val="000000"/>
              </w:rPr>
              <w:t>”</w:t>
            </w:r>
            <w:r>
              <w:rPr>
                <w:rFonts w:ascii="Times New Roman;sans-serif" w:hAnsi="Times New Roman;sans-serif"/>
                <w:b w:val="false"/>
                <w:color w:val="000000"/>
                <w:sz w:val="20"/>
              </w:rPr>
              <w:t>) is a subsidiary of NextEra Energy, Inc. (“</w:t>
            </w:r>
            <w:r>
              <w:rPr>
                <w:rFonts w:ascii="Times New Roman;sans-serif" w:hAnsi="Times New Roman;sans-serif"/>
                <w:b/>
                <w:i/>
                <w:color w:val="000000"/>
                <w:sz w:val="20"/>
              </w:rPr>
              <w:t>NextEra</w:t>
            </w:r>
            <w:r>
              <w:rPr>
                <w:color w:val="000000"/>
              </w:rPr>
              <w:t>”</w:t>
            </w:r>
            <w:r>
              <w:rPr>
                <w:rFonts w:ascii="Times New Roman;sans-serif" w:hAnsi="Times New Roman;sans-serif"/>
                <w:b w:val="false"/>
                <w:color w:val="000000"/>
                <w:sz w:val="20"/>
              </w:rPr>
              <w:t>), a publicly traded company. The business address of Mendocino and NextEra is 700 Universe Boulevard, Juno Beach, Florida 33408.</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8"/>
        <w:gridCol w:w="130"/>
        <w:gridCol w:w="132"/>
        <w:gridCol w:w="2865"/>
        <w:gridCol w:w="2865"/>
        <w:gridCol w:w="4065"/>
      </w:tblGrid>
      <w:tr>
        <w:trPr/>
        <w:tc>
          <w:tcPr>
            <w:tcW w:w="14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9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500,000 shares of Class A common stock. Bradford Seagraves is the Chief Investment Officer of Northbank Capital Management, LLC (“</w:t>
            </w:r>
            <w:r>
              <w:rPr>
                <w:rFonts w:ascii="Times New Roman;sans-serif" w:hAnsi="Times New Roman;sans-serif"/>
                <w:b/>
                <w:i/>
                <w:color w:val="000000"/>
                <w:sz w:val="20"/>
              </w:rPr>
              <w:t>Northbank</w:t>
            </w:r>
            <w:r>
              <w:rPr>
                <w:color w:val="000000"/>
              </w:rPr>
              <w:t>”</w:t>
            </w:r>
            <w:r>
              <w:rPr>
                <w:rFonts w:ascii="Times New Roman;sans-serif" w:hAnsi="Times New Roman;sans-serif"/>
                <w:b w:val="false"/>
                <w:color w:val="000000"/>
                <w:sz w:val="20"/>
              </w:rPr>
              <w:t>), and may be deemed the beneficial owner of such shares. The business address of Northbank is 133 Southern Comfort Road, Ketchum, Idaho 83340.</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7"/>
        <w:gridCol w:w="129"/>
        <w:gridCol w:w="131"/>
        <w:gridCol w:w="2869"/>
        <w:gridCol w:w="2869"/>
        <w:gridCol w:w="4060"/>
      </w:tblGrid>
      <w:tr>
        <w:trPr/>
        <w:tc>
          <w:tcPr>
            <w:tcW w:w="14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0" w:type="dxa"/>
            <w:tcBorders/>
            <w:shd w:fill="auto" w:val="clear"/>
            <w:vAlign w:val="center"/>
          </w:tcPr>
          <w:p>
            <w:pPr>
              <w:pStyle w:val="TableContents"/>
              <w:spacing w:before="0" w:after="283"/>
              <w:rPr>
                <w:sz w:val="4"/>
                <w:szCs w:val="4"/>
              </w:rPr>
            </w:pPr>
            <w:r>
              <w:rPr>
                <w:sz w:val="4"/>
                <w:szCs w:val="4"/>
              </w:rPr>
            </w:r>
          </w:p>
        </w:tc>
      </w:tr>
      <w:tr>
        <w:trPr/>
        <w:tc>
          <w:tcPr>
            <w:tcW w:w="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9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50,000 shares of Class A common stock. Curtis Jang is the Chief Financial Officer of Stearns, Conrad and Schmidt Consulting Engineers, Inc.(“</w:t>
            </w:r>
            <w:r>
              <w:rPr>
                <w:rFonts w:ascii="Times New Roman;sans-serif" w:hAnsi="Times New Roman;sans-serif"/>
                <w:b/>
                <w:i/>
                <w:color w:val="000000"/>
                <w:sz w:val="20"/>
              </w:rPr>
              <w:t>SCS Consulting</w:t>
            </w:r>
            <w:r>
              <w:rPr>
                <w:color w:val="000000"/>
              </w:rPr>
              <w:t>”</w:t>
            </w:r>
            <w:r>
              <w:rPr>
                <w:rFonts w:ascii="Times New Roman;sans-serif" w:hAnsi="Times New Roman;sans-serif"/>
                <w:b w:val="false"/>
                <w:color w:val="000000"/>
                <w:sz w:val="20"/>
              </w:rPr>
              <w:t>), and may be deemed the beneficial owner of such shares. The business address of SCS Consulting is 3900 Kilroy Airport Way, Suite 100, Long Beach, California 90806.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60"/>
        <w:gridCol w:w="141"/>
        <w:gridCol w:w="143"/>
        <w:gridCol w:w="2850"/>
        <w:gridCol w:w="2850"/>
        <w:gridCol w:w="4061"/>
      </w:tblGrid>
      <w:tr>
        <w:trPr/>
        <w:tc>
          <w:tcPr>
            <w:tcW w:w="1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c>
          <w:tcPr>
            <w:tcW w:w="2850" w:type="dxa"/>
            <w:tcBorders/>
            <w:shd w:fill="auto" w:val="clear"/>
            <w:vAlign w:val="center"/>
          </w:tcPr>
          <w:p>
            <w:pPr>
              <w:pStyle w:val="TableContents"/>
              <w:spacing w:before="0" w:after="283"/>
              <w:rPr>
                <w:sz w:val="4"/>
                <w:szCs w:val="4"/>
              </w:rPr>
            </w:pPr>
            <w:r>
              <w:rPr>
                <w:sz w:val="4"/>
                <w:szCs w:val="4"/>
              </w:rPr>
            </w:r>
          </w:p>
        </w:tc>
        <w:tc>
          <w:tcPr>
            <w:tcW w:w="4061" w:type="dxa"/>
            <w:tcBorders/>
            <w:shd w:fill="auto" w:val="clear"/>
            <w:vAlign w:val="center"/>
          </w:tcPr>
          <w:p>
            <w:pPr>
              <w:pStyle w:val="TableContents"/>
              <w:spacing w:before="0" w:after="283"/>
              <w:rPr>
                <w:sz w:val="4"/>
                <w:szCs w:val="4"/>
              </w:rPr>
            </w:pPr>
            <w:r>
              <w:rPr>
                <w:sz w:val="4"/>
                <w:szCs w:val="4"/>
              </w:rPr>
            </w:r>
          </w:p>
        </w:tc>
      </w:tr>
      <w:tr>
        <w:trPr/>
        <w:tc>
          <w:tcPr>
            <w:tcW w:w="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200,000 shares of Class A common stock. The address of the Selling Holder is 2403 Hatley Dr., Austin Texas 78746.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3"/>
        <w:gridCol w:w="126"/>
        <w:gridCol w:w="128"/>
        <w:gridCol w:w="2865"/>
        <w:gridCol w:w="2865"/>
        <w:gridCol w:w="4078"/>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78"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0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highlight w:val="white"/>
              </w:rPr>
              <w:t>Consists of (i) 1,638,655 shares of Class A common stock which are held by certain fund entities and managed accounts for which Encompass Capital Advisors, LLC (“</w:t>
            </w:r>
            <w:r>
              <w:rPr>
                <w:rFonts w:ascii="Times New Roman;sans-serif" w:hAnsi="Times New Roman;sans-serif"/>
                <w:b/>
                <w:i/>
                <w:color w:val="000000"/>
                <w:sz w:val="20"/>
                <w:highlight w:val="white"/>
              </w:rPr>
              <w:t>Encompass Advisors</w:t>
            </w:r>
            <w:r>
              <w:rPr>
                <w:color w:val="000000"/>
                <w:highlight w:val="white"/>
              </w:rPr>
              <w:t>”</w:t>
            </w:r>
            <w:r>
              <w:rPr>
                <w:rFonts w:ascii="Times New Roman;sans-serif" w:hAnsi="Times New Roman;sans-serif"/>
                <w:b w:val="false"/>
                <w:color w:val="000000"/>
                <w:sz w:val="20"/>
                <w:highlight w:val="white"/>
              </w:rPr>
              <w:t>) exercises investment discretion, and (ii) 1,344,484 shares of Class A common stock which are held by certain fund entities and managed accounts for which Encompass Capital Partners LLC (“</w:t>
            </w:r>
            <w:r>
              <w:rPr>
                <w:rFonts w:ascii="Times New Roman;sans-serif" w:hAnsi="Times New Roman;sans-serif"/>
                <w:b/>
                <w:i/>
                <w:color w:val="000000"/>
                <w:sz w:val="20"/>
                <w:highlight w:val="white"/>
              </w:rPr>
              <w:t>Encompass Partners</w:t>
            </w:r>
            <w:r>
              <w:rPr>
                <w:color w:val="000000"/>
                <w:highlight w:val="white"/>
              </w:rPr>
              <w:t>”</w:t>
            </w:r>
            <w:r>
              <w:rPr>
                <w:rFonts w:ascii="Times New Roman;sans-serif" w:hAnsi="Times New Roman;sans-serif"/>
                <w:b w:val="false"/>
                <w:color w:val="000000"/>
                <w:sz w:val="20"/>
                <w:highlight w:val="white"/>
              </w:rPr>
              <w:t>)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2"/>
        <w:gridCol w:w="125"/>
        <w:gridCol w:w="127"/>
        <w:gridCol w:w="2870"/>
        <w:gridCol w:w="2870"/>
        <w:gridCol w:w="4071"/>
      </w:tblGrid>
      <w:tr>
        <w:trPr/>
        <w:tc>
          <w:tcPr>
            <w:tcW w:w="1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71" w:type="dxa"/>
            <w:tcBorders/>
            <w:shd w:fill="auto" w:val="cle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Consists of (i) 1,060,088 shares of Class A common stock held by Electron Global Master Fund LP (“</w:t>
            </w:r>
            <w:r>
              <w:rPr>
                <w:rFonts w:ascii="Times New Roman;sans-serif" w:hAnsi="Times New Roman;sans-serif"/>
                <w:b/>
                <w:i/>
                <w:color w:val="000000"/>
                <w:sz w:val="20"/>
              </w:rPr>
              <w:t>EGMF</w:t>
            </w:r>
            <w:r>
              <w:rPr>
                <w:color w:val="000000"/>
              </w:rPr>
              <w:t>”</w:t>
            </w:r>
            <w:r>
              <w:rPr>
                <w:rFonts w:ascii="Times New Roman;sans-serif" w:hAnsi="Times New Roman;sans-serif"/>
                <w:b w:val="false"/>
                <w:color w:val="000000"/>
                <w:sz w:val="20"/>
              </w:rPr>
              <w:t>), (ii) 695,913 shares of Class A common stock held by Electron Infrastructure Master Fund LP (“</w:t>
            </w:r>
            <w:r>
              <w:rPr>
                <w:rFonts w:ascii="Times New Roman;sans-serif" w:hAnsi="Times New Roman;sans-serif"/>
                <w:b/>
                <w:i/>
                <w:color w:val="000000"/>
                <w:sz w:val="20"/>
              </w:rPr>
              <w:t>EIMF</w:t>
            </w:r>
            <w:r>
              <w:rPr>
                <w:color w:val="000000"/>
              </w:rPr>
              <w:t>”</w:t>
            </w:r>
            <w:r>
              <w:rPr>
                <w:rFonts w:ascii="Times New Roman;sans-serif" w:hAnsi="Times New Roman;sans-serif"/>
                <w:b w:val="false"/>
                <w:color w:val="000000"/>
                <w:sz w:val="20"/>
              </w:rPr>
              <w:t>), (iii) 30,628 shares of Class A common stock held by Boothbay Absolute Return Strategies, LP (“BARS”) and (iv) 13,371 shares of Class A common stock held by AGR Trading SPC-Series Segregated Portfolio (“</w:t>
            </w:r>
            <w:r>
              <w:rPr>
                <w:rFonts w:ascii="Times New Roman;sans-serif" w:hAnsi="Times New Roman;sans-serif"/>
                <w:b/>
                <w:i/>
                <w:color w:val="000000"/>
                <w:sz w:val="20"/>
              </w:rPr>
              <w:t>AGR</w:t>
            </w:r>
            <w:r>
              <w:rPr>
                <w:color w:val="000000"/>
              </w:rPr>
              <w:t>”</w:t>
            </w:r>
            <w:r>
              <w:rPr>
                <w:rFonts w:ascii="Times New Roman;sans-serif" w:hAnsi="Times New Roman;sans-serif"/>
                <w:b w:val="false"/>
                <w:color w:val="000000"/>
                <w:sz w:val="20"/>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2"/>
        <w:gridCol w:w="134"/>
        <w:gridCol w:w="136"/>
        <w:gridCol w:w="2862"/>
        <w:gridCol w:w="2862"/>
        <w:gridCol w:w="4059"/>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4059"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74 Oxford Street, Winchester, Massachusetts 01890.</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2"/>
        <w:gridCol w:w="134"/>
        <w:gridCol w:w="136"/>
        <w:gridCol w:w="2864"/>
        <w:gridCol w:w="2864"/>
        <w:gridCol w:w="405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4055"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52 Ashton Ave, Newton, Massachusetts 02459.</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2"/>
        <w:gridCol w:w="134"/>
        <w:gridCol w:w="136"/>
        <w:gridCol w:w="2865"/>
        <w:gridCol w:w="2865"/>
        <w:gridCol w:w="4053"/>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3"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366 Kent Street, Brookline, Massachusetts 02446.</w:t>
            </w:r>
          </w:p>
        </w:tc>
      </w:tr>
    </w:tbl>
    <w:tbl>
      <w:tblPr>
        <w:tblW w:w="10205" w:type="dxa"/>
        <w:jc w:val="left"/>
        <w:tblInd w:w="0" w:type="dxa"/>
        <w:tblCellMar>
          <w:top w:w="28" w:type="dxa"/>
          <w:left w:w="28" w:type="dxa"/>
          <w:bottom w:w="28" w:type="dxa"/>
          <w:right w:w="28" w:type="dxa"/>
        </w:tblCellMar>
      </w:tblPr>
      <w:tblGrid>
        <w:gridCol w:w="152"/>
        <w:gridCol w:w="134"/>
        <w:gridCol w:w="136"/>
        <w:gridCol w:w="2864"/>
        <w:gridCol w:w="2864"/>
        <w:gridCol w:w="405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4055"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6 Harborview Lane, Marblehead, Massachusetts 01945.</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2"/>
        <w:gridCol w:w="134"/>
        <w:gridCol w:w="136"/>
        <w:gridCol w:w="2862"/>
        <w:gridCol w:w="2862"/>
        <w:gridCol w:w="4059"/>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4059" w:type="dxa"/>
            <w:tcBorders/>
            <w:shd w:fill="auto" w:val="clear"/>
            <w:vAlign w:val="center"/>
          </w:tcPr>
          <w:p>
            <w:pPr>
              <w:pStyle w:val="TableContents"/>
              <w:spacing w:before="0" w:after="283"/>
              <w:rPr>
                <w:sz w:val="4"/>
                <w:szCs w:val="4"/>
              </w:rPr>
            </w:pPr>
            <w:r>
              <w:rPr>
                <w:sz w:val="4"/>
                <w:szCs w:val="4"/>
              </w:rPr>
            </w:r>
          </w:p>
        </w:tc>
      </w:tr>
      <w:tr>
        <w:trPr/>
        <w:tc>
          <w:tcPr>
            <w:tcW w:w="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7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919 Milam Street, Suite 2400, Houston, Texas 77002.</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1"/>
        <w:gridCol w:w="133"/>
        <w:gridCol w:w="135"/>
        <w:gridCol w:w="2865"/>
        <w:gridCol w:w="2865"/>
        <w:gridCol w:w="4056"/>
      </w:tblGrid>
      <w:tr>
        <w:trPr/>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6" w:type="dxa"/>
            <w:tcBorders/>
            <w:shd w:fill="auto" w:val="clear"/>
            <w:vAlign w:val="center"/>
          </w:tcPr>
          <w:p>
            <w:pPr>
              <w:pStyle w:val="TableContents"/>
              <w:spacing w:before="0" w:after="283"/>
              <w:rPr>
                <w:sz w:val="4"/>
                <w:szCs w:val="4"/>
              </w:rPr>
            </w:pPr>
            <w:r>
              <w:rPr>
                <w:sz w:val="4"/>
                <w:szCs w:val="4"/>
              </w:rPr>
            </w:r>
          </w:p>
        </w:tc>
      </w:tr>
      <w:tr>
        <w:trPr/>
        <w:tc>
          <w:tcPr>
            <w:tcW w:w="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566 Commonwealth Ave PH1, Boston, Massachusetts 02215.</w:t>
            </w:r>
          </w:p>
        </w:tc>
      </w:tr>
    </w:tbl>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51"/>
        <w:gridCol w:w="133"/>
        <w:gridCol w:w="135"/>
        <w:gridCol w:w="2863"/>
        <w:gridCol w:w="2863"/>
        <w:gridCol w:w="4060"/>
      </w:tblGrid>
      <w:tr>
        <w:trPr/>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4060" w:type="dxa"/>
            <w:tcBorders/>
            <w:shd w:fill="auto" w:val="clear"/>
            <w:vAlign w:val="center"/>
          </w:tcPr>
          <w:p>
            <w:pPr>
              <w:pStyle w:val="TableContents"/>
              <w:spacing w:before="0" w:after="283"/>
              <w:rPr>
                <w:sz w:val="4"/>
                <w:szCs w:val="4"/>
              </w:rPr>
            </w:pPr>
            <w:r>
              <w:rPr>
                <w:sz w:val="4"/>
                <w:szCs w:val="4"/>
              </w:rPr>
            </w:r>
          </w:p>
        </w:tc>
      </w:tr>
      <w:tr>
        <w:trPr/>
        <w:tc>
          <w:tcPr>
            <w:tcW w:w="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7025 Jensen Canyon Road, P.O. Box 918, Teton Village, Wyoming 83025.</w:t>
            </w:r>
          </w:p>
        </w:tc>
      </w:tr>
    </w:tbl>
    <w:p>
      <w:pPr>
        <w:pStyle w:val="TextBody"/>
        <w:spacing w:before="0" w:after="0"/>
        <w:jc w:val="center"/>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7934" w:type="dxa"/>
        <w:jc w:val="left"/>
        <w:tblInd w:w="0" w:type="dxa"/>
        <w:tblCellMar>
          <w:top w:w="28" w:type="dxa"/>
          <w:left w:w="28" w:type="dxa"/>
          <w:bottom w:w="28" w:type="dxa"/>
          <w:right w:w="28" w:type="dxa"/>
        </w:tblCellMar>
      </w:tblPr>
      <w:tblGrid>
        <w:gridCol w:w="162"/>
        <w:gridCol w:w="143"/>
        <w:gridCol w:w="145"/>
        <w:gridCol w:w="2191"/>
        <w:gridCol w:w="2191"/>
        <w:gridCol w:w="3102"/>
      </w:tblGrid>
      <w:tr>
        <w:trPr/>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3102"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address of the Selling Holder is 8582 Katy Freeway, Suite 150, Houston, Texas 77024.</w:t>
            </w:r>
          </w:p>
        </w:tc>
      </w:tr>
    </w:tbl>
    <w:p>
      <w:pPr>
        <w:pStyle w:val="TextBody"/>
        <w:spacing w:before="0" w:after="0"/>
        <w:jc w:val="center"/>
        <w:rPr/>
      </w:pPr>
      <w:r>
        <w:rPr/>
      </w:r>
    </w:p>
    <w:tbl>
      <w:tblPr>
        <w:tblW w:w="9450" w:type="dxa"/>
        <w:jc w:val="left"/>
        <w:tblInd w:w="0" w:type="dxa"/>
        <w:tblCellMar>
          <w:top w:w="28" w:type="dxa"/>
          <w:left w:w="28" w:type="dxa"/>
          <w:bottom w:w="28" w:type="dxa"/>
          <w:right w:w="28" w:type="dxa"/>
        </w:tblCellMar>
      </w:tblPr>
      <w:tblGrid>
        <w:gridCol w:w="162"/>
        <w:gridCol w:w="143"/>
        <w:gridCol w:w="145"/>
        <w:gridCol w:w="2637"/>
        <w:gridCol w:w="2637"/>
        <w:gridCol w:w="3726"/>
      </w:tblGrid>
      <w:tr>
        <w:trPr/>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3726"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The address of the Selling Holder is Ideation House, 94 Pitts Bay Road,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Floor, Pembroke HM08, Bermuda.</w:t>
            </w:r>
          </w:p>
        </w:tc>
      </w:tr>
    </w:tbl>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has entered into a Master Services Agreement with CoStar Partners LLC (“</w:t>
      </w:r>
      <w:r>
        <w:rPr>
          <w:rFonts w:ascii="Times New Roman;sans-serif" w:hAnsi="Times New Roman;sans-serif"/>
          <w:b/>
          <w:i/>
          <w:color w:val="000000"/>
          <w:sz w:val="20"/>
        </w:rPr>
        <w:t>CoStar</w:t>
      </w:r>
      <w:r>
        <w:rPr>
          <w:color w:val="000000"/>
        </w:rPr>
        <w:t>”</w:t>
      </w:r>
      <w:r>
        <w:rPr>
          <w:rFonts w:ascii="Times New Roman;sans-serif" w:hAnsi="Times New Roman;sans-serif"/>
          <w:b w:val="false"/>
          <w:color w:val="000000"/>
          <w:sz w:val="20"/>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Opco has entered into an Administrative Services Agreement with Fortistar Services 2 LLC (“</w:t>
      </w:r>
      <w:r>
        <w:rPr>
          <w:rFonts w:ascii="Times New Roman;sans-serif" w:hAnsi="Times New Roman;sans-serif"/>
          <w:b/>
          <w:i/>
          <w:color w:val="000000"/>
          <w:sz w:val="20"/>
        </w:rPr>
        <w:t>FS2</w:t>
      </w:r>
      <w:r>
        <w:rPr>
          <w:color w:val="000000"/>
        </w:rPr>
        <w:t>”</w:t>
      </w:r>
      <w:r>
        <w:rPr>
          <w:rFonts w:ascii="Times New Roman;sans-serif" w:hAnsi="Times New Roman;sans-serif"/>
          <w:b w:val="false"/>
          <w:color w:val="000000"/>
          <w:sz w:val="20"/>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and Hold Harmless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8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Flue Gas Offtake and Preferred Partner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Opco has entered into an agreement with CarbonFree Chemical Holdings, LLC (“</w:t>
      </w:r>
      <w:r>
        <w:rPr>
          <w:rFonts w:ascii="Times New Roman;sans-serif" w:hAnsi="Times New Roman;sans-serif"/>
          <w:b/>
          <w:i/>
          <w:color w:val="000000"/>
          <w:sz w:val="20"/>
        </w:rPr>
        <w:t>CarbonFree</w:t>
      </w:r>
      <w:r>
        <w:rPr>
          <w:color w:val="000000"/>
        </w:rPr>
        <w:t>”</w:t>
      </w:r>
      <w:r>
        <w:rPr>
          <w:rFonts w:ascii="Times New Roman;sans-serif" w:hAnsi="Times New Roman;sans-serif"/>
          <w:b w:val="false"/>
          <w:color w:val="000000"/>
          <w:sz w:val="20"/>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color w:val="000000"/>
        </w:rPr>
        <w:t xml:space="preserve">₂ </w:t>
      </w:r>
      <w:r>
        <w:rPr>
          <w:rFonts w:ascii="Times New Roman;sans-serif" w:hAnsi="Times New Roman;sans-serif"/>
          <w:b w:val="false"/>
          <w:color w:val="000000"/>
          <w:sz w:val="20"/>
        </w:rPr>
        <w:t>from the flue gases produced by the adjacent Opco RNG production facility, transforming it into solid carbonate materials.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December 11, 2020, Hillman, Hillman Power Company LLC (“</w:t>
      </w:r>
      <w:r>
        <w:rPr>
          <w:rFonts w:ascii="Times New Roman;sans-serif" w:hAnsi="Times New Roman;sans-serif"/>
          <w:b/>
          <w:i/>
          <w:color w:val="000000"/>
          <w:sz w:val="20"/>
        </w:rPr>
        <w:t>Hillman Power</w:t>
      </w:r>
      <w:r>
        <w:rPr>
          <w:color w:val="000000"/>
        </w:rPr>
        <w:t>”</w:t>
      </w:r>
      <w:r>
        <w:rPr>
          <w:rFonts w:ascii="Times New Roman;sans-serif" w:hAnsi="Times New Roman;sans-serif"/>
          <w:b w:val="false"/>
          <w:color w:val="000000"/>
          <w:sz w:val="20"/>
        </w:rPr>
        <w:t>), and Customers Bank, among others, entered into a Loan and Guaranty Agreement (the “</w:t>
      </w:r>
      <w:r>
        <w:rPr>
          <w:rFonts w:ascii="Times New Roman;sans-serif" w:hAnsi="Times New Roman;sans-serif"/>
          <w:b/>
          <w:i/>
          <w:color w:val="000000"/>
          <w:sz w:val="20"/>
        </w:rPr>
        <w:t>Customers Loan Agreement</w:t>
      </w:r>
      <w:r>
        <w:rPr>
          <w:color w:val="000000"/>
        </w:rPr>
        <w:t>”</w:t>
      </w:r>
      <w:r>
        <w:rPr>
          <w:rFonts w:ascii="Times New Roman;sans-serif" w:hAnsi="Times New Roman;sans-serif"/>
          <w:b w:val="false"/>
          <w:color w:val="000000"/>
          <w:sz w:val="20"/>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sans-serif" w:hAnsi="Times New Roman;sans-serif"/>
          <w:b/>
          <w:i/>
          <w:color w:val="000000"/>
          <w:sz w:val="20"/>
        </w:rPr>
        <w:t>Pledged Membership Interests</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w:t>
      </w:r>
      <w:r>
        <w:rPr>
          <w:rFonts w:ascii="Times New Roman;sans-serif" w:hAnsi="Times New Roman;sans-serif"/>
          <w:b/>
          <w:i/>
          <w:color w:val="000000"/>
          <w:sz w:val="20"/>
        </w:rPr>
        <w:t>OPAL Fuels Membership Interests</w:t>
      </w:r>
      <w:r>
        <w:rPr>
          <w:color w:val="000000"/>
        </w:rPr>
        <w:t>”</w:t>
      </w:r>
      <w:r>
        <w:rPr>
          <w:rFonts w:ascii="Times New Roman;sans-serif" w:hAnsi="Times New Roman;sans-serif"/>
          <w:b w:val="false"/>
          <w:color w:val="000000"/>
          <w:sz w:val="20"/>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sans-serif" w:hAnsi="Times New Roman;sans-serif"/>
          <w:b/>
          <w:i/>
          <w:color w:val="000000"/>
          <w:sz w:val="20"/>
        </w:rPr>
        <w:t>Exchange</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w:t>
      </w:r>
      <w:r>
        <w:rPr>
          <w:rFonts w:ascii="Times New Roman;sans-serif" w:hAnsi="Times New Roman;sans-serif"/>
          <w:b/>
          <w:i/>
          <w:color w:val="000000"/>
          <w:sz w:val="20"/>
        </w:rPr>
        <w:t>Limited Consent</w:t>
      </w:r>
      <w:r>
        <w:rPr>
          <w:color w:val="000000"/>
        </w:rPr>
        <w:t>”</w:t>
      </w:r>
      <w:r>
        <w:rPr>
          <w:rFonts w:ascii="Times New Roman;sans-serif" w:hAnsi="Times New Roman;sans-serif"/>
          <w:b w:val="false"/>
          <w:color w:val="000000"/>
          <w:sz w:val="20"/>
        </w:rPr>
        <w:t>) pursuant to which Customers Bank consented to the Exchange, amended the Customers Loan</w:t>
      </w:r>
      <w:r>
        <w:rPr>
          <w:color w:val="000000"/>
        </w:rPr>
        <w:t> </w:t>
      </w:r>
      <w:r>
        <w:rPr>
          <w:rFonts w:ascii="Times New Roman;sans-serif" w:hAnsi="Times New Roman;sans-serif"/>
          <w:b w:val="false"/>
          <w:color w:val="000000"/>
          <w:sz w:val="20"/>
        </w:rPr>
        <w:t>Agreement and released its security interest in the Pledged Membership Interests (the “</w:t>
      </w:r>
      <w:r>
        <w:rPr>
          <w:rFonts w:ascii="Times New Roman;sans-serif" w:hAnsi="Times New Roman;sans-serif"/>
          <w:b/>
          <w:i/>
          <w:color w:val="000000"/>
          <w:sz w:val="20"/>
        </w:rPr>
        <w:t>Lien</w:t>
      </w:r>
      <w:r>
        <w:rPr>
          <w:color w:val="000000"/>
        </w:rPr>
        <w:t>”</w:t>
      </w:r>
      <w:r>
        <w:rPr>
          <w:rFonts w:ascii="Times New Roman;sans-serif" w:hAnsi="Times New Roman;sans-serif"/>
          <w:b w:val="false"/>
          <w:color w:val="000000"/>
          <w:sz w:val="20"/>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Reorganization</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OPAL Holdco and Opco were formed as Delaware limited liability companies on December 30, 2020 (using their former names Acceler8 Holdings LLC and Acceler8 LLC, respectively), with OPAL Holdco owning all of the </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0"/>
        </w:rPr>
        <w:t>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sans-serif" w:hAnsi="Times New Roman;sans-serif"/>
          <w:b/>
          <w:i/>
          <w:color w:val="000000"/>
          <w:sz w:val="20"/>
        </w:rPr>
        <w:t>Opco Reorganized Entities</w:t>
      </w:r>
      <w:r>
        <w:rPr>
          <w:color w:val="000000"/>
        </w:rPr>
        <w:t>”</w:t>
      </w:r>
      <w:r>
        <w:rPr>
          <w:rFonts w:ascii="Times New Roman;sans-serif" w:hAnsi="Times New Roman;sans-serif"/>
          <w:b w:val="false"/>
          <w:color w:val="000000"/>
          <w:sz w:val="20"/>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sans-serif" w:hAnsi="Times New Roman;sans-serif"/>
          <w:b/>
          <w:i/>
          <w:color w:val="000000"/>
          <w:sz w:val="20"/>
        </w:rPr>
        <w:t>Opco Fuels Reorganization</w:t>
      </w:r>
      <w:r>
        <w:rPr>
          <w:color w:val="000000"/>
        </w:rPr>
        <w:t>”</w:t>
      </w:r>
      <w:r>
        <w:rPr>
          <w:rFonts w:ascii="Times New Roman;sans-serif" w:hAnsi="Times New Roman;sans-serif"/>
          <w:b w:val="false"/>
          <w:color w:val="000000"/>
          <w:sz w:val="20"/>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spacing w:before="0" w:after="0"/>
        <w:rPr/>
      </w:pPr>
      <w:r>
        <w:rPr/>
      </w:r>
    </w:p>
    <w:p>
      <w:pPr>
        <w:pStyle w:val="TextBody"/>
        <w:spacing w:lineRule="auto" w:line="240"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Transactions with NextEra</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Issuance of redeemable preferred non-controlling interests</w:t>
      </w:r>
    </w:p>
    <w:p>
      <w:pPr>
        <w:pStyle w:val="TextBody"/>
        <w:spacing w:before="0" w:after="0"/>
        <w:rPr/>
      </w:pPr>
      <w:r>
        <w:rPr/>
      </w:r>
    </w:p>
    <w:p>
      <w:pPr>
        <w:pStyle w:val="TextBody"/>
        <w:spacing w:lineRule="auto" w:line="240" w:before="0" w:after="0"/>
        <w:ind w:left="0" w:right="0" w:firstLine="480"/>
        <w:jc w:val="both"/>
        <w:rPr/>
      </w:pPr>
      <w:r>
        <w:rPr>
          <w:rFonts w:ascii="Times New Roman;sans-serif" w:hAnsi="Times New Roman;sans-serif"/>
          <w:b w:val="false"/>
          <w:color w:val="000000"/>
          <w:sz w:val="20"/>
          <w:highlight w:val="white"/>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highlight w:val="white"/>
        </w:rPr>
        <w:t>Redeemable non-controlling interests</w:t>
      </w:r>
      <w:r>
        <w:rPr>
          <w:rFonts w:ascii="Times New Roman;sans-serif" w:hAnsi="Times New Roman;sans-serif"/>
          <w:b w:val="false"/>
          <w:color w:val="000000"/>
          <w:sz w:val="20"/>
          <w:highlight w:val="white"/>
        </w:rPr>
        <w:t>, Redeemable preferred non-controlling interests and Stockholders' Equity, for additional information.</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Purchase and sale agreement for environmental attributes</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highlight w:val="white"/>
        </w:rPr>
        <w:t>Summary of significant accounting policies</w:t>
      </w:r>
      <w:r>
        <w:rPr>
          <w:color w:val="000000"/>
          <w:highlight w:val="white"/>
        </w:rPr>
        <w:t xml:space="preserve"> </w:t>
      </w:r>
      <w:r>
        <w:rPr>
          <w:rFonts w:ascii="Times New Roman;sans-serif" w:hAnsi="Times New Roman;sans-serif"/>
          <w:b w:val="false"/>
          <w:color w:val="000000"/>
          <w:sz w:val="20"/>
          <w:highlight w:val="white"/>
        </w:rPr>
        <w:t>for additional information.</w:t>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Commodity swap contracts under ISDA</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highlight w:val="white"/>
        </w:rPr>
        <w:t>Derivative instruments</w:t>
      </w:r>
      <w:r>
        <w:rPr>
          <w:color w:val="000000"/>
          <w:highlight w:val="white"/>
        </w:rPr>
        <w:t xml:space="preserve"> </w:t>
      </w:r>
      <w:r>
        <w:rPr>
          <w:rFonts w:ascii="Times New Roman;sans-serif" w:hAnsi="Times New Roman;sans-serif"/>
          <w:b w:val="false"/>
          <w:color w:val="000000"/>
          <w:sz w:val="20"/>
          <w:highlight w:val="white"/>
        </w:rPr>
        <w:t>and Fair value measurements for additional information. The Company recorded $5,495 and $2,885 as revenues earned under the commodity swap contracts.</w:t>
      </w:r>
    </w:p>
    <w:p>
      <w:pPr>
        <w:pStyle w:val="TextBody"/>
        <w:spacing w:before="0" w:after="0"/>
        <w:rPr/>
      </w:pPr>
      <w:r>
        <w:rPr/>
      </w:r>
    </w:p>
    <w:p>
      <w:pPr>
        <w:pStyle w:val="TextBody"/>
        <w:spacing w:lineRule="auto" w:line="240"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Issuance of shares of Class A common stock for PIPE investment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highlight w:val="white"/>
        </w:rPr>
        <w:t xml:space="preserve">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highlight w:val="white"/>
        </w:rPr>
        <w:t>Business Combination</w:t>
      </w:r>
      <w:r>
        <w:rPr>
          <w:rFonts w:ascii="Times New Roman;sans-serif" w:hAnsi="Times New Roman;sans-serif"/>
          <w:b w:val="false"/>
          <w:color w:val="000000"/>
          <w:sz w:val="20"/>
          <w:highlight w:val="white"/>
        </w:rPr>
        <w:t>, for additional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PIPE Investors</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Investor Rights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At the Closing, Opco, Ares, Hillman and the Class B Shareholders (collectively the “</w:t>
      </w:r>
      <w:r>
        <w:rPr>
          <w:rFonts w:ascii="Times New Roman;sans-serif" w:hAnsi="Times New Roman;sans-serif"/>
          <w:b/>
          <w:i/>
          <w:color w:val="000000"/>
          <w:sz w:val="20"/>
        </w:rPr>
        <w:t>OPAL Holders</w:t>
      </w:r>
      <w:r>
        <w:rPr>
          <w:color w:val="000000"/>
        </w:rPr>
        <w:t>”</w:t>
      </w:r>
      <w:r>
        <w:rPr>
          <w:rFonts w:ascii="Times New Roman;sans-serif" w:hAnsi="Times New Roman;sans-serif"/>
          <w:b w:val="false"/>
          <w:color w:val="000000"/>
          <w:sz w:val="20"/>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It is more likely than not that the deferred tax assets will not be realized in accordance with ASC Topic 740, ‘Income Taxes’ (“</w:t>
      </w:r>
      <w:r>
        <w:rPr>
          <w:rFonts w:ascii="Times New Roman;sans-serif" w:hAnsi="Times New Roman;sans-serif"/>
          <w:b/>
          <w:i/>
          <w:color w:val="000000"/>
          <w:sz w:val="20"/>
        </w:rPr>
        <w:t>ASC 740</w:t>
      </w:r>
      <w:r>
        <w:rPr>
          <w:color w:val="000000"/>
        </w:rPr>
        <w:t>”</w:t>
      </w:r>
      <w:r>
        <w:rPr>
          <w:rFonts w:ascii="Times New Roman;sans-serif" w:hAnsi="Times New Roman;sans-serif"/>
          <w:b w:val="false"/>
          <w:color w:val="000000"/>
          <w:sz w:val="20"/>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On July 21, 2022, OPAL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40" w:before="0" w:after="0"/>
        <w:ind w:left="0" w:right="0" w:firstLine="360"/>
        <w:rPr>
          <w:color w:val="000000"/>
        </w:rPr>
      </w:pPr>
      <w:r>
        <w:rPr>
          <w:color w:val="000000"/>
        </w:rPr>
        <w:t>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received less than $6,800,000 in cash upon the release of the escrow fund established pursuant to the Forward Purchase Agreement (such shortfall amount being referred to as the “Shortfall Amount”), Sponsor would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Pursuant to the letter agreement, Sponsor has forfeited an aggregate of 197,258 Shares held by the Sponsor. The forfeiture of Shares was effected on January 26, 2023.</w:t>
      </w:r>
    </w:p>
    <w:p>
      <w:pPr>
        <w:pStyle w:val="TextBody"/>
        <w:spacing w:before="0" w:after="0"/>
        <w:ind w:left="0" w:right="0" w:firstLine="360"/>
        <w:jc w:val="both"/>
        <w:rPr/>
      </w:pPr>
      <w:r>
        <w:rPr/>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FEDERAL INCOME TAX CONSIDERATIONS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The following is a discussion of certain material U.S. federal income tax consequences of the acquisition, ownership and disposition of our Class A common stock. This discussion is limited to certain U.S. federal income tax considerations to beneficial owners of our Class A common stock that will hold our Class A common stock as capital assets within the meaning of Section 1221 of the U.S. Internal Revenue Code of 1986, as amended (the “</w:t>
      </w:r>
      <w:r>
        <w:rPr>
          <w:rFonts w:ascii="Times New Roman;sans-serif" w:hAnsi="Times New Roman;sans-serif"/>
          <w:b/>
          <w:i/>
          <w:color w:val="000000"/>
          <w:sz w:val="20"/>
        </w:rPr>
        <w:t>Code</w:t>
      </w:r>
      <w:r>
        <w:rPr>
          <w:color w:val="000000"/>
        </w:rPr>
        <w:t>”</w:t>
      </w:r>
      <w:r>
        <w:rPr>
          <w:rFonts w:ascii="Times New Roman;sans-serif" w:hAnsi="Times New Roman;sans-serif"/>
          <w:b w:val="false"/>
          <w:color w:val="000000"/>
          <w:sz w:val="20"/>
        </w:rPr>
        <w:t>). This discussion assumes that any distributions made by us on our Class A common stock and any consideration received by a holder in consideration for the sale or other disposition of our Class A common stock will be in U.S. dollars.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pStyle w:val="TextBody"/>
        <w:spacing w:lineRule="auto" w:line="240" w:before="0" w:after="0"/>
        <w:rPr>
          <w:color w:val="000000"/>
        </w:rPr>
      </w:pPr>
      <w:r>
        <w:rPr>
          <w:color w:val="000000"/>
        </w:rPr>
        <w:t> </w:t>
      </w:r>
    </w:p>
    <w:tbl>
      <w:tblPr>
        <w:tblW w:w="5454" w:type="dxa"/>
        <w:jc w:val="left"/>
        <w:tblInd w:w="0" w:type="dxa"/>
        <w:tblCellMar>
          <w:top w:w="28" w:type="dxa"/>
          <w:left w:w="28" w:type="dxa"/>
          <w:bottom w:w="28" w:type="dxa"/>
          <w:right w:w="28" w:type="dxa"/>
        </w:tblCellMar>
      </w:tblPr>
      <w:tblGrid>
        <w:gridCol w:w="124"/>
        <w:gridCol w:w="109"/>
        <w:gridCol w:w="109"/>
        <w:gridCol w:w="109"/>
        <w:gridCol w:w="109"/>
        <w:gridCol w:w="109"/>
        <w:gridCol w:w="1399"/>
        <w:gridCol w:w="1399"/>
        <w:gridCol w:w="19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7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banks, financial institutions or financial services entities;</w:t>
            </w:r>
          </w:p>
        </w:tc>
      </w:tr>
    </w:tbl>
    <w:p>
      <w:pPr>
        <w:pStyle w:val="TextBody"/>
        <w:spacing w:lineRule="auto" w:line="240" w:before="0" w:after="0"/>
        <w:rPr>
          <w:color w:val="000000"/>
        </w:rPr>
      </w:pPr>
      <w:r>
        <w:rPr>
          <w:color w:val="000000"/>
        </w:rPr>
        <w:t> </w:t>
      </w:r>
    </w:p>
    <w:tbl>
      <w:tblPr>
        <w:tblW w:w="2033" w:type="dxa"/>
        <w:jc w:val="left"/>
        <w:tblInd w:w="0" w:type="dxa"/>
        <w:tblCellMar>
          <w:top w:w="28" w:type="dxa"/>
          <w:left w:w="28" w:type="dxa"/>
          <w:bottom w:w="28" w:type="dxa"/>
          <w:right w:w="28" w:type="dxa"/>
        </w:tblCellMar>
      </w:tblPr>
      <w:tblGrid>
        <w:gridCol w:w="124"/>
        <w:gridCol w:w="109"/>
        <w:gridCol w:w="109"/>
        <w:gridCol w:w="109"/>
        <w:gridCol w:w="109"/>
        <w:gridCol w:w="109"/>
        <w:gridCol w:w="399"/>
        <w:gridCol w:w="399"/>
        <w:gridCol w:w="5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broker-dealers;</w:t>
            </w:r>
          </w:p>
        </w:tc>
      </w:tr>
    </w:tbl>
    <w:p>
      <w:pPr>
        <w:pStyle w:val="TextBody"/>
        <w:spacing w:lineRule="auto" w:line="240" w:before="0" w:after="0"/>
        <w:rPr>
          <w:color w:val="000000"/>
        </w:rPr>
      </w:pPr>
      <w:r>
        <w:rPr>
          <w:color w:val="000000"/>
        </w:rPr>
        <w:t> </w:t>
      </w:r>
    </w:p>
    <w:tbl>
      <w:tblPr>
        <w:tblW w:w="5124" w:type="dxa"/>
        <w:jc w:val="left"/>
        <w:tblInd w:w="0" w:type="dxa"/>
        <w:tblCellMar>
          <w:top w:w="28" w:type="dxa"/>
          <w:left w:w="28" w:type="dxa"/>
          <w:bottom w:w="28" w:type="dxa"/>
          <w:right w:w="28" w:type="dxa"/>
        </w:tblCellMar>
      </w:tblPr>
      <w:tblGrid>
        <w:gridCol w:w="124"/>
        <w:gridCol w:w="109"/>
        <w:gridCol w:w="109"/>
        <w:gridCol w:w="109"/>
        <w:gridCol w:w="109"/>
        <w:gridCol w:w="109"/>
        <w:gridCol w:w="1305"/>
        <w:gridCol w:w="1305"/>
        <w:gridCol w:w="18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or agencies or instrumentalities thereof;</w:t>
            </w:r>
          </w:p>
        </w:tc>
      </w:tr>
    </w:tbl>
    <w:p>
      <w:pPr>
        <w:pStyle w:val="TextBody"/>
        <w:spacing w:lineRule="auto" w:line="240" w:before="0" w:after="0"/>
        <w:rPr>
          <w:color w:val="000000"/>
        </w:rPr>
      </w:pPr>
      <w:r>
        <w:rPr>
          <w:color w:val="000000"/>
        </w:rPr>
        <w:t> </w:t>
      </w:r>
    </w:p>
    <w:tbl>
      <w:tblPr>
        <w:tblW w:w="3504" w:type="dxa"/>
        <w:jc w:val="left"/>
        <w:tblInd w:w="0" w:type="dxa"/>
        <w:tblCellMar>
          <w:top w:w="28" w:type="dxa"/>
          <w:left w:w="28" w:type="dxa"/>
          <w:bottom w:w="28" w:type="dxa"/>
          <w:right w:w="28" w:type="dxa"/>
        </w:tblCellMar>
      </w:tblPr>
      <w:tblGrid>
        <w:gridCol w:w="124"/>
        <w:gridCol w:w="109"/>
        <w:gridCol w:w="109"/>
        <w:gridCol w:w="109"/>
        <w:gridCol w:w="109"/>
        <w:gridCol w:w="109"/>
        <w:gridCol w:w="828"/>
        <w:gridCol w:w="828"/>
        <w:gridCol w:w="11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companies;</w:t>
            </w:r>
          </w:p>
        </w:tc>
      </w:tr>
    </w:tbl>
    <w:p>
      <w:pPr>
        <w:pStyle w:val="TextBody"/>
        <w:spacing w:lineRule="auto" w:line="240" w:before="0" w:after="0"/>
        <w:rPr>
          <w:color w:val="000000"/>
        </w:rPr>
      </w:pPr>
      <w:r>
        <w:rPr>
          <w:color w:val="000000"/>
        </w:rPr>
        <w:t> </w:t>
      </w:r>
    </w:p>
    <w:tbl>
      <w:tblPr>
        <w:tblW w:w="3114" w:type="dxa"/>
        <w:jc w:val="left"/>
        <w:tblInd w:w="0" w:type="dxa"/>
        <w:tblCellMar>
          <w:top w:w="28" w:type="dxa"/>
          <w:left w:w="28" w:type="dxa"/>
          <w:bottom w:w="28" w:type="dxa"/>
          <w:right w:w="28" w:type="dxa"/>
        </w:tblCellMar>
      </w:tblPr>
      <w:tblGrid>
        <w:gridCol w:w="124"/>
        <w:gridCol w:w="109"/>
        <w:gridCol w:w="109"/>
        <w:gridCol w:w="109"/>
        <w:gridCol w:w="109"/>
        <w:gridCol w:w="109"/>
        <w:gridCol w:w="714"/>
        <w:gridCol w:w="714"/>
        <w:gridCol w:w="10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r>
    </w:tbl>
    <w:p>
      <w:pPr>
        <w:pStyle w:val="TextBody"/>
        <w:spacing w:lineRule="auto" w:line="240" w:before="0" w:after="0"/>
        <w:rPr>
          <w:color w:val="000000"/>
        </w:rPr>
      </w:pPr>
      <w:r>
        <w:rPr>
          <w:color w:val="000000"/>
        </w:rPr>
        <w:t> </w:t>
      </w:r>
    </w:p>
    <w:tbl>
      <w:tblPr>
        <w:tblW w:w="7043" w:type="dxa"/>
        <w:jc w:val="left"/>
        <w:tblInd w:w="0" w:type="dxa"/>
        <w:tblCellMar>
          <w:top w:w="28" w:type="dxa"/>
          <w:left w:w="28" w:type="dxa"/>
          <w:bottom w:w="28" w:type="dxa"/>
          <w:right w:w="28" w:type="dxa"/>
        </w:tblCellMar>
      </w:tblPr>
      <w:tblGrid>
        <w:gridCol w:w="124"/>
        <w:gridCol w:w="109"/>
        <w:gridCol w:w="109"/>
        <w:gridCol w:w="109"/>
        <w:gridCol w:w="109"/>
        <w:gridCol w:w="109"/>
        <w:gridCol w:w="1864"/>
        <w:gridCol w:w="1864"/>
        <w:gridCol w:w="26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expatriates or former citizens or long-term residents of the United States;</w:t>
            </w:r>
          </w:p>
        </w:tc>
      </w:tr>
    </w:tbl>
    <w:p>
      <w:pPr>
        <w:pStyle w:val="TextBody"/>
        <w:spacing w:lineRule="auto" w:line="240" w:before="0" w:after="0"/>
        <w:rPr>
          <w:color w:val="000000"/>
        </w:rPr>
      </w:pPr>
      <w:r>
        <w:rPr>
          <w:color w:val="000000"/>
        </w:rPr>
        <w:t> </w:t>
      </w:r>
    </w:p>
    <w:tbl>
      <w:tblPr>
        <w:tblW w:w="8588" w:type="dxa"/>
        <w:jc w:val="left"/>
        <w:tblInd w:w="0" w:type="dxa"/>
        <w:tblCellMar>
          <w:top w:w="28" w:type="dxa"/>
          <w:left w:w="28" w:type="dxa"/>
          <w:bottom w:w="28" w:type="dxa"/>
          <w:right w:w="28" w:type="dxa"/>
        </w:tblCellMar>
      </w:tblPr>
      <w:tblGrid>
        <w:gridCol w:w="124"/>
        <w:gridCol w:w="109"/>
        <w:gridCol w:w="109"/>
        <w:gridCol w:w="109"/>
        <w:gridCol w:w="109"/>
        <w:gridCol w:w="109"/>
        <w:gridCol w:w="2320"/>
        <w:gridCol w:w="2320"/>
        <w:gridCol w:w="32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32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9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actually or constructively own five percent or more (by vote or value) of our shares;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acquired our Class A common stock pursuant to an exercise of employee share options, in connection with employee share incentive plans or otherwise as compensation;</w:t>
            </w:r>
          </w:p>
        </w:tc>
      </w:tr>
    </w:tbl>
    <w:p>
      <w:pPr>
        <w:pStyle w:val="TextBody"/>
        <w:spacing w:lineRule="auto" w:line="240" w:before="0" w:after="0"/>
        <w:rPr>
          <w:color w:val="000000"/>
        </w:rPr>
      </w:pPr>
      <w:r>
        <w:rPr>
          <w:color w:val="000000"/>
        </w:rPr>
        <w:t> </w:t>
      </w:r>
    </w:p>
    <w:tbl>
      <w:tblPr>
        <w:tblW w:w="2574" w:type="dxa"/>
        <w:jc w:val="left"/>
        <w:tblInd w:w="0" w:type="dxa"/>
        <w:tblCellMar>
          <w:top w:w="28" w:type="dxa"/>
          <w:left w:w="28" w:type="dxa"/>
          <w:bottom w:w="28" w:type="dxa"/>
          <w:right w:w="28" w:type="dxa"/>
        </w:tblCellMar>
      </w:tblPr>
      <w:tblGrid>
        <w:gridCol w:w="124"/>
        <w:gridCol w:w="109"/>
        <w:gridCol w:w="109"/>
        <w:gridCol w:w="109"/>
        <w:gridCol w:w="109"/>
        <w:gridCol w:w="109"/>
        <w:gridCol w:w="558"/>
        <w:gridCol w:w="558"/>
        <w:gridCol w:w="7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companies;</w:t>
            </w:r>
          </w:p>
        </w:tc>
      </w:tr>
    </w:tbl>
    <w:p>
      <w:pPr>
        <w:pStyle w:val="TextBody"/>
        <w:spacing w:lineRule="auto" w:line="240" w:before="0" w:after="0"/>
        <w:rPr>
          <w:color w:val="000000"/>
        </w:rPr>
      </w:pPr>
      <w:r>
        <w:rPr>
          <w:color w:val="000000"/>
        </w:rPr>
        <w:t> </w:t>
      </w:r>
    </w:p>
    <w:tbl>
      <w:tblPr>
        <w:tblW w:w="9774" w:type="dxa"/>
        <w:jc w:val="left"/>
        <w:tblInd w:w="0" w:type="dxa"/>
        <w:tblCellMar>
          <w:top w:w="28" w:type="dxa"/>
          <w:left w:w="28" w:type="dxa"/>
          <w:bottom w:w="28" w:type="dxa"/>
          <w:right w:w="28" w:type="dxa"/>
        </w:tblCellMar>
      </w:tblPr>
      <w:tblGrid>
        <w:gridCol w:w="124"/>
        <w:gridCol w:w="109"/>
        <w:gridCol w:w="109"/>
        <w:gridCol w:w="109"/>
        <w:gridCol w:w="109"/>
        <w:gridCol w:w="109"/>
        <w:gridCol w:w="2664"/>
        <w:gridCol w:w="2664"/>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0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dealers or traders subject to a mark-to-market method of accounting with respect to our Class A common stock;</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holding our common stock as part of a “straddle,” constructive sale, hedge, conversion or other integrated or similar transaction;</w:t>
            </w:r>
          </w:p>
        </w:tc>
      </w:tr>
    </w:tbl>
    <w:p>
      <w:pPr>
        <w:pStyle w:val="TextBody"/>
        <w:spacing w:lineRule="auto" w:line="240" w:before="0" w:after="0"/>
        <w:rPr>
          <w:color w:val="000000"/>
        </w:rPr>
      </w:pPr>
      <w:r>
        <w:rPr>
          <w:color w:val="000000"/>
        </w:rPr>
        <w:t> </w:t>
      </w:r>
    </w:p>
    <w:tbl>
      <w:tblPr>
        <w:tblW w:w="7268" w:type="dxa"/>
        <w:jc w:val="left"/>
        <w:tblInd w:w="0" w:type="dxa"/>
        <w:tblCellMar>
          <w:top w:w="28" w:type="dxa"/>
          <w:left w:w="28" w:type="dxa"/>
          <w:bottom w:w="28" w:type="dxa"/>
          <w:right w:w="28" w:type="dxa"/>
        </w:tblCellMar>
      </w:tblPr>
      <w:tblGrid>
        <w:gridCol w:w="124"/>
        <w:gridCol w:w="109"/>
        <w:gridCol w:w="109"/>
        <w:gridCol w:w="109"/>
        <w:gridCol w:w="109"/>
        <w:gridCol w:w="109"/>
        <w:gridCol w:w="1931"/>
        <w:gridCol w:w="1931"/>
        <w:gridCol w:w="27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holders (as defined below) whose functional currency is not the U.S. dollar;</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partnerships (or entities or arrangements classified as partnerships or other pass-through entities for U.S. federal income tax purposes) and any beneficial owners of such entities or arrangements;</w:t>
            </w:r>
          </w:p>
        </w:tc>
      </w:tr>
    </w:tbl>
    <w:p>
      <w:pPr>
        <w:pStyle w:val="TextBody"/>
        <w:spacing w:lineRule="auto" w:line="240" w:before="0" w:after="0"/>
        <w:rPr>
          <w:color w:val="000000"/>
        </w:rPr>
      </w:pPr>
      <w:r>
        <w:rPr>
          <w:color w:val="000000"/>
        </w:rPr>
        <w:t> </w:t>
      </w:r>
    </w:p>
    <w:tbl>
      <w:tblPr>
        <w:tblW w:w="2438" w:type="dxa"/>
        <w:jc w:val="left"/>
        <w:tblInd w:w="0" w:type="dxa"/>
        <w:tblCellMar>
          <w:top w:w="28" w:type="dxa"/>
          <w:left w:w="28" w:type="dxa"/>
          <w:bottom w:w="28" w:type="dxa"/>
          <w:right w:w="28" w:type="dxa"/>
        </w:tblCellMar>
      </w:tblPr>
      <w:tblGrid>
        <w:gridCol w:w="124"/>
        <w:gridCol w:w="109"/>
        <w:gridCol w:w="109"/>
        <w:gridCol w:w="109"/>
        <w:gridCol w:w="109"/>
        <w:gridCol w:w="109"/>
        <w:gridCol w:w="518"/>
        <w:gridCol w:w="518"/>
        <w:gridCol w:w="7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tax-exempt entities;</w:t>
            </w:r>
          </w:p>
        </w:tc>
      </w:tr>
    </w:tbl>
    <w:p>
      <w:pPr>
        <w:pStyle w:val="TextBody"/>
        <w:spacing w:lineRule="auto" w:line="240" w:before="0" w:after="0"/>
        <w:rPr>
          <w:color w:val="000000"/>
        </w:rPr>
      </w:pPr>
      <w:r>
        <w:rPr>
          <w:color w:val="000000"/>
        </w:rPr>
        <w:t> </w:t>
      </w:r>
    </w:p>
    <w:tbl>
      <w:tblPr>
        <w:tblW w:w="3758" w:type="dxa"/>
        <w:jc w:val="left"/>
        <w:tblInd w:w="0" w:type="dxa"/>
        <w:tblCellMar>
          <w:top w:w="28" w:type="dxa"/>
          <w:left w:w="28" w:type="dxa"/>
          <w:bottom w:w="28" w:type="dxa"/>
          <w:right w:w="28" w:type="dxa"/>
        </w:tblCellMar>
      </w:tblPr>
      <w:tblGrid>
        <w:gridCol w:w="124"/>
        <w:gridCol w:w="109"/>
        <w:gridCol w:w="109"/>
        <w:gridCol w:w="109"/>
        <w:gridCol w:w="109"/>
        <w:gridCol w:w="109"/>
        <w:gridCol w:w="903"/>
        <w:gridCol w:w="903"/>
        <w:gridCol w:w="12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controlled foreign corporations; and</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passive foreign investment companies and other corporations that accumulate earnings to avoid U.S. federal income tax.</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partnership (including an entity or arrangement treated as a partnership or other pass-through entity for U.S. federal income tax purposes) holds our Class A common stock,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you are urged to consult your own tax advisor regarding the tax consequences of the acquisition, ownership and disposition of our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We have not sought, and do not expect to seek, a ruling from the U.S. Internal Revenue Service (the “</w:t>
      </w:r>
      <w:r>
        <w:rPr>
          <w:rFonts w:ascii="Times New Roman;sans-serif" w:hAnsi="Times New Roman;sans-serif"/>
          <w:b/>
          <w:i/>
          <w:color w:val="000000"/>
          <w:sz w:val="20"/>
        </w:rPr>
        <w:t>IRS</w:t>
      </w:r>
      <w:r>
        <w:rPr>
          <w:color w:val="000000"/>
        </w:rPr>
        <w:t>”</w:t>
      </w:r>
      <w:r>
        <w:rPr>
          <w:rFonts w:ascii="Times New Roman;sans-serif" w:hAnsi="Times New Roman;sans-serif"/>
          <w:b w:val="false"/>
          <w:color w:val="000000"/>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ONLY A SUMMARY OF CERTAIN U.S. FEDERAL INCOME TAX CONSIDERATIONS ASSOCIATED WITH THE ACQUISITION, OWNERSHIP AND DISPOSITION OF OUR CLASS A COMMON STOCK. EACH PROSPECTIVE INVESTOR IN OUR CLASS A COMMON STOCK IS URGED TO CONSULT ITS OWN TAX ADVISOR WITH RESPECT TO THE PARTICULAR TAX CONSEQUENCES TO SUCH INVESTOR OF THE ACQUISITION, OWNERSHIP AND DISPOSITION OF OUR CLASS A COMMON STOCK, INCLUDING THE APPLICABILITY AND EFFECT OF ANY U.S. FEDERAL NON-INCOME, STATE, LOCAL, AND NON-U.S. TAX LAWS.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“U.S. holder.” A U.S. holder is a beneficial owner of our shares of Class A common stock that is, for U.S. federal income tax purposes:</w:t>
      </w:r>
    </w:p>
    <w:p>
      <w:pPr>
        <w:pStyle w:val="TextBody"/>
        <w:spacing w:lineRule="auto" w:line="240" w:before="0" w:after="0"/>
        <w:jc w:val="both"/>
        <w:rPr>
          <w:color w:val="000000"/>
        </w:rPr>
      </w:pPr>
      <w:r>
        <w:rPr>
          <w:color w:val="000000"/>
        </w:rPr>
        <w:t> </w:t>
      </w:r>
    </w:p>
    <w:tbl>
      <w:tblPr>
        <w:tblW w:w="5813" w:type="dxa"/>
        <w:jc w:val="left"/>
        <w:tblInd w:w="0" w:type="dxa"/>
        <w:tblCellMar>
          <w:top w:w="28" w:type="dxa"/>
          <w:left w:w="28" w:type="dxa"/>
          <w:bottom w:w="28" w:type="dxa"/>
          <w:right w:w="28" w:type="dxa"/>
        </w:tblCellMar>
      </w:tblPr>
      <w:tblGrid>
        <w:gridCol w:w="124"/>
        <w:gridCol w:w="109"/>
        <w:gridCol w:w="109"/>
        <w:gridCol w:w="109"/>
        <w:gridCol w:w="109"/>
        <w:gridCol w:w="109"/>
        <w:gridCol w:w="1503"/>
        <w:gridCol w:w="1503"/>
        <w:gridCol w:w="21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who is a citizen or resident of the United States;</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corporation (or other entity taxable as a corporation) organized in or under the laws of the United States, any state thereof or the District of Columbia;</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the income of which is includible in gross income for U.S. federal income tax purposes regardless of its source; or</w:t>
            </w:r>
          </w:p>
        </w:tc>
      </w:tr>
    </w:tbl>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3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sans-serif" w:hAnsi="Times New Roman;sans-serif"/>
          <w:b w:val="false"/>
          <w:i/>
          <w:color w:val="000000"/>
          <w:sz w:val="20"/>
        </w:rPr>
        <w:t>U.S. Holders—Gain or Loss on Sale, Taxable Exchange or Other Taxable Disposition of Class A Common Stock</w:t>
      </w:r>
      <w:r>
        <w:rPr>
          <w:rFonts w:ascii="Times New Roman;sans-serif" w:hAnsi="Times New Roman;sans-serif"/>
          <w:b w:val="false"/>
          <w:color w:val="000000"/>
          <w:sz w:val="20"/>
        </w:rPr>
        <w:t>,”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Gain or Loss on Sale, Taxable Exchange or Other Taxable Disposition of Class A Common Stock.</w:t>
      </w:r>
      <w:r>
        <w:rPr>
          <w:color w:val="000000"/>
        </w:rPr>
        <w:t> </w:t>
      </w:r>
      <w:r>
        <w:rPr>
          <w:rFonts w:ascii="Times New Roman;sans-serif" w:hAnsi="Times New Roman;sans-serif"/>
          <w:b w:val="false"/>
          <w:color w:val="000000"/>
          <w:sz w:val="20"/>
        </w:rPr>
        <w:t>Upon a sale or other taxable disposition of our 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general, information reporting requirements may apply with respect to dividends paid to a U.S. holder and with respect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Non-U.S.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“non-U.S. holder.” As used herein, the term “non-U.S. holder” means a beneficial owner of our Class A common stock who or that is for U.S. federal income tax purposes:</w:t>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non-resident alien individual (other than certain former citizens and residents of the United States subject to U.S. tax as expatriates);</w:t>
            </w:r>
          </w:p>
        </w:tc>
      </w:tr>
    </w:tbl>
    <w:p>
      <w:pPr>
        <w:pStyle w:val="TextBody"/>
        <w:spacing w:lineRule="auto" w:line="240" w:before="0" w:after="0"/>
        <w:jc w:val="both"/>
        <w:rPr>
          <w:color w:val="000000"/>
        </w:rPr>
      </w:pPr>
      <w:r>
        <w:rPr>
          <w:color w:val="000000"/>
        </w:rPr>
        <w:t> </w:t>
      </w:r>
    </w:p>
    <w:tbl>
      <w:tblPr>
        <w:tblW w:w="2799" w:type="dxa"/>
        <w:jc w:val="left"/>
        <w:tblInd w:w="0" w:type="dxa"/>
        <w:tblCellMar>
          <w:top w:w="28" w:type="dxa"/>
          <w:left w:w="28" w:type="dxa"/>
          <w:bottom w:w="28" w:type="dxa"/>
          <w:right w:w="28" w:type="dxa"/>
        </w:tblCellMar>
      </w:tblPr>
      <w:tblGrid>
        <w:gridCol w:w="124"/>
        <w:gridCol w:w="109"/>
        <w:gridCol w:w="109"/>
        <w:gridCol w:w="109"/>
        <w:gridCol w:w="109"/>
        <w:gridCol w:w="109"/>
        <w:gridCol w:w="623"/>
        <w:gridCol w:w="623"/>
        <w:gridCol w:w="8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foreign corporation; or</w:t>
            </w:r>
          </w:p>
        </w:tc>
      </w:tr>
    </w:tbl>
    <w:p>
      <w:pPr>
        <w:pStyle w:val="TextBody"/>
        <w:spacing w:lineRule="auto" w:line="240" w:before="0" w:after="0"/>
        <w:jc w:val="both"/>
        <w:rPr>
          <w:color w:val="000000"/>
        </w:rPr>
      </w:pPr>
      <w:r>
        <w:rPr>
          <w:color w:val="000000"/>
        </w:rPr>
        <w:t> </w:t>
      </w:r>
    </w:p>
    <w:tbl>
      <w:tblPr>
        <w:tblW w:w="4134" w:type="dxa"/>
        <w:jc w:val="left"/>
        <w:tblInd w:w="0" w:type="dxa"/>
        <w:tblCellMar>
          <w:top w:w="28" w:type="dxa"/>
          <w:left w:w="28" w:type="dxa"/>
          <w:bottom w:w="28" w:type="dxa"/>
          <w:right w:w="28" w:type="dxa"/>
        </w:tblCellMar>
      </w:tblPr>
      <w:tblGrid>
        <w:gridCol w:w="124"/>
        <w:gridCol w:w="109"/>
        <w:gridCol w:w="109"/>
        <w:gridCol w:w="109"/>
        <w:gridCol w:w="109"/>
        <w:gridCol w:w="109"/>
        <w:gridCol w:w="1015"/>
        <w:gridCol w:w="1015"/>
        <w:gridCol w:w="14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or trust that is not a U.S. holder;</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but generally does not include an individual who is present in the United States for 183 days or more in the taxable year of the disposition of our Class A common stock. If you are such an individual, you should consult your own tax advisor regarding the U.S. federal income tax consequences of the acquisition, ownership or sale or other disposition of our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in general, any such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sans-serif" w:hAnsi="Times New Roman;sans-serif"/>
          <w:b w:val="false"/>
          <w:i/>
          <w:color w:val="000000"/>
          <w:sz w:val="20"/>
        </w:rPr>
        <w:t>Non-U.S. Holders—Gain on Sale, Taxable Exchange or Other Taxable Disposition of Class A Common Stock</w:t>
      </w:r>
      <w:r>
        <w:rPr>
          <w:rFonts w:ascii="Times New Roman;sans-serif" w:hAnsi="Times New Roman;sans-serif"/>
          <w:b w:val="false"/>
          <w:color w:val="000000"/>
          <w:sz w:val="20"/>
        </w:rPr>
        <w:t>,” below.</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Gain on Sale, Taxable Exchange or Other Taxable Disposition of Class A Common Stock</w:t>
      </w:r>
      <w:r>
        <w:rPr>
          <w:rFonts w:ascii="Times New Roman;sans-serif" w:hAnsi="Times New Roman;sans-serif"/>
          <w:b/>
          <w:color w:val="000000"/>
          <w:sz w:val="20"/>
        </w:rPr>
        <w:t xml:space="preserve">. </w:t>
      </w:r>
      <w:r>
        <w:rPr>
          <w:rFonts w:ascii="Times New Roman;sans-serif" w:hAnsi="Times New Roman;sans-serif"/>
          <w:b w:val="false"/>
          <w:color w:val="000000"/>
          <w:sz w:val="20"/>
        </w:rPr>
        <w:t>A non-U.S. holder generally will not be subject to U.S. federal income or withholding tax in respect of gain recognized on a sale, taxable exchange or other taxable disposition of our Class A common stock, unless:</w:t>
      </w:r>
    </w:p>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spacing w:lineRule="auto" w:line="240" w:before="0" w:after="0"/>
        <w:ind w:left="0" w:right="0" w:firstLine="36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purposes may also be subject to an additional “branch profits tax” imposed at a 30% rate (or such lower rate as may apply under an applicable income tax treaty).</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 xml:space="preserve">. </w:t>
      </w:r>
      <w:r>
        <w:rPr>
          <w:rFonts w:ascii="Times New Roman;sans-serif" w:hAnsi="Times New Roman;sans-serif"/>
          <w:b w:val="false"/>
          <w:color w:val="000000"/>
          <w:sz w:val="20"/>
        </w:rPr>
        <w:t>Information returns will be filed with the IRS in connection with payments of dividends and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i/>
          <w:color w:val="000000"/>
          <w:sz w:val="20"/>
        </w:rPr>
        <w:t>FATCA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Provisions commonly referred to as “FATCA” impose withholding of 30% 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registering the possible resale by the Selling Holders of up to 166,318,246 shares of Class A common stock.</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limitations set forth in any applicable registration rights agreement, the Selling Holders may use any one or more of the following methods when selling the securities offered by this prospectus:</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by a broker-dealer as principal and resale by such broker-dealer for its own account pursuant to this prospectus;</w:t>
            </w:r>
          </w:p>
        </w:tc>
      </w:tr>
    </w:tbl>
    <w:p>
      <w:pPr>
        <w:pStyle w:val="TextBody"/>
        <w:spacing w:lineRule="auto" w:line="240" w:before="0" w:after="0"/>
        <w:rPr>
          <w:color w:val="000000"/>
        </w:rPr>
      </w:pPr>
      <w:r>
        <w:rPr>
          <w:color w:val="000000"/>
        </w:rPr>
        <w:t> </w:t>
      </w:r>
    </w:p>
    <w:tbl>
      <w:tblPr>
        <w:tblW w:w="7959" w:type="dxa"/>
        <w:jc w:val="left"/>
        <w:tblInd w:w="0" w:type="dxa"/>
        <w:tblCellMar>
          <w:top w:w="28" w:type="dxa"/>
          <w:left w:w="28" w:type="dxa"/>
          <w:bottom w:w="28" w:type="dxa"/>
          <w:right w:w="28" w:type="dxa"/>
        </w:tblCellMar>
      </w:tblPr>
      <w:tblGrid>
        <w:gridCol w:w="124"/>
        <w:gridCol w:w="109"/>
        <w:gridCol w:w="109"/>
        <w:gridCol w:w="109"/>
        <w:gridCol w:w="109"/>
        <w:gridCol w:w="109"/>
        <w:gridCol w:w="2130"/>
        <w:gridCol w:w="2130"/>
        <w:gridCol w:w="30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ordinary brokerage transactions and transactions in which the broker solicits purchasers;</w:t>
            </w:r>
          </w:p>
        </w:tc>
      </w:tr>
    </w:tbl>
    <w:p>
      <w:pPr>
        <w:pStyle w:val="TextBody"/>
        <w:spacing w:lineRule="auto" w:line="240"/>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block trades in which the broker-dealer so engaged will attempt to sell the securities as agent but may position and resell a portion of the block as principal to facilitate the transaction;</w:t>
            </w:r>
          </w:p>
        </w:tc>
      </w:tr>
    </w:tbl>
    <w:p>
      <w:pPr>
        <w:pStyle w:val="TextBody"/>
        <w:spacing w:lineRule="auto" w:line="240" w:before="0" w:after="0"/>
        <w:rPr>
          <w:color w:val="000000"/>
        </w:rPr>
      </w:pPr>
      <w:r>
        <w:rPr>
          <w:color w:val="000000"/>
        </w:rPr>
        <w:t> </w:t>
      </w:r>
    </w:p>
    <w:tbl>
      <w:tblPr>
        <w:tblW w:w="6639" w:type="dxa"/>
        <w:jc w:val="left"/>
        <w:tblInd w:w="0" w:type="dxa"/>
        <w:tblCellMar>
          <w:top w:w="28" w:type="dxa"/>
          <w:left w:w="28" w:type="dxa"/>
          <w:bottom w:w="28" w:type="dxa"/>
          <w:right w:w="28" w:type="dxa"/>
        </w:tblCellMar>
      </w:tblPr>
      <w:tblGrid>
        <w:gridCol w:w="124"/>
        <w:gridCol w:w="109"/>
        <w:gridCol w:w="109"/>
        <w:gridCol w:w="109"/>
        <w:gridCol w:w="109"/>
        <w:gridCol w:w="109"/>
        <w:gridCol w:w="1748"/>
        <w:gridCol w:w="1748"/>
        <w:gridCol w:w="24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over-the-counter distribution in accordance with the rules of Nasdaq;</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spacing w:lineRule="auto" w:line="240" w:before="0" w:after="0"/>
        <w:rPr>
          <w:color w:val="000000"/>
        </w:rPr>
      </w:pPr>
      <w:r>
        <w:rPr>
          <w:color w:val="000000"/>
        </w:rPr>
        <w:t> </w:t>
      </w:r>
    </w:p>
    <w:tbl>
      <w:tblPr>
        <w:tblW w:w="7793" w:type="dxa"/>
        <w:jc w:val="left"/>
        <w:tblInd w:w="0" w:type="dxa"/>
        <w:tblCellMar>
          <w:top w:w="28" w:type="dxa"/>
          <w:left w:w="28" w:type="dxa"/>
          <w:bottom w:w="28" w:type="dxa"/>
          <w:right w:w="28" w:type="dxa"/>
        </w:tblCellMar>
      </w:tblPr>
      <w:tblGrid>
        <w:gridCol w:w="124"/>
        <w:gridCol w:w="109"/>
        <w:gridCol w:w="109"/>
        <w:gridCol w:w="109"/>
        <w:gridCol w:w="109"/>
        <w:gridCol w:w="109"/>
        <w:gridCol w:w="2084"/>
        <w:gridCol w:w="2084"/>
        <w:gridCol w:w="29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1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one or more underwritten offerings on a firm commitment or best efforts basis;</w:t>
            </w:r>
          </w:p>
        </w:tc>
      </w:tr>
    </w:tbl>
    <w:p>
      <w:pPr>
        <w:pStyle w:val="TextBody"/>
        <w:spacing w:lineRule="auto" w:line="240" w:before="0" w:after="0"/>
        <w:rPr>
          <w:color w:val="000000"/>
        </w:rPr>
      </w:pPr>
      <w:r>
        <w:rPr>
          <w:color w:val="000000"/>
        </w:rPr>
        <w:t> </w:t>
      </w:r>
    </w:p>
    <w:tbl>
      <w:tblPr>
        <w:tblW w:w="6399" w:type="dxa"/>
        <w:jc w:val="left"/>
        <w:tblInd w:w="0" w:type="dxa"/>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spacing w:lineRule="auto" w:line="240" w:before="0" w:after="0"/>
        <w:rPr>
          <w:color w:val="000000"/>
        </w:rPr>
      </w:pPr>
      <w:r>
        <w:rPr>
          <w:color w:val="000000"/>
        </w:rPr>
        <w:t> </w:t>
      </w:r>
    </w:p>
    <w:tbl>
      <w:tblPr>
        <w:tblW w:w="9233" w:type="dxa"/>
        <w:jc w:val="left"/>
        <w:tblInd w:w="0" w:type="dxa"/>
        <w:tblCellMar>
          <w:top w:w="28" w:type="dxa"/>
          <w:left w:w="28" w:type="dxa"/>
          <w:bottom w:w="28" w:type="dxa"/>
          <w:right w:w="28" w:type="dxa"/>
        </w:tblCellMar>
      </w:tblPr>
      <w:tblGrid>
        <w:gridCol w:w="124"/>
        <w:gridCol w:w="109"/>
        <w:gridCol w:w="109"/>
        <w:gridCol w:w="109"/>
        <w:gridCol w:w="109"/>
        <w:gridCol w:w="109"/>
        <w:gridCol w:w="2505"/>
        <w:gridCol w:w="2505"/>
        <w:gridCol w:w="35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35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5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with broker-dealers to sell a specified number of the securities at a stipulated price per share;</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directly to purchasers, including through a specific bidding, auction or other process or in privately negotiated transactions;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writing or settlement of options or other hedging transactions, whether through an options exchange or otherwise;</w:t>
            </w:r>
          </w:p>
        </w:tc>
      </w:tr>
    </w:tbl>
    <w:p>
      <w:pPr>
        <w:pStyle w:val="TextBody"/>
        <w:spacing w:lineRule="auto" w:line="240" w:before="0" w:after="0"/>
        <w:rPr>
          <w:color w:val="000000"/>
        </w:rPr>
      </w:pPr>
      <w:r>
        <w:rPr>
          <w:color w:val="000000"/>
        </w:rPr>
        <w:t> </w:t>
      </w:r>
    </w:p>
    <w:tbl>
      <w:tblPr>
        <w:tblW w:w="9114" w:type="dxa"/>
        <w:jc w:val="left"/>
        <w:tblInd w:w="0" w:type="dxa"/>
        <w:tblCellMar>
          <w:top w:w="28" w:type="dxa"/>
          <w:left w:w="28" w:type="dxa"/>
          <w:bottom w:w="28" w:type="dxa"/>
          <w:right w:w="28" w:type="dxa"/>
        </w:tblCellMar>
      </w:tblPr>
      <w:tblGrid>
        <w:gridCol w:w="124"/>
        <w:gridCol w:w="109"/>
        <w:gridCol w:w="109"/>
        <w:gridCol w:w="109"/>
        <w:gridCol w:w="109"/>
        <w:gridCol w:w="109"/>
        <w:gridCol w:w="2471"/>
        <w:gridCol w:w="2471"/>
        <w:gridCol w:w="35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2471" w:type="dxa"/>
            <w:tcBorders/>
            <w:shd w:fill="auto" w:val="clear"/>
            <w:vAlign w:val="center"/>
          </w:tcPr>
          <w:p>
            <w:pPr>
              <w:pStyle w:val="TableContents"/>
              <w:spacing w:before="0" w:after="283"/>
              <w:rPr>
                <w:sz w:val="4"/>
                <w:szCs w:val="4"/>
              </w:rPr>
            </w:pPr>
            <w:r>
              <w:rPr>
                <w:sz w:val="4"/>
                <w:szCs w:val="4"/>
              </w:rPr>
            </w:r>
          </w:p>
        </w:tc>
        <w:tc>
          <w:tcPr>
            <w:tcW w:w="35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distributions by any Selling Holder or its affiliates to its partners, members or stockholders</w:t>
            </w:r>
          </w:p>
        </w:tc>
      </w:tr>
    </w:tbl>
    <w:p>
      <w:pPr>
        <w:pStyle w:val="TextBody"/>
        <w:spacing w:lineRule="auto" w:line="240" w:before="0" w:after="0"/>
        <w:rPr>
          <w:color w:val="000000"/>
        </w:rPr>
      </w:pPr>
      <w:r>
        <w:rPr>
          <w:color w:val="000000"/>
        </w:rPr>
        <w:t> </w:t>
      </w:r>
    </w:p>
    <w:tbl>
      <w:tblPr>
        <w:tblW w:w="5858" w:type="dxa"/>
        <w:jc w:val="left"/>
        <w:tblInd w:w="0" w:type="dxa"/>
        <w:tblCellMar>
          <w:top w:w="28" w:type="dxa"/>
          <w:left w:w="28" w:type="dxa"/>
          <w:bottom w:w="28" w:type="dxa"/>
          <w:right w:w="28" w:type="dxa"/>
        </w:tblCellMar>
      </w:tblPr>
      <w:tblGrid>
        <w:gridCol w:w="124"/>
        <w:gridCol w:w="109"/>
        <w:gridCol w:w="109"/>
        <w:gridCol w:w="109"/>
        <w:gridCol w:w="109"/>
        <w:gridCol w:w="109"/>
        <w:gridCol w:w="1518"/>
        <w:gridCol w:w="1518"/>
        <w:gridCol w:w="21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a combination of any of the above methods of sale; or</w:t>
            </w:r>
          </w:p>
        </w:tc>
      </w:tr>
    </w:tbl>
    <w:p>
      <w:pPr>
        <w:pStyle w:val="TextBody"/>
        <w:spacing w:lineRule="auto" w:line="240" w:before="0" w:after="0"/>
        <w:rPr>
          <w:color w:val="000000"/>
        </w:rPr>
      </w:pPr>
      <w:r>
        <w:rPr>
          <w:color w:val="000000"/>
        </w:rPr>
        <w:t> </w:t>
      </w:r>
    </w:p>
    <w:tbl>
      <w:tblPr>
        <w:tblW w:w="5303" w:type="dxa"/>
        <w:jc w:val="left"/>
        <w:tblInd w:w="0" w:type="dxa"/>
        <w:tblCellMar>
          <w:top w:w="28" w:type="dxa"/>
          <w:left w:w="28" w:type="dxa"/>
          <w:bottom w:w="28" w:type="dxa"/>
          <w:right w:w="28" w:type="dxa"/>
        </w:tblCellMar>
      </w:tblPr>
      <w:tblGrid>
        <w:gridCol w:w="124"/>
        <w:gridCol w:w="109"/>
        <w:gridCol w:w="109"/>
        <w:gridCol w:w="109"/>
        <w:gridCol w:w="109"/>
        <w:gridCol w:w="109"/>
        <w:gridCol w:w="1354"/>
        <w:gridCol w:w="1354"/>
        <w:gridCol w:w="19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other method permitted pursuant to applicable law.</w:t>
            </w:r>
          </w:p>
        </w:tc>
      </w:tr>
    </w:tbl>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spacing w:lineRule="auto" w:line="240" w:before="0" w:after="0"/>
        <w:jc w:val="both"/>
        <w:rPr>
          <w:color w:val="000000"/>
        </w:rPr>
      </w:pPr>
      <w:r>
        <w:rPr>
          <w:color w:val="000000"/>
        </w:rPr>
        <w:t> </w:t>
      </w:r>
    </w:p>
    <w:tbl>
      <w:tblPr>
        <w:tblW w:w="4419" w:type="dxa"/>
        <w:jc w:val="left"/>
        <w:tblInd w:w="0" w:type="dxa"/>
        <w:tblCellMar>
          <w:top w:w="28" w:type="dxa"/>
          <w:left w:w="28" w:type="dxa"/>
          <w:bottom w:w="28" w:type="dxa"/>
          <w:right w:w="28" w:type="dxa"/>
        </w:tblCellMar>
      </w:tblPr>
      <w:tblGrid>
        <w:gridCol w:w="124"/>
        <w:gridCol w:w="109"/>
        <w:gridCol w:w="109"/>
        <w:gridCol w:w="109"/>
        <w:gridCol w:w="109"/>
        <w:gridCol w:w="109"/>
        <w:gridCol w:w="1097"/>
        <w:gridCol w:w="1097"/>
        <w:gridCol w:w="15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specific securities to be offered and sold;</w:t>
            </w:r>
          </w:p>
        </w:tc>
      </w:tr>
    </w:tbl>
    <w:p>
      <w:pPr>
        <w:pStyle w:val="TextBody"/>
        <w:spacing w:lineRule="auto" w:line="240" w:before="0" w:after="0"/>
        <w:rPr>
          <w:color w:val="000000"/>
        </w:rPr>
      </w:pPr>
      <w:r>
        <w:rPr>
          <w:color w:val="000000"/>
        </w:rPr>
        <w:t> </w:t>
      </w:r>
    </w:p>
    <w:tbl>
      <w:tblPr>
        <w:tblW w:w="3503" w:type="dxa"/>
        <w:jc w:val="left"/>
        <w:tblInd w:w="0" w:type="dxa"/>
        <w:tblCellMar>
          <w:top w:w="28" w:type="dxa"/>
          <w:left w:w="28" w:type="dxa"/>
          <w:bottom w:w="28" w:type="dxa"/>
          <w:right w:w="28" w:type="dxa"/>
        </w:tblCellMar>
      </w:tblPr>
      <w:tblGrid>
        <w:gridCol w:w="124"/>
        <w:gridCol w:w="109"/>
        <w:gridCol w:w="109"/>
        <w:gridCol w:w="109"/>
        <w:gridCol w:w="109"/>
        <w:gridCol w:w="109"/>
        <w:gridCol w:w="827"/>
        <w:gridCol w:w="827"/>
        <w:gridCol w:w="11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the Selling Holders;</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39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respective purchase prices and public offering prices, the proceeds to be received from the sale, if any, and other material terms of the offering;</w:t>
            </w:r>
          </w:p>
        </w:tc>
      </w:tr>
    </w:tbl>
    <w:p>
      <w:pPr>
        <w:pStyle w:val="TextBody"/>
        <w:spacing w:lineRule="auto" w:line="240" w:before="0" w:after="0"/>
        <w:rPr>
          <w:color w:val="000000"/>
        </w:rPr>
      </w:pPr>
      <w:r>
        <w:rPr>
          <w:color w:val="000000"/>
        </w:rPr>
        <w:t> </w:t>
      </w:r>
    </w:p>
    <w:tbl>
      <w:tblPr>
        <w:tblW w:w="6399" w:type="dxa"/>
        <w:jc w:val="left"/>
        <w:tblInd w:w="0" w:type="dxa"/>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spacing w:lineRule="auto" w:line="240" w:before="0" w:after="0"/>
        <w:rPr>
          <w:color w:val="000000"/>
        </w:rPr>
      </w:pPr>
      <w:r>
        <w:rPr>
          <w:color w:val="000000"/>
        </w:rPr>
        <w:t> </w:t>
      </w:r>
    </w:p>
    <w:tbl>
      <w:tblPr>
        <w:tblW w:w="6759" w:type="dxa"/>
        <w:jc w:val="left"/>
        <w:tblInd w:w="0" w:type="dxa"/>
        <w:tblCellMar>
          <w:top w:w="28" w:type="dxa"/>
          <w:left w:w="28" w:type="dxa"/>
          <w:bottom w:w="28" w:type="dxa"/>
          <w:right w:w="28" w:type="dxa"/>
        </w:tblCellMar>
      </w:tblPr>
      <w:tblGrid>
        <w:gridCol w:w="124"/>
        <w:gridCol w:w="109"/>
        <w:gridCol w:w="109"/>
        <w:gridCol w:w="109"/>
        <w:gridCol w:w="109"/>
        <w:gridCol w:w="109"/>
        <w:gridCol w:w="1783"/>
        <w:gridCol w:w="1783"/>
        <w:gridCol w:w="25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5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any participating agents, broker-dealers or underwriters; and</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applicable commissions, discounts, concessions and other items constituting compensation from the Selling Holders.</w:t>
            </w:r>
          </w:p>
        </w:tc>
      </w:tr>
    </w:tbl>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In compliance with the guidelines of the Financial Industry Regulatory Authority (“</w:t>
      </w:r>
      <w:r>
        <w:rPr>
          <w:rFonts w:ascii="Times New Roman;sans-serif" w:hAnsi="Times New Roman;sans-serif"/>
          <w:b/>
          <w:i/>
          <w:color w:val="000000"/>
          <w:sz w:val="20"/>
        </w:rPr>
        <w:t>FINRA</w:t>
      </w:r>
      <w:r>
        <w:rPr>
          <w:color w:val="000000"/>
        </w:rPr>
        <w:t>”</w:t>
      </w:r>
      <w:r>
        <w:rPr>
          <w:rFonts w:ascii="Times New Roman;sans-serif" w:hAnsi="Times New Roman;sans-serif"/>
          <w:b w:val="false"/>
          <w:color w:val="000000"/>
          <w:sz w:val="20"/>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broker-dealers and agents may engage in transactions with us or the Selling Holders, or perform services for us or the Selling Holders, in the ordinary course of business.</w:t>
      </w:r>
    </w:p>
    <w:p>
      <w:pPr>
        <w:pStyle w:val="TextBody"/>
        <w:spacing w:lineRule="auto" w:line="240"/>
        <w:ind w:left="0" w:right="0" w:firstLine="360"/>
        <w:jc w:val="both"/>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spacing w:before="0" w:after="0"/>
        <w:ind w:left="0" w:right="0" w:firstLine="360"/>
        <w:jc w:val="both"/>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Sheppard, Mullin, Richter &amp; Hampton LLP will pass upon the validity of the Class A common stock offered by this prospectus and certain other matters related to this prospectus.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OPAL Fuels Inc. as of and for the years ended December 31, 2022 and 2021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pStyle w:val="TextBody"/>
        <w:spacing w:lineRule="auto" w:line="240" w:before="0" w:after="0"/>
        <w:rPr>
          <w:color w:val="000000"/>
        </w:rPr>
      </w:pPr>
      <w:r>
        <w:rPr>
          <w:color w:val="000000"/>
        </w:rPr>
        <w:t> </w:t>
      </w:r>
    </w:p>
    <w:p>
      <w:pPr>
        <w:pStyle w:val="TextBody"/>
        <w:spacing w:before="120" w:after="24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9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166,318,246 Shares of Class A common stock</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spacing w:lineRule="auto" w:line="240" w:before="0" w:after="0"/>
        <w:jc w:val="center"/>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2022</w:t>
      </w:r>
    </w:p>
    <w:p>
      <w:pPr>
        <w:pStyle w:val="TextBody"/>
        <w:spacing w:lineRule="auto" w:line="240" w:before="0" w:after="0"/>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spacing w:lineRule="auto" w:line="240"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120" w:after="240"/>
        <w:rPr>
          <w:color w:val="000000"/>
        </w:rPr>
      </w:pPr>
      <w:r>
        <w:rPr>
          <w:color w:val="000000"/>
        </w:rPr>
        <w:t> </w:t>
      </w:r>
    </w:p>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pStyle w:val="TextBody"/>
        <w:spacing w:lineRule="auto" w:line="240" w:before="0" w:after="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13. Other Expenses of Issuance and Distribution.</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estimated expenses to be borne by us in connection with the issuance and distribution of the shares of common stock being registered hereby. All amounts shown are estimates except for the SEC registration fee.</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bear all costs, expenses and fees in connection with the registration of the securities. Selling Holders, however, will bear all underwriting commissions and discounts, if any, attributable to their respective sales sale of the securities.</w:t>
      </w:r>
    </w:p>
    <w:p>
      <w:pPr>
        <w:pStyle w:val="TextBody"/>
        <w:spacing w:lineRule="auto" w:line="240" w:before="0" w:after="0"/>
        <w:rPr>
          <w:color w:val="000000"/>
        </w:rPr>
      </w:pPr>
      <w:r>
        <w:rPr>
          <w:color w:val="000000"/>
        </w:rPr>
        <w:t> </w:t>
      </w:r>
    </w:p>
    <w:tbl>
      <w:tblPr>
        <w:tblW w:w="5605" w:type="dxa"/>
        <w:jc w:val="left"/>
        <w:tblInd w:w="0" w:type="dxa"/>
        <w:tblCellMar>
          <w:top w:w="28" w:type="dxa"/>
          <w:left w:w="28" w:type="dxa"/>
          <w:bottom w:w="28" w:type="dxa"/>
          <w:right w:w="28" w:type="dxa"/>
        </w:tblCellMar>
      </w:tblPr>
      <w:tblGrid>
        <w:gridCol w:w="1420"/>
        <w:gridCol w:w="1244"/>
        <w:gridCol w:w="1250"/>
        <w:gridCol w:w="109"/>
        <w:gridCol w:w="109"/>
        <w:gridCol w:w="109"/>
        <w:gridCol w:w="211"/>
        <w:gridCol w:w="156"/>
        <w:gridCol w:w="156"/>
        <w:gridCol w:w="156"/>
        <w:gridCol w:w="156"/>
        <w:gridCol w:w="157"/>
        <w:gridCol w:w="109"/>
        <w:gridCol w:w="109"/>
        <w:gridCol w:w="154"/>
      </w:tblGrid>
      <w:tr>
        <w:trPr/>
        <w:tc>
          <w:tcPr>
            <w:tcW w:w="1420"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5"/>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printing and miscellaneous expenses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9"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5"/>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171,831</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fees are calculated based on the securities offered and the number of issuances and accordingly cannot be defined at this time.</w:t>
            </w:r>
          </w:p>
        </w:tc>
      </w:tr>
    </w:tbl>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Item 14. Indemnification of Directors and Officers.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OPAL is governed by the DGCL, as the same exists or may hereafter be amended. Section 145 of the DGCL (“</w:t>
      </w:r>
      <w:r>
        <w:rPr>
          <w:rFonts w:ascii="Times New Roman;sans-serif" w:hAnsi="Times New Roman;sans-serif"/>
          <w:b/>
          <w:i/>
          <w:color w:val="000000"/>
          <w:sz w:val="20"/>
        </w:rPr>
        <w:t>Section 145</w:t>
      </w:r>
      <w:r>
        <w:rPr>
          <w:color w:val="000000"/>
        </w:rPr>
        <w:t>”</w:t>
      </w:r>
      <w:r>
        <w:rPr>
          <w:rFonts w:ascii="Times New Roman;sans-serif" w:hAnsi="Times New Roman;sans-serif"/>
          <w:b w:val="false"/>
          <w:color w:val="000000"/>
          <w:sz w:val="20"/>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spacing w:lineRule="auto" w:line="240" w:before="0" w:after="0"/>
        <w:ind w:left="0" w:right="0" w:firstLine="360"/>
        <w:jc w:val="both"/>
        <w:rPr>
          <w:color w:val="000000"/>
        </w:rPr>
      </w:pPr>
      <w:r>
        <w:rPr>
          <w:color w:val="000000"/>
        </w:rPr>
        <w:t> </w:t>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w:t>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not the corporation would otherwise have the power to indemnify such person against such liability under Section 145.</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be held not to be enforceable for certain violations of the federal securities laws of the United States.</w:t>
      </w:r>
    </w:p>
    <w:p>
      <w:pPr>
        <w:pStyle w:val="TextBody"/>
        <w:spacing w:lineRule="auto" w:line="240" w:before="0" w:after="0"/>
        <w:ind w:left="0" w:right="0" w:firstLine="360"/>
        <w:jc w:val="both"/>
        <w:rPr>
          <w:color w:val="000000"/>
        </w:rPr>
      </w:pPr>
      <w:r>
        <w:rPr>
          <w:color w:val="000000"/>
        </w:rPr>
        <w:t> </w:t>
      </w:r>
    </w:p>
    <w:tbl>
      <w:tblPr>
        <w:tblW w:w="450" w:type="dxa"/>
        <w:jc w:val="left"/>
        <w:tblInd w:w="0" w:type="dxa"/>
        <w:tblCellMar>
          <w:top w:w="28" w:type="dxa"/>
          <w:left w:w="28" w:type="dxa"/>
          <w:bottom w:w="28" w:type="dxa"/>
          <w:right w:w="28" w:type="dxa"/>
        </w:tblCellMar>
      </w:tblPr>
      <w:tblGrid>
        <w:gridCol w:w="144"/>
        <w:gridCol w:w="127"/>
        <w:gridCol w:w="179"/>
      </w:tblGrid>
      <w:tr>
        <w:trPr/>
        <w:tc>
          <w:tcPr>
            <w:tcW w:w="1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c>
      </w:tr>
    </w:tbl>
    <w:p>
      <w:pPr>
        <w:pStyle w:val="TextBody"/>
        <w:spacing w:lineRule="auto" w:line="240" w:before="120" w:after="240"/>
        <w:rPr>
          <w:color w:val="000000"/>
        </w:rPr>
      </w:pPr>
      <w:r>
        <w:rPr>
          <w:color w:val="000000"/>
        </w:rPr>
        <w:t> </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40" w:before="0" w:after="0"/>
        <w:jc w:val="both"/>
        <w:rPr>
          <w:color w:val="000000"/>
        </w:rPr>
      </w:pPr>
      <w:r>
        <w:rPr>
          <w:color w:val="000000"/>
        </w:rPr>
        <w:t> </w:t>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Item 15. Recent Sales of Unregistered Securities.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pPr>
      <w:r>
        <w:rPr>
          <w:rFonts w:ascii="Times New Roman;sans-serif" w:hAnsi="Times New Roman;sans-serif"/>
          <w:b w:val="false"/>
          <w:color w:val="000000"/>
          <w:sz w:val="20"/>
        </w:rPr>
        <w:t>During the three years preceding the filing of this registration statement, the Registrant has granted or issued the following securities of the Registrant which were not registered under the Securities Act of 1933, as amended (the “</w:t>
      </w:r>
      <w:r>
        <w:rPr>
          <w:rFonts w:ascii="Times New Roman;sans-serif" w:hAnsi="Times New Roman;sans-serif"/>
          <w:b/>
          <w:i/>
          <w:color w:val="000000"/>
          <w:sz w:val="20"/>
        </w:rPr>
        <w:t>Securities Act</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Ordinary Shares of OPAL</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 2021, the Sponsor transferred 35,000 founder shares to each of Arno Harris, Ja-Chin Audrey Lee, Brian Goncher and Steven Berkenfeld, our independent director nominees.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underwriting discounts or commissions were paid with respect to such sales.</w:t>
      </w:r>
    </w:p>
    <w:p>
      <w:pPr>
        <w:pStyle w:val="TextBody"/>
        <w:spacing w:lineRule="auto" w:line="240" w:before="0" w:after="0"/>
        <w:ind w:left="0" w:right="0" w:firstLine="360"/>
        <w:rPr>
          <w:color w:val="000000"/>
        </w:rPr>
      </w:pPr>
      <w:r>
        <w:rPr>
          <w:color w:val="000000"/>
        </w:rPr>
        <w:t> </w:t>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Business Combination Agreement</w:t>
      </w:r>
    </w:p>
    <w:p>
      <w:pPr>
        <w:pStyle w:val="TextBody"/>
        <w:spacing w:lineRule="auto" w:line="240" w:before="0" w:after="0"/>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pStyle w:val="TextBody"/>
        <w:spacing w:lineRule="auto" w:line="240" w:before="0" w:after="0"/>
        <w:ind w:left="0" w:right="0" w:firstLine="360"/>
        <w:jc w:val="both"/>
        <w:rPr>
          <w:color w:val="000000"/>
        </w:rPr>
      </w:pPr>
      <w:r>
        <w:rPr>
          <w:color w:val="000000"/>
        </w:rPr>
        <w:t> </w:t>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Private Placement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pStyle w:val="TextBody"/>
        <w:spacing w:lineRule="auto" w:line="240" w:before="0" w:after="0"/>
        <w:ind w:left="0" w:right="0" w:firstLine="360"/>
        <w:rPr>
          <w:color w:val="000000"/>
        </w:rPr>
      </w:pPr>
      <w:r>
        <w:rPr>
          <w:color w:val="000000"/>
        </w:rPr>
        <w:t> </w:t>
      </w:r>
    </w:p>
    <w:p>
      <w:pPr>
        <w:pStyle w:val="TextBody"/>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Forward Purchase Agreement</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Pursuant to the Forward Purchase Agreement, Meteora exercised its right to sell back to the Company the remaining 1,635,783 shares held by Meteora. The sale of shares to the Company was effected on January 23, 2023.The terms of the Forward Purchase Agreement were previously announced by ArcLight in its Current Report dated July 18, 2022.</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Securities Purchase Agreement</w:t>
      </w:r>
    </w:p>
    <w:p>
      <w:pPr>
        <w:pStyle w:val="TextBody"/>
        <w:spacing w:before="0" w:after="0"/>
        <w:ind w:left="0" w:right="0" w:firstLine="360"/>
        <w:jc w:val="both"/>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highlight w:val="white"/>
        </w:rPr>
        <w:t>On March 30, 2023, the Company issued an aggregate of 49,633 shares of Class A common stock to certain accredited entities and managed accounts for which Encompass Capital Advisors LLC exercises investment discretion pursuant to a securities purchase agreement with such investors. The shares of Class A common stock were issued to the investors as consideration for their prior agreement to tender all warrants held by the investors in the Company’s voluntary warrant exchange offer which closed on December 22, 2022</w:t>
      </w:r>
      <w:r>
        <w:rPr>
          <w:rFonts w:ascii="Times New Roman;sans-serif" w:hAnsi="Times New Roman;sans-serif"/>
          <w:b w:val="false"/>
          <w:color w:val="000000"/>
          <w:sz w:val="20"/>
        </w:rPr>
        <w:t xml:space="preserve">. The shares issued to the investors pursuant to the </w:t>
      </w:r>
      <w:r>
        <w:rPr>
          <w:rFonts w:ascii="Times New Roman;sans-serif" w:hAnsi="Times New Roman;sans-serif"/>
          <w:b w:val="false"/>
          <w:color w:val="000000"/>
          <w:sz w:val="20"/>
          <w:highlight w:val="white"/>
        </w:rPr>
        <w:t xml:space="preserve">securities purchase agreement </w:t>
      </w:r>
      <w:r>
        <w:rPr>
          <w:rFonts w:ascii="Times New Roman;sans-serif" w:hAnsi="Times New Roman;sans-serif"/>
          <w:b w:val="false"/>
          <w:color w:val="000000"/>
          <w:sz w:val="20"/>
        </w:rPr>
        <w:t>were issued pursuant to and in accordance with the exemption from registration under the Securities Act pursuant to Section 4(a)(2) and/or Regulation D promulgated under the Securities Act. All of the investors were accredited investors. No underwriting discounts or commissions were paid with respect to such issuance.</w:t>
      </w:r>
    </w:p>
    <w:p>
      <w:pPr>
        <w:pStyle w:val="TextBody"/>
        <w:spacing w:lineRule="auto" w:line="240" w:before="0" w:after="0"/>
        <w:ind w:left="0" w:right="0" w:firstLine="360"/>
        <w:rPr>
          <w:color w:val="000000"/>
        </w:rPr>
      </w:pPr>
      <w:r>
        <w:rPr>
          <w:color w:val="000000"/>
        </w:rPr>
        <w:t> </w:t>
      </w:r>
    </w:p>
    <w:tbl>
      <w:tblPr>
        <w:tblW w:w="450" w:type="dxa"/>
        <w:jc w:val="left"/>
        <w:tblInd w:w="0" w:type="dxa"/>
        <w:tblCellMar>
          <w:top w:w="28" w:type="dxa"/>
          <w:left w:w="28" w:type="dxa"/>
          <w:bottom w:w="28" w:type="dxa"/>
          <w:right w:w="28" w:type="dxa"/>
        </w:tblCellMar>
      </w:tblPr>
      <w:tblGrid>
        <w:gridCol w:w="144"/>
        <w:gridCol w:w="127"/>
        <w:gridCol w:w="179"/>
      </w:tblGrid>
      <w:tr>
        <w:trPr/>
        <w:tc>
          <w:tcPr>
            <w:tcW w:w="1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50"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c>
      </w:tr>
    </w:tbl>
    <w:p>
      <w:pPr>
        <w:pStyle w:val="TextBody"/>
        <w:spacing w:lineRule="auto" w:line="240" w:before="120" w:after="240"/>
        <w:rPr>
          <w:color w:val="000000"/>
        </w:rPr>
      </w:pPr>
      <w:r>
        <w:rPr>
          <w:color w:val="000000"/>
        </w:rPr>
        <w:t> </w:t>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16. Exhibits and Financial Statements.</w:t>
      </w:r>
    </w:p>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rPr/>
      </w:pPr>
      <w:r>
        <w:rPr>
          <w:rFonts w:ascii="Times New Roman;sans-serif" w:hAnsi="Times New Roman;sans-serif"/>
          <w:b w:val="false"/>
          <w:color w:val="000000"/>
          <w:sz w:val="20"/>
        </w:rPr>
        <w:t>(a) </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following exhibits are being followed herewith: </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759"/>
        <w:gridCol w:w="2603"/>
        <w:gridCol w:w="3705"/>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370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top w:val="single" w:sz="12"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EE"/>
                  <w:sz w:val="20"/>
                  <w:u w:val="single"/>
                </w:rPr>
                <w:t>Business Combination Agreement, dated as of December 2, 2021, by and among ArcLight, OPAL Fuels and OPAL Holdco (incorporated by reference to Exhibit 2.1 of the Company’s Current Report on Form 8-K, filed with the SEC on December 3,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EE"/>
                  <w:sz w:val="20"/>
                  <w:u w:val="single"/>
                </w:rPr>
                <w:t>Restated Certificate of Incorporation of OPAL Fuels Inc.</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EE"/>
                  <w:sz w:val="20"/>
                  <w:u w:val="single"/>
                </w:rPr>
                <w:t>Bylaws of OPAL Fuels Inc. (incorporated by reference to Exhibit 3.2 to the Current Report on Form 8-K filed by the Company on July 27, 2022)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EE"/>
                  <w:sz w:val="20"/>
                  <w:u w:val="single"/>
                </w:rPr>
                <w:t>Specimen Warrant Certificate (incorporated by reference to Exhibit 4.3 to the Registration Statement on Form S-1 (File No. 333-252730) filed by the Registrant on March 8, 2021).</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EE"/>
                  <w:sz w:val="20"/>
                  <w:u w:val="single"/>
                </w:rPr>
                <w:t>Warrant Agreement between Continental Stock Transfer &amp; Trust Company and ArcLight Clean Transition Corp. II, dated March 22, 2021 (incorporated by reference to Exhibit 4.1 to the Current Report on Form 8-K filed by the Company on March 26,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OPAL Fuels Inc. Short-Term Incentive Plan (incorporated by reference to the Annual Report on Form 10-K filed by the Company on March 28, 2023).</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OPAL Fuels Inc. Short-Term Incentive Plan (incorporated by reference to the Annual Report on Form 10-K filed by the Company on March 28,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Form of Stock Option Grant Notice and Option Agreement (incorporated by reference to the Annual Report on Form 10-K filed by the Company on March 28, 2023).</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Form of Performance Restricted Stock Unit Award Grant Notice and Award Agreement (incorporated by reference to the Annual Report on Form 10-K filed by the Company on March 28,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EE"/>
                  <w:sz w:val="20"/>
                  <w:u w:val="single"/>
                </w:rPr>
                <w:t>Opinion of Sheppard, Mullin, Richter &amp; Hampton LLP</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EE"/>
                  <w:sz w:val="20"/>
                  <w:u w:val="single"/>
                </w:rPr>
                <w:t>Form of OPAL Indemnification Agreement (incorporated by reference to Exhibit 10.1 to the Registration Statement on Form S-4 (File No. 333-262583), filed on May 6, 2022).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EE"/>
                  <w:sz w:val="20"/>
                  <w:u w:val="single"/>
                </w:rPr>
                <w:t>2022 Omnibus Equity Incentive Plan (incorporated by reference to Exhibit 10.2 to the Current Report on Form 8-K filed by the Company on July 27, 2022).</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EE"/>
                  <w:sz w:val="20"/>
                  <w:u w:val="single"/>
                </w:rPr>
                <w:t>Letter Agreement, dated as of March 25, 2021, by and among ArcLight CTC Holdings II, L.P., ArcLight Clean Transition Corp. II and certain other parties thereto (incorporated by referenced to Exhibit 10.4 to the Company’s Current Report on Form 8-K filed by the Registrant on March 26, 2021).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EE"/>
                  <w:sz w:val="20"/>
                  <w:u w:val="single"/>
                </w:rPr>
                <w:t>Sponsor Letter Agreement, dated as of December 2, 2021, by and among OPAL Fuels LLC, ArcLight Clean Transition Corp. II and certain other parties thereto (incorporated by reference to incorporated by referenced to Exhibit 10.2 to the Company’s Current Report on Form 8-K filed by the Registrant on December 3, 2021)</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EE"/>
                  <w:sz w:val="20"/>
                  <w:u w:val="single"/>
                </w:rPr>
                <w:t>Form of Subscription Agreement (incorporated by reference to Exhibit 10.1 of the Company’s Current Report on Form 8-K, filed with the SEC on December 3, 2021)</w:t>
              </w:r>
            </w:hyperlink>
            <w:r>
              <w:rPr>
                <w:rFonts w:ascii="Times New Roman;sans-serif" w:hAnsi="Times New Roman;sans-serif"/>
                <w:b w:val="false"/>
                <w:color w:val="000000"/>
                <w:sz w:val="20"/>
              </w:rPr>
              <w:t>.</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EE"/>
                  <w:sz w:val="20"/>
                  <w:u w:val="single"/>
                </w:rPr>
                <w:t>Form of Amendment No. 1 to the Subscription Agreement (incorporated by reference to Exhibit 10.1 of the Company’s Current Report on Form 8-K, filed with the SEC on May 12, 2022).</w:t>
              </w:r>
            </w:hyperlink>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EE"/>
                  <w:sz w:val="20"/>
                  <w:u w:val="single"/>
                </w:rPr>
                <w:t>Tax Receivable Agreement, dated July 21, 2022, by and among OPAL Fuels Inc. and the persons named therein (incorporated by reference to Exhibit 10.6 to the Current Report on Form 8-K filed by the Company on July 27, 2022).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EE"/>
                  <w:sz w:val="20"/>
                  <w:u w:val="single"/>
                </w:rPr>
                <w:t>Investor Rights Agreement, dated July 21, 2022, by and among OPAL Fuels Inc., ArcLight CTC Holdings II, L.P., and the other persons named therein (incorporated by reference to Exhibit 10.7 to the Current Report on Form 8-K filed by the Company on July 27, 2022).</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2"/>
        <w:gridCol w:w="222"/>
        <w:gridCol w:w="226"/>
        <w:gridCol w:w="109"/>
        <w:gridCol w:w="109"/>
        <w:gridCol w:w="109"/>
        <w:gridCol w:w="2801"/>
        <w:gridCol w:w="2641"/>
        <w:gridCol w:w="3736"/>
      </w:tblGrid>
      <w:tr>
        <w:trPr/>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1"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c>
          <w:tcPr>
            <w:tcW w:w="3736" w:type="dxa"/>
            <w:tcBorders/>
            <w:shd w:fill="auto" w:val="clear"/>
            <w:vAlign w:val="center"/>
          </w:tcPr>
          <w:p>
            <w:pPr>
              <w:pStyle w:val="TableContents"/>
              <w:spacing w:before="0" w:after="283"/>
              <w:rPr>
                <w:sz w:val="4"/>
                <w:szCs w:val="4"/>
              </w:rPr>
            </w:pPr>
            <w:r>
              <w:rPr>
                <w:sz w:val="4"/>
                <w:szCs w:val="4"/>
              </w:rPr>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EE"/>
                  <w:sz w:val="20"/>
                  <w:u w:val="single"/>
                </w:rPr>
                <w:t>Second A&amp;R LLC Agreement of OPAL Fuels, including any Certificates of Designations (incorporated by reference to Exhibit 10.8 to the Current Report on Form 8-K filed by the Company on July 27, 2022).</w:t>
              </w:r>
            </w:hyperlink>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1">
              <w:r>
                <w:rPr>
                  <w:rStyle w:val="InternetLink"/>
                  <w:rFonts w:ascii="Times New Roman;sans-serif" w:hAnsi="Times New Roman;sans-serif"/>
                  <w:b w:val="false"/>
                  <w:color w:val="0000EE"/>
                  <w:sz w:val="20"/>
                  <w:u w:val="single"/>
                </w:rPr>
                <w:t>Delayed Draw Term Loan and Guaranty Agreement, dated October 22, 2021, by and among OPAL Fuels Intermediate Holdco LLC, the Guarantors named on the signature pages thereto, and the Lenders (as defined therein), and Bank of America, N.A., as Administrative Agent for the Lenders (incorporated by reference to Exhibit 10.8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EE"/>
                  <w:sz w:val="20"/>
                  <w:u w:val="single"/>
                </w:rPr>
                <w:t>Amendment No. 1 to Delayed Draw Term Loan and Guaranty Agreement and Waiver, dated February 1, 2022 (incorporated by reference to Exhibit 10.9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EE"/>
                  <w:sz w:val="20"/>
                  <w:u w:val="single"/>
                </w:rPr>
                <w:t>Environmental Attributes Purchase and Sale Agreement, dated November 29, 2021, by and between, on the one hand, NextEra Energy Marketing, LLC and, on the other hand, TruStar Energy LLC and OPAL Fuels LLC (incorporated by reference to Exhibit 10.10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EE"/>
                  <w:sz w:val="20"/>
                  <w:u w:val="single"/>
                </w:rPr>
                <w:t>Administrative Services Agreement, dated December 31, 2021, by and between OPAL Fuels and Fortistar Services 2 LLC (incorporated by reference to Exhibit 10.11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EE"/>
                  <w:sz w:val="20"/>
                  <w:u w:val="single"/>
                </w:rPr>
                <w:t>Indemnification and Hold Harmless Agreement, dated December 31, 2020, by and between OPAL Fuels LLC and Fortistar LLC (incorporated by reference to Exhibit 10.12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EE"/>
                  <w:sz w:val="20"/>
                  <w:u w:val="single"/>
                </w:rPr>
                <w:t>Flue Gas Offtake and Preferred Partner Agreement, dated November 29, 2021, by and between CarbonFree Chemicals Holdings, LLC and OPAL Fuels LLC (incorporated by reference to Exhibit 10.13 to the Registration Statement on Form S-4 (File No. 333-262583), filed on March 25, 2022)</w:t>
              </w:r>
            </w:hyperlink>
            <w:r>
              <w:rPr>
                <w:rFonts w:ascii="Times New Roman;sans-serif" w:hAnsi="Times New Roman;sans-serif"/>
                <w:b w:val="false"/>
                <w:color w:val="000000"/>
                <w:sz w:val="20"/>
              </w:rPr>
              <w: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EE"/>
                  <w:sz w:val="20"/>
                  <w:u w:val="single"/>
                </w:rPr>
                <w:t>Amendment No. 3 to Delayed Draw Term Loan and Guaranty Agreement, dated September 29, 2022 (incorporated by reference to Exhibit 10.1 to the Current Report on Form 8-K filed by the Company on October 3, 2022).</w:t>
              </w:r>
            </w:hyperlink>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EE"/>
                  <w:sz w:val="20"/>
                  <w:u w:val="single"/>
                </w:rPr>
                <w:t>Form of Stock Award Agreement dated September 15, 2022 (incorporated by reference to Exhibit 10.1 to the Current Report on Form 8-K filed by the Company on September 19, 2022).</w:t>
              </w:r>
            </w:hyperlink>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EE"/>
                  <w:sz w:val="20"/>
                  <w:u w:val="single"/>
                </w:rPr>
                <w:t>List of subsidiaries (incorporated by reference to Exhibit 21.1 to the Current Report on Form 8-K filed by the Company on July 27, 2022).</w:t>
              </w:r>
            </w:hyperlink>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draftofconsentletterforopal.htm">
              <w:r>
                <w:rPr>
                  <w:rStyle w:val="InternetLink"/>
                  <w:rFonts w:ascii="Times New Roman;sans-serif" w:hAnsi="Times New Roman;sans-serif"/>
                  <w:b w:val="false"/>
                  <w:color w:val="0000EE"/>
                  <w:sz w:val="20"/>
                  <w:u w:val="single"/>
                </w:rPr>
                <w:t>Consent of BDO USA, LLP, independent registered accounting firm for OPAL Fuels Inc.</w:t>
              </w:r>
            </w:hyperlink>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EE"/>
                  <w:sz w:val="20"/>
                  <w:u w:val="single"/>
                </w:rPr>
                <w:t>Consent of Sheppard, Mullin, Richter &amp; Hampton LLP (included as part of Exhibit 5.1).</w:t>
              </w:r>
            </w:hyperlink>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Pr>
                <w:t>Power of attorney (</w:t>
              </w:r>
            </w:hyperlink>
            <w:hyperlink r:id="rId32">
              <w:r>
                <w:rPr>
                  <w:rStyle w:val="InternetLink"/>
                </w:rPr>
                <w:t>included</w:t>
              </w:r>
            </w:hyperlink>
            <w:hyperlink r:id="rId33">
              <w:r>
                <w:rPr>
                  <w:rStyle w:val="InternetLink"/>
                </w:rPr>
                <w:t xml:space="preserve"> in the signature page to the initial filing of this registration statement)</w:t>
              </w:r>
            </w:hyperlink>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0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Filing Fee Table</w:t>
              </w:r>
            </w:hyperlink>
          </w:p>
        </w:tc>
      </w:tr>
    </w:tbl>
    <w:p>
      <w:pPr>
        <w:pStyle w:val="TextBody"/>
        <w:spacing w:lineRule="auto" w:line="240" w:before="0" w:after="0"/>
        <w:rPr>
          <w:color w:val="000000"/>
        </w:rPr>
      </w:pPr>
      <w:r>
        <w:rPr>
          <w:color w:val="000000"/>
        </w:rPr>
        <w:t> </w:t>
      </w:r>
    </w:p>
    <w:tbl>
      <w:tblPr>
        <w:tblW w:w="1827" w:type="dxa"/>
        <w:jc w:val="left"/>
        <w:tblInd w:w="0" w:type="dxa"/>
        <w:tblCellMar>
          <w:top w:w="28" w:type="dxa"/>
          <w:left w:w="28" w:type="dxa"/>
          <w:bottom w:w="28" w:type="dxa"/>
          <w:right w:w="28" w:type="dxa"/>
        </w:tblCellMar>
      </w:tblPr>
      <w:tblGrid>
        <w:gridCol w:w="124"/>
        <w:gridCol w:w="109"/>
        <w:gridCol w:w="109"/>
        <w:gridCol w:w="435"/>
        <w:gridCol w:w="435"/>
        <w:gridCol w:w="6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bl>
    <w:p>
      <w:pPr>
        <w:pStyle w:val="TextBody"/>
        <w:spacing w:before="0" w:after="0"/>
        <w:rPr/>
      </w:pPr>
      <w:r>
        <w:rPr/>
      </w:r>
    </w:p>
    <w:tbl>
      <w:tblPr>
        <w:tblW w:w="2034" w:type="dxa"/>
        <w:jc w:val="left"/>
        <w:tblInd w:w="0" w:type="dxa"/>
        <w:tblCellMar>
          <w:top w:w="28" w:type="dxa"/>
          <w:left w:w="28" w:type="dxa"/>
          <w:bottom w:w="28" w:type="dxa"/>
          <w:right w:w="28" w:type="dxa"/>
        </w:tblCellMar>
      </w:tblPr>
      <w:tblGrid>
        <w:gridCol w:w="124"/>
        <w:gridCol w:w="109"/>
        <w:gridCol w:w="109"/>
        <w:gridCol w:w="109"/>
        <w:gridCol w:w="109"/>
        <w:gridCol w:w="109"/>
        <w:gridCol w:w="400"/>
        <w:gridCol w:w="400"/>
        <w:gridCol w:w="5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Exhibit omitted pursuant to Regulation S-K Item 601(b)(2). The Company agrees to furnish supplementally a copy of any omitted schedule or exhibit to the SEC upon request.</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tc>
      </w:tr>
    </w:tbl>
    <w:p>
      <w:pPr>
        <w:pStyle w:val="TextBody"/>
        <w:spacing w:lineRule="auto" w:line="240" w:before="0" w:after="0"/>
        <w:ind w:left="0" w:right="0" w:firstLine="360"/>
        <w:rPr>
          <w:color w:val="000000"/>
        </w:rPr>
      </w:pPr>
      <w:r>
        <w:rPr>
          <w:color w:val="000000"/>
        </w:rPr>
        <w:t> </w:t>
      </w:r>
    </w:p>
    <w:p>
      <w:pPr>
        <w:pStyle w:val="TextBody"/>
        <w:spacing w:lineRule="auto" w:line="240" w:before="0" w:after="0"/>
        <w:ind w:left="0" w:right="0" w:firstLine="360"/>
        <w:rPr/>
      </w:pPr>
      <w:r>
        <w:rPr>
          <w:rFonts w:ascii="Times New Roman;sans-serif" w:hAnsi="Times New Roman;sans-serif"/>
          <w:b w:val="false"/>
          <w:color w:val="000000"/>
          <w:sz w:val="20"/>
        </w:rPr>
        <w:t>(b)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515"/>
        <w:gridCol w:w="2975"/>
        <w:gridCol w:w="2990"/>
        <w:gridCol w:w="109"/>
        <w:gridCol w:w="109"/>
        <w:gridCol w:w="109"/>
        <w:gridCol w:w="116"/>
        <w:gridCol w:w="116"/>
        <w:gridCol w:w="166"/>
      </w:tblGrid>
      <w:tr>
        <w:trPr/>
        <w:tc>
          <w:tcPr>
            <w:tcW w:w="351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Report of Independent Registered Public Accounting Firm (BDO USA, LLP; Stamford, CT; PCAOB ID No.</w:t>
            </w:r>
            <w:r>
              <w:rPr>
                <w:rFonts w:ascii="Times New Roman;sans-serif" w:hAnsi="Times New Roman;sans-serif"/>
                <w:b w:val="false"/>
                <w:color w:val="000000"/>
                <w:sz w:val="20"/>
              </w:rPr>
              <w:t>243</w:t>
            </w:r>
            <w:r>
              <w:rPr>
                <w:rFonts w:ascii="Times New Roman;sans-serif" w:hAnsi="Times New Roman;sans-serif"/>
                <w:b w:val="false"/>
                <w:color w:val="0000FF"/>
                <w:sz w:val="20"/>
                <w:u w:val="single"/>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F-1</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Balance Sheets as of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F-2</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Operations for the years ended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F-4</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Comprehensive Income for the years ended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F-5</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Consolidated Statements of Changes in Redeemable non-controlling interests, Redeemable preferred non-controlling interest and Stockholders' (deficit) Equity for the years ended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F-6</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Cash Flows for the years ended December 31, 2022 and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F-7</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F-9</w:t>
            </w:r>
          </w:p>
        </w:tc>
      </w:tr>
      <w:tr>
        <w:trPr/>
        <w:tc>
          <w:tcPr>
            <w:tcW w:w="9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White Plains, NY</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before="0" w:after="0"/>
        <w:rPr/>
      </w:pPr>
      <w:r>
        <w:rPr/>
      </w:r>
    </w:p>
    <w:p>
      <w:pPr>
        <w:pStyle w:val="TextBody"/>
        <w:spacing w:lineRule="auto" w:line="288" w:before="0" w:after="0"/>
        <w:ind w:left="0" w:right="0" w:firstLine="892"/>
        <w:jc w:val="both"/>
        <w:rPr/>
      </w:pPr>
      <w:r>
        <w:rPr>
          <w:rFonts w:ascii="Times New Roman;sans-serif" w:hAnsi="Times New Roman;sans-serif"/>
          <w:b w:val="false"/>
          <w:color w:val="000000"/>
          <w:sz w:val="20"/>
        </w:rPr>
        <w:t>We have audited the accompanying consolidated balance sheets of OPAL Fuels Inc. and its subsidiaries (the “Company”) as of December 31, 2022 and 2021, the related consolidated statements of operations and comprehensive income, changes in redeemable non-controlling interest, redeemable preferred non-controlling interest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spacing w:before="0" w:after="0"/>
        <w:ind w:left="0" w:right="0" w:firstLine="892"/>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11 “Related Parties”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Stamford, CT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733"/>
        <w:gridCol w:w="2276"/>
        <w:gridCol w:w="2268"/>
        <w:gridCol w:w="206"/>
        <w:gridCol w:w="777"/>
        <w:gridCol w:w="114"/>
        <w:gridCol w:w="109"/>
        <w:gridCol w:w="109"/>
        <w:gridCol w:w="109"/>
        <w:gridCol w:w="270"/>
        <w:gridCol w:w="1017"/>
        <w:gridCol w:w="217"/>
      </w:tblGrid>
      <w:tr>
        <w:trPr/>
        <w:tc>
          <w:tcPr>
            <w:tcW w:w="2733"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7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00"/>
              <w:jc w:val="center"/>
              <w:rPr/>
            </w:pPr>
            <w:r>
              <w:rPr>
                <w:rFonts w:ascii="Times New Roman;sans-serif" w:hAnsi="Times New Roman;sans-serif"/>
                <w:b/>
                <w:color w:val="000000"/>
                <w:sz w:val="18"/>
              </w:rPr>
              <w:t xml:space="preserve">December 31, 2021 </w:t>
            </w:r>
            <w:r>
              <w:rPr>
                <w:rFonts w:ascii="Times New Roman;sans-serif" w:hAnsi="Times New Roman;sans-serif"/>
                <w:b/>
                <w:color w:val="000000"/>
                <w:sz w:val="12"/>
              </w:rPr>
              <w:t>(1)</w:t>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$12,506 and $1,991 at December 31, 2022 and December 31, 2021, respectively, related to consolidated VIEs)</w:t>
            </w:r>
          </w:p>
        </w:tc>
        <w:tc>
          <w:tcPr>
            <w:tcW w:w="20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$966 and $40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$6,971 and $—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$415 and $113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86,975 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$73,140 and $27,794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$2,923 and $1,163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$4,896 and $544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12,581 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$7,821 and $1,722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$646 and $—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21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21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63"/>
        <w:gridCol w:w="2388"/>
        <w:gridCol w:w="2398"/>
        <w:gridCol w:w="196"/>
        <w:gridCol w:w="736"/>
        <w:gridCol w:w="109"/>
        <w:gridCol w:w="109"/>
        <w:gridCol w:w="109"/>
        <w:gridCol w:w="109"/>
        <w:gridCol w:w="196"/>
        <w:gridCol w:w="736"/>
        <w:gridCol w:w="156"/>
      </w:tblGrid>
      <w:tr>
        <w:trPr/>
        <w:tc>
          <w:tcPr>
            <w:tcW w:w="2963" w:type="dxa"/>
            <w:tcBorders/>
            <w:shd w:fill="auto" w:val="clear"/>
            <w:vAlign w:val="center"/>
          </w:tcPr>
          <w:p>
            <w:pPr>
              <w:pStyle w:val="TableContents"/>
              <w:spacing w:before="0" w:after="283"/>
              <w:rPr>
                <w:sz w:val="4"/>
                <w:szCs w:val="4"/>
              </w:rPr>
            </w:pPr>
            <w:r>
              <w:rPr>
                <w:sz w:val="4"/>
                <w:szCs w:val="4"/>
              </w:rPr>
            </w:r>
          </w:p>
        </w:tc>
        <w:tc>
          <w:tcPr>
            <w:tcW w:w="2388" w:type="dxa"/>
            <w:tcBorders/>
            <w:shd w:fill="auto" w:val="clear"/>
            <w:vAlign w:val="center"/>
          </w:tcPr>
          <w:p>
            <w:pPr>
              <w:pStyle w:val="TableContents"/>
              <w:spacing w:before="0" w:after="283"/>
              <w:rPr>
                <w:sz w:val="4"/>
                <w:szCs w:val="4"/>
              </w:rPr>
            </w:pPr>
            <w:r>
              <w:rPr>
                <w:sz w:val="4"/>
                <w:szCs w:val="4"/>
              </w:rPr>
            </w:r>
          </w:p>
        </w:tc>
        <w:tc>
          <w:tcPr>
            <w:tcW w:w="239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$380 and $756 at December 31, 2022 and December 31, 2021,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$21,712 and $16,199 at December 31, 2022 and December 31, 2021,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138,142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30,210</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1,013,833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63,545</w:t>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2022; 29,477,766 and 0 shares, issued and outstanding at December 31, 2022 and December 31, 2021,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2022; None issued and outstanding as of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2022; None issued and outstanding as of December 31, 2022 and December 31, 2021</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2022; 144,399,037 issued and outstanding at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Retroactively restated for the reverse capitalization upon completion of Business Combination as described in Note 3. </w:t>
      </w:r>
      <w:r>
        <w:rPr>
          <w:rFonts w:ascii="Times New Roman;sans-serif" w:hAnsi="Times New Roman;sans-serif"/>
          <w:b w:val="false"/>
          <w:i/>
          <w:color w:val="000000"/>
          <w:sz w:val="20"/>
        </w:rPr>
        <w:t>Business Combination.</w:t>
      </w:r>
      <w:r>
        <w:rPr>
          <w:color w:val="000000"/>
        </w:rPr>
        <w:t xml:space="preserve"> </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CellMar>
          <w:top w:w="28" w:type="dxa"/>
          <w:left w:w="28" w:type="dxa"/>
          <w:bottom w:w="28" w:type="dxa"/>
          <w:right w:w="28" w:type="dxa"/>
        </w:tblCellMar>
      </w:tblPr>
      <w:tblGrid>
        <w:gridCol w:w="2882"/>
        <w:gridCol w:w="2456"/>
        <w:gridCol w:w="2472"/>
        <w:gridCol w:w="202"/>
        <w:gridCol w:w="759"/>
        <w:gridCol w:w="109"/>
        <w:gridCol w:w="109"/>
        <w:gridCol w:w="109"/>
        <w:gridCol w:w="109"/>
        <w:gridCol w:w="196"/>
        <w:gridCol w:w="646"/>
        <w:gridCol w:w="156"/>
      </w:tblGrid>
      <w:tr>
        <w:trPr/>
        <w:tc>
          <w:tcPr>
            <w:tcW w:w="2882"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8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$76,920 and $0 for the years ended December 31, 2022 and 2021, respectively)</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$5,495 and $3,008 for the years ended December 31, 2022 and 2021, respectively)</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Income from equity method investments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25,774,312 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20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20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Note.14</w:t>
      </w:r>
      <w:r>
        <w:rPr>
          <w:color w:val="000000"/>
        </w:rPr>
        <w:t xml:space="preserve"> </w:t>
      </w:r>
      <w:r>
        <w:rPr>
          <w:rFonts w:ascii="Times New Roman;sans-serif" w:hAnsi="Times New Roman;sans-serif"/>
          <w:b w:val="false"/>
          <w:i/>
          <w:color w:val="000000"/>
          <w:sz w:val="18"/>
        </w:rPr>
        <w:t>Redeemable non-controlling interests, redeemable preferred non-controlling interests and stockholders' equity</w:t>
      </w:r>
      <w:r>
        <w:rPr>
          <w:color w:val="000000"/>
        </w:rPr>
        <w:t xml:space="preserve"> </w:t>
      </w:r>
      <w:r>
        <w:rPr>
          <w:rFonts w:ascii="Times New Roman;sans-serif" w:hAnsi="Times New Roman;sans-serif"/>
          <w:b w:val="false"/>
          <w:color w:val="000000"/>
          <w:sz w:val="18"/>
        </w:rPr>
        <w:t xml:space="preserve">for additional information. </w:t>
      </w:r>
    </w:p>
    <w:p>
      <w:pPr>
        <w:pStyle w:val="TextBody"/>
        <w:spacing w:lineRule="auto" w:line="288" w:before="200" w:after="20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Income per share information has not been presented for the year ended December 31, 2021</w:t>
      </w:r>
      <w:r>
        <w:rPr>
          <w:color w:val="000000"/>
        </w:rPr>
        <w:t xml:space="preserve"> </w:t>
      </w:r>
      <w:r>
        <w:rPr>
          <w:rFonts w:ascii="Times New Roman;sans-serif" w:hAnsi="Times New Roman;sans-serif"/>
          <w:b w:val="false"/>
          <w:color w:val="000000"/>
          <w:sz w:val="18"/>
        </w:rPr>
        <w:t xml:space="preserve">as it would not be meaningful to the users of these consolidated financial statements, Refer to Note 3. </w:t>
      </w:r>
      <w:r>
        <w:rPr>
          <w:rFonts w:ascii="Times New Roman;sans-serif" w:hAnsi="Times New Roman;sans-serif"/>
          <w:b w:val="false"/>
          <w:i/>
          <w:color w:val="000000"/>
          <w:sz w:val="18"/>
        </w:rPr>
        <w:t>Business Combination</w:t>
      </w:r>
      <w:r>
        <w:rPr>
          <w:rFonts w:ascii="Times New Roman;sans-serif" w:hAnsi="Times New Roman;sans-serif"/>
          <w:b w:val="false"/>
          <w:i/>
          <w:color w:val="000000"/>
          <w:sz w:val="2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17"/>
        <w:gridCol w:w="2118"/>
        <w:gridCol w:w="2137"/>
        <w:gridCol w:w="109"/>
        <w:gridCol w:w="109"/>
        <w:gridCol w:w="109"/>
        <w:gridCol w:w="275"/>
        <w:gridCol w:w="941"/>
        <w:gridCol w:w="142"/>
        <w:gridCol w:w="142"/>
        <w:gridCol w:w="142"/>
        <w:gridCol w:w="142"/>
        <w:gridCol w:w="275"/>
        <w:gridCol w:w="941"/>
        <w:gridCol w:w="206"/>
      </w:tblGrid>
      <w:tr>
        <w:trPr/>
        <w:tc>
          <w:tcPr>
            <w:tcW w:w="2417"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6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cash flow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comprehensive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pStyle w:val="TextBody"/>
        <w:spacing w:before="20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REDEEMABLE NON-CONTROLLING INTEREST, REDEEMABLE PREFERRED NON-CONTROLLING INTEREST AND STOCKHOLDERS' (DEFICIT)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spacing w:before="0" w:after="0"/>
        <w:jc w:val="center"/>
        <w:rPr/>
      </w:pPr>
      <w:r>
        <w:rPr/>
      </w:r>
    </w:p>
    <w:tbl>
      <w:tblPr>
        <w:tblW w:w="17690" w:type="dxa"/>
        <w:jc w:val="center"/>
        <w:tblInd w:w="0" w:type="dxa"/>
        <w:tblCellMar>
          <w:top w:w="28" w:type="dxa"/>
          <w:left w:w="28" w:type="dxa"/>
          <w:bottom w:w="28" w:type="dxa"/>
          <w:right w:w="28" w:type="dxa"/>
        </w:tblCellMar>
      </w:tblPr>
      <w:tblGrid>
        <w:gridCol w:w="690"/>
        <w:gridCol w:w="277"/>
        <w:gridCol w:w="279"/>
        <w:gridCol w:w="109"/>
        <w:gridCol w:w="109"/>
        <w:gridCol w:w="109"/>
        <w:gridCol w:w="190"/>
        <w:gridCol w:w="167"/>
        <w:gridCol w:w="109"/>
        <w:gridCol w:w="109"/>
        <w:gridCol w:w="109"/>
        <w:gridCol w:w="109"/>
        <w:gridCol w:w="229"/>
        <w:gridCol w:w="229"/>
        <w:gridCol w:w="233"/>
        <w:gridCol w:w="109"/>
        <w:gridCol w:w="109"/>
        <w:gridCol w:w="109"/>
        <w:gridCol w:w="306"/>
        <w:gridCol w:w="306"/>
        <w:gridCol w:w="304"/>
        <w:gridCol w:w="109"/>
        <w:gridCol w:w="109"/>
        <w:gridCol w:w="109"/>
        <w:gridCol w:w="225"/>
        <w:gridCol w:w="225"/>
        <w:gridCol w:w="226"/>
        <w:gridCol w:w="109"/>
        <w:gridCol w:w="109"/>
        <w:gridCol w:w="109"/>
        <w:gridCol w:w="336"/>
        <w:gridCol w:w="336"/>
        <w:gridCol w:w="334"/>
        <w:gridCol w:w="109"/>
        <w:gridCol w:w="109"/>
        <w:gridCol w:w="109"/>
        <w:gridCol w:w="225"/>
        <w:gridCol w:w="225"/>
        <w:gridCol w:w="226"/>
        <w:gridCol w:w="109"/>
        <w:gridCol w:w="109"/>
        <w:gridCol w:w="109"/>
        <w:gridCol w:w="280"/>
        <w:gridCol w:w="280"/>
        <w:gridCol w:w="281"/>
        <w:gridCol w:w="109"/>
        <w:gridCol w:w="109"/>
        <w:gridCol w:w="109"/>
        <w:gridCol w:w="340"/>
        <w:gridCol w:w="340"/>
        <w:gridCol w:w="341"/>
        <w:gridCol w:w="109"/>
        <w:gridCol w:w="109"/>
        <w:gridCol w:w="109"/>
        <w:gridCol w:w="385"/>
        <w:gridCol w:w="385"/>
        <w:gridCol w:w="386"/>
        <w:gridCol w:w="109"/>
        <w:gridCol w:w="109"/>
        <w:gridCol w:w="109"/>
        <w:gridCol w:w="420"/>
        <w:gridCol w:w="420"/>
        <w:gridCol w:w="421"/>
        <w:gridCol w:w="327"/>
        <w:gridCol w:w="1036"/>
        <w:gridCol w:w="327"/>
        <w:gridCol w:w="1201"/>
        <w:gridCol w:w="327"/>
        <w:gridCol w:w="1246"/>
      </w:tblGrid>
      <w:tr>
        <w:trPr/>
        <w:tc>
          <w:tcPr>
            <w:tcW w:w="69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Legacy Common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previously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$30,459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recapitalization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adjusted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6,699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41,573</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3,158</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preferred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2,021,587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(9,124)</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7,531</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(3,695)</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639</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entities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1,202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63,545</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29,597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1,093</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 issuance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(267)</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the reverse recapitalization and PIPE Investments, net of warrant liability, put option and earnout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22,611,857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 Payable to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Private and 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3,806,376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18,061</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(804,204)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23,234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(132)</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(183)</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1,299</w:t>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7,932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(7,188)</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29,477,766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$(800,813)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$(774,156)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$138,142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$1,013,833</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spacing w:before="0" w:after="0"/>
        <w:jc w:val="center"/>
        <w:rPr/>
      </w:pPr>
      <w:r>
        <w:rPr/>
      </w:r>
    </w:p>
    <w:tbl>
      <w:tblPr>
        <w:tblW w:w="8739" w:type="dxa"/>
        <w:jc w:val="left"/>
        <w:tblInd w:w="0" w:type="dxa"/>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646"/>
        <w:gridCol w:w="154"/>
      </w:tblGrid>
      <w:tr>
        <w:trPr/>
        <w:tc>
          <w:tcPr>
            <w:tcW w:w="2342"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exchange of Warrants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PPA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repayment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r>
              <w:rPr>
                <w:rFonts w:ascii="Times New Roman;sans-serif" w:hAnsi="Times New Roman;sans-serif"/>
                <w:b w:val="false"/>
                <w:color w:val="000000"/>
                <w:sz w:val="18"/>
              </w:rPr>
              <w:t>Gain on acquisition of equity method investment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on previously recorded paid-in-kind interest income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 on acquisition of equity method investment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VIEs, net of cash</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short term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Capitalized interest attributable to equity method investments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83"/>
        <w:gridCol w:w="2516"/>
        <w:gridCol w:w="2530"/>
        <w:gridCol w:w="196"/>
        <w:gridCol w:w="646"/>
        <w:gridCol w:w="109"/>
        <w:gridCol w:w="109"/>
        <w:gridCol w:w="109"/>
        <w:gridCol w:w="109"/>
        <w:gridCol w:w="196"/>
        <w:gridCol w:w="646"/>
        <w:gridCol w:w="156"/>
      </w:tblGrid>
      <w:tr>
        <w:trPr/>
        <w:tc>
          <w:tcPr>
            <w:tcW w:w="2883"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253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Note receivable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repayment of Note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received from Business Combination </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 - working capital facility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Trustar Revolver Facility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 related party</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non-redeemable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preferred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members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members</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$3,678 and $861 capitalized, respectively</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Convertible Note Payable related to business acquisition, excluding paid-in-kind interest</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Convertible Note Payable</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Derivative warrant liabilities assumed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Earnout liabilities related to Business Combination</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put option on a forward purchase agreement related to Business Combination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480"/>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spacing w:before="0" w:after="0"/>
        <w:ind w:left="0" w:right="0" w:hanging="48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highlight w:val="white"/>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On December 2, 2021, the Company, OPAL HoldCo LLC ("OPAL Holdco") and OPAL Fuels LLC, a Delaware limited liability company ("OPAL Fuels" or "Opco" ), entered into a business combination agreement </w:t>
      </w:r>
      <w:r>
        <w:rPr>
          <w:rFonts w:ascii="Times New Roman;sans-serif" w:hAnsi="Times New Roman;sans-serif"/>
          <w:b w:val="false"/>
          <w:color w:val="000000"/>
          <w:sz w:val="20"/>
          <w:highlight w:val="white"/>
        </w:rPr>
        <w:t>(as it may be amended, supplemented or otherwise modified from time to time, the “Business Combination Agreement”)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p>
    <w:p>
      <w:pPr>
        <w:pStyle w:val="TextBody"/>
        <w:spacing w:before="0" w:after="0"/>
        <w:ind w:left="0" w:right="0" w:firstLine="360"/>
        <w:jc w:val="both"/>
        <w:rPr/>
      </w:pPr>
      <w:r>
        <w:rPr/>
      </w:r>
    </w:p>
    <w:p>
      <w:pPr>
        <w:pStyle w:val="TextBody"/>
        <w:spacing w:lineRule="auto" w:line="28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 the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On December 22, 2022, the Company closed on the Offer and the Consent Solicitation. The Company issued 3,309,296 and 497,080 shares of Class A common stock in exchange for the 100% of the outstanding Warrants and recorded $25,920 as fair value of shares of Class A common stock issued based on the weighted average closing share price of $6.80 and $6.87 on December 22, 2022 and December 23, 2022, respectively. The Company recorded $3,368 as loss on exchange of warrants in its consolidated statement of operations for the year ended December 31, 2022. </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equity in the consolidated balance sheets and as a non-redeemable non-controlling interests in the consolidated statements of changes in redeemable non-controlling interests, redeemable preferred non-controlling interests and Stockholders' (deficit) equity.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Sunoma, GREP BTB Holdings LLC (“GREP”), Emerald RNG LLC (“Emerald”), Sapphire RNG LLC (“Sapphire”) and Central Valley. GREP has been presented as an equity method investment and the remaining four VIEs Sunoma,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Emerald, Sapphire and Central Valley are consolidated by the Company. Investments in unconsolidated entities in which the Company can influence the operating or financial decisions are accounted for under the equity method. As of December 31, 2022 and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ASC 842 as of January 1, 2022 and evaluated all of its contracts and recorded right-of-use assets and corresponding lease liabilities on its consolidated balance sheet as of December 31, 2022. The </w:t>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adoption of ASC 842, the Company elected the "package of 3" practical expedients permitted under the transition guidance which are described below in which the Company is:</w:t>
      </w:r>
    </w:p>
    <w:p>
      <w:pPr>
        <w:pStyle w:val="TextBody"/>
        <w:spacing w:lineRule="auto" w:line="288" w:before="240" w:after="283"/>
        <w:ind w:left="0" w:right="0" w:firstLine="720"/>
        <w:jc w:val="both"/>
        <w:rPr>
          <w:color w:val="000000"/>
        </w:rPr>
      </w:pPr>
      <w:r>
        <w:rPr>
          <w:color w:val="000000"/>
        </w:rPr>
        <w:t xml:space="preserve">• </w:t>
      </w:r>
      <w:r>
        <w:rPr>
          <w:rFonts w:ascii="Times New Roman;sans-serif" w:hAnsi="Times New Roman;sans-serif"/>
          <w:b w:val="false"/>
          <w:color w:val="000000"/>
          <w:sz w:val="20"/>
        </w:rPr>
        <w:t>Allowed not to reassess whether any expired or existing contracts are or contain leases.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any expired or existing lease classifications.</w:t>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Allowed not to reassess initial direct costs for any existing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use the practical expedient of hindsight in determining the lease term and in assessing the impairment of the Company's lease right-of-use assets.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not to recognize right-of-use assets and related lease liabilities for short term leases with the original lease term of less than 12 months.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As required by ASC 842, the Company's disclosures around its leasing activities have been significantly expanded to enable users of our consolidated financial statements to assess the amount, timing and uncertainty of cash flows arising from lease arrangements. Please see Note 9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This standard is effective for the Company from March 31, 2023. The Company does not expect to have a material impact to its financial statements upon adoption. </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June 2022, the FASB issued Accounting Standards Update ("ASU") 2022-03,</w:t>
      </w:r>
      <w:r>
        <w:rPr>
          <w:color w:val="000000"/>
        </w:rPr>
        <w:t xml:space="preserve"> </w:t>
      </w:r>
      <w:r>
        <w:rPr>
          <w:rFonts w:ascii="Times New Roman;sans-serif" w:hAnsi="Times New Roman;sans-serif"/>
          <w:b w:val="false"/>
          <w:i/>
          <w:color w:val="000000"/>
          <w:sz w:val="20"/>
        </w:rPr>
        <w:t xml:space="preserve">Fair Value Measurement of Equity Securities Subject to Contractual Sale Restrictions </w:t>
      </w:r>
      <w:r>
        <w:rPr>
          <w:rFonts w:ascii="Times New Roman;sans-serif" w:hAnsi="Times New Roman;sans-serif"/>
          <w:b w:val="false"/>
          <w:color w:val="000000"/>
          <w:sz w:val="20"/>
        </w:rPr>
        <w:t>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December 31, 2022 and December 31, 2021</w:t>
      </w:r>
    </w:p>
    <w:tbl>
      <w:tblPr>
        <w:tblW w:w="6459" w:type="dxa"/>
        <w:jc w:val="left"/>
        <w:tblInd w:w="0" w:type="dxa"/>
        <w:tblCellMar>
          <w:top w:w="28" w:type="dxa"/>
          <w:left w:w="28" w:type="dxa"/>
          <w:bottom w:w="28" w:type="dxa"/>
          <w:right w:w="28" w:type="dxa"/>
        </w:tblCellMar>
      </w:tblPr>
      <w:tblGrid>
        <w:gridCol w:w="1259"/>
        <w:gridCol w:w="1105"/>
        <w:gridCol w:w="1116"/>
        <w:gridCol w:w="109"/>
        <w:gridCol w:w="109"/>
        <w:gridCol w:w="109"/>
        <w:gridCol w:w="235"/>
        <w:gridCol w:w="775"/>
        <w:gridCol w:w="130"/>
        <w:gridCol w:w="109"/>
        <w:gridCol w:w="109"/>
        <w:gridCol w:w="109"/>
        <w:gridCol w:w="233"/>
        <w:gridCol w:w="769"/>
        <w:gridCol w:w="183"/>
      </w:tblGrid>
      <w:tr>
        <w:trPr/>
        <w:tc>
          <w:tcPr>
            <w:tcW w:w="125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32,402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left"/>
              <w:rPr>
                <w:color w:val="000000"/>
              </w:rPr>
            </w:pPr>
            <w:r>
              <w:rPr>
                <w:color w:val="000000"/>
              </w:rPr>
              <w:t>—</w:t>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primarily consists of (i) $16,849 held in escrow to secure the Company's purchase obligations under the forward purchase agreement with Meteora (See Note.3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for additional information). (ii) $5,845 equity contribution to a joint venture in connection with the closing of OPAL Term Loan II (iii) $1,127 relates to interest reserve on Sunoma Loan and (iv) $8,581 held in a restricted account for funding one of our RNG projects. </w:t>
      </w:r>
    </w:p>
    <w:p>
      <w:pPr>
        <w:pStyle w:val="TextBody"/>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$64,976 consists of cash received upon closing of the Business Combination invested in money market accounts with maturities ranging between 1 and 12 months as of December 31, 2022. The amounts in these money market accounts are liquid and available for general use.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other debt facilities. These costs were initially capitalized as incurred and recorded as Deferred financing costs in the consolidated balance sheet. Upon the completion of the Business Combination, transaction costs directly related to the issuance of shares were recognized as an offset to additional paid-in capital within the consolidated statements of changes in redeemable non-controlling interest, redeemable preferred non-controlling interest and stockholders' (deficit) equity. The Company incurred $8,097 in transaction costs consisting of legal and professional fees, which were recorded as an offset to additional paid-in capital. As of December 31, 2022, the Company recorded $3,013 as deferred financing costs related to OPAL Term Loan II on its consolidated balance sheet. There have been no borrowings to date under that debt facility.</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Derivative warrant liabilities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the Public Warrants and Private Warrants upon the completion of the Business Combination. The Company accounted for warrants for shares of the Company's stock that are not indexed to its own stock as liabilities at fair value on the consolidated balance sheet. The warrants were remeasured at each balance sheet date and any change in fair value is recognized in the Company's consolidated statement of operations as part of change in fair value of derivative instruments, net. In December 2022, the Warrants were exchanged in an exchange offer for shares of Class A common stock. The loss on the exchange of $3,368 was recorded as part of Other (expense) income in its consolidated statement of operations for the year ended December 31, 2022. The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incurred $1147 in third party legal fees and advisor fees relating to the transaction which were expensed as incurred and included in Selling, general and administrative expenses in the consolidated statement of operations for the year ended December 31, 2022.</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Earnout Awards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2022, the Company recorded a total gain of $37,111 from the Sponsor and OPAL earn-out awards in its consolidated statement of operations.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 change in the fair market value recognized in the consolidated statement of operations as part of change in fair value of derivative instruments, net. For the year ended December 31, 2022, the Company recorded a gain of $134 in its consolidated statement of operations. See Note.3</w:t>
      </w:r>
      <w:r>
        <w:rPr>
          <w:color w:val="000000"/>
        </w:rPr>
        <w:t xml:space="preserve">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and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December 31, 2022, the Company recorded an adjustment of $908,008.</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issues stock-based compensation utilizing both stock options and stock grants.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Please see Note 17.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for additional information. Forfeitures are recognized as they occur.</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FASB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for accounting purposes, the transaction is treated as the equivalent of OPAL Fuels issuing stock for the net assets of ArcLight, accompanied by a recapitalization.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 at December 31, 2022 and December 31, 2021.</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Fuel Tax Credit Receivable/Payable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accrued federal fuel tax credits of $0.50 per gasoline gallon equivalent of CNG that the Company sold as vehicle fuel in 2022. At December 31, 2022 and 2021, fuel tax credits receivable were $4,144 and $2,393, respectively. Under the terms of its fuel sales agreements with certain of its customers, the Company is obligated to share portions of these tax credits. At December 31, 2022 and 2021, the amounts of fuel tax credits owed to customers were $3,320 and $1,978, respectively. The Company recorded its portion of tax credits earned as a reduction to cost of sales — RNG fuel in the consolidated statements of operations.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estimated the value of its total asset retirement obligations to be $6,256 and $5,738,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5143" w:type="dxa"/>
        <w:jc w:val="left"/>
        <w:tblInd w:w="0" w:type="dxa"/>
        <w:tblCellMar>
          <w:top w:w="28" w:type="dxa"/>
          <w:left w:w="28" w:type="dxa"/>
          <w:bottom w:w="28" w:type="dxa"/>
          <w:right w:w="28" w:type="dxa"/>
        </w:tblCellMar>
      </w:tblPr>
      <w:tblGrid>
        <w:gridCol w:w="1433"/>
        <w:gridCol w:w="1258"/>
        <w:gridCol w:w="1268"/>
        <w:gridCol w:w="256"/>
        <w:gridCol w:w="727"/>
        <w:gridCol w:w="201"/>
      </w:tblGrid>
      <w:tr>
        <w:trPr/>
        <w:tc>
          <w:tcPr>
            <w:tcW w:w="1433"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w:t>
            </w:r>
          </w:p>
        </w:tc>
        <w:tc>
          <w:tcPr>
            <w:tcW w:w="98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98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20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9. </w:t>
      </w:r>
      <w:r>
        <w:rPr>
          <w:rFonts w:ascii="Times New Roman;sans-serif" w:hAnsi="Times New Roman;sans-serif"/>
          <w:b w:val="false"/>
          <w:i/>
          <w:color w:val="000000"/>
          <w:sz w:val="20"/>
        </w:rPr>
        <w:t>Leases.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tbl>
      <w:tblPr>
        <w:tblW w:w="6051" w:type="dxa"/>
        <w:jc w:val="left"/>
        <w:tblInd w:w="0" w:type="dxa"/>
        <w:tblCellMar>
          <w:top w:w="28" w:type="dxa"/>
          <w:left w:w="28" w:type="dxa"/>
          <w:bottom w:w="28" w:type="dxa"/>
          <w:right w:w="28" w:type="dxa"/>
        </w:tblCellMar>
      </w:tblPr>
      <w:tblGrid>
        <w:gridCol w:w="1185"/>
        <w:gridCol w:w="1040"/>
        <w:gridCol w:w="1045"/>
        <w:gridCol w:w="109"/>
        <w:gridCol w:w="109"/>
        <w:gridCol w:w="109"/>
        <w:gridCol w:w="196"/>
        <w:gridCol w:w="736"/>
        <w:gridCol w:w="109"/>
        <w:gridCol w:w="109"/>
        <w:gridCol w:w="109"/>
        <w:gridCol w:w="109"/>
        <w:gridCol w:w="196"/>
        <w:gridCol w:w="736"/>
        <w:gridCol w:w="154"/>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 The Company classified them as operating leases under ASC 840 and made the election not to re-assess the classification upon adoption of ASC 842 on January 1, 2022. On August 25, 2022, one of the above fuel purchase agreements was amended which required the Company to re-assess the contract under ASC 842. The Company determined that the contract is no longer considered a lease under ASC 842. The lease revenue line above includes revenue for that contract only from January 1, 2022 to August 31, 2022. Please see Note.9 Leases for additional information.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and 2021, 21% and 28.9%, respectively of revenue was recognized over time, and the remainder was for products and services transferred at a point in time.</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5135" w:type="dxa"/>
        <w:jc w:val="left"/>
        <w:tblInd w:w="0" w:type="dxa"/>
        <w:tblCellMar>
          <w:top w:w="28" w:type="dxa"/>
          <w:left w:w="28" w:type="dxa"/>
          <w:bottom w:w="28" w:type="dxa"/>
          <w:right w:w="28" w:type="dxa"/>
        </w:tblCellMar>
      </w:tblPr>
      <w:tblGrid>
        <w:gridCol w:w="1038"/>
        <w:gridCol w:w="910"/>
        <w:gridCol w:w="916"/>
        <w:gridCol w:w="109"/>
        <w:gridCol w:w="109"/>
        <w:gridCol w:w="109"/>
        <w:gridCol w:w="196"/>
        <w:gridCol w:w="556"/>
        <w:gridCol w:w="109"/>
        <w:gridCol w:w="109"/>
        <w:gridCol w:w="109"/>
        <w:gridCol w:w="109"/>
        <w:gridCol w:w="196"/>
        <w:gridCol w:w="406"/>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redemption of Note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Contract Assets</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pStyle w:val="TextBody"/>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267" w:type="dxa"/>
        <w:jc w:val="left"/>
        <w:tblInd w:w="0" w:type="dxa"/>
        <w:tblCellMar>
          <w:top w:w="28" w:type="dxa"/>
          <w:left w:w="28" w:type="dxa"/>
          <w:bottom w:w="28" w:type="dxa"/>
          <w:right w:w="28" w:type="dxa"/>
        </w:tblCellMar>
      </w:tblPr>
      <w:tblGrid>
        <w:gridCol w:w="1311"/>
        <w:gridCol w:w="1148"/>
        <w:gridCol w:w="1156"/>
        <w:gridCol w:w="235"/>
        <w:gridCol w:w="775"/>
        <w:gridCol w:w="130"/>
        <w:gridCol w:w="109"/>
        <w:gridCol w:w="109"/>
        <w:gridCol w:w="109"/>
        <w:gridCol w:w="233"/>
        <w:gridCol w:w="769"/>
        <w:gridCol w:w="183"/>
      </w:tblGrid>
      <w:tr>
        <w:trPr/>
        <w:tc>
          <w:tcPr>
            <w:tcW w:w="1311"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2022, the Company recognized revenue of $9,785 that was included in "Contract liabilities" at December 31, 2021. During the twelve months ended December 31, 2021, the Company recognized revenue of $4,678 that was included in "Contract liabilities" at December 31, 2020.</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Parts Inventory</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 as of December 31, 2022 and 2021, respectively. Cost is determined using the average cost method.</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Capital Spares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pStyle w:val="TextBody"/>
        <w:spacing w:before="0" w:after="0"/>
        <w:rPr/>
      </w:pPr>
      <w:r>
        <w:rPr/>
      </w:r>
    </w:p>
    <w:tbl>
      <w:tblPr>
        <w:tblW w:w="5831" w:type="dxa"/>
        <w:jc w:val="left"/>
        <w:tblInd w:w="0" w:type="dxa"/>
        <w:tblCellMar>
          <w:top w:w="28" w:type="dxa"/>
          <w:left w:w="28" w:type="dxa"/>
          <w:bottom w:w="28" w:type="dxa"/>
          <w:right w:w="28" w:type="dxa"/>
        </w:tblCellMar>
      </w:tblPr>
      <w:tblGrid>
        <w:gridCol w:w="951"/>
        <w:gridCol w:w="834"/>
        <w:gridCol w:w="840"/>
        <w:gridCol w:w="109"/>
        <w:gridCol w:w="109"/>
        <w:gridCol w:w="109"/>
        <w:gridCol w:w="842"/>
        <w:gridCol w:w="842"/>
        <w:gridCol w:w="1195"/>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shorter of lease term or useful life </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years </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December 31, 2022, the Company had a backlog of $65,657 of which $58,258 is anticipated to be recognized as revenue in the next 12 months.</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Major maintenance is a component of maintenance expense and encompasses overhauls of internal combustion engines, gas compressors and electrical generators. Major maintenance is expensed as incurred. Major maintenance expense was $4,701 and $5,946 for the years ended December 31, 2022 and 2021 respectively, and is included in cost of sales — renewable power in the consolidated statements of operations.</w:t>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2022. As a result of these tests, the Company determined that the fair value of its reporting unit exceeded its carrying value and, thus, the Company determined that goodwill was not impaired.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Intangible Assets and Liabilities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spacing w:before="0" w:after="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2022 and 2021.</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pStyle w:val="TextBody"/>
        <w:spacing w:before="0" w:after="0"/>
        <w:ind w:left="0" w:right="0" w:firstLine="720"/>
        <w:jc w:val="both"/>
        <w:rPr/>
      </w:pPr>
      <w:r>
        <w:rPr/>
      </w:r>
    </w:p>
    <w:p>
      <w:pPr>
        <w:pStyle w:val="TextBody"/>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Derivative Instruments</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2022. Please see Note 10. Derivative Financial Instruments and fair value measurements for additional information.</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2022 and 2021. </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two customers accounted for 49% of revenue. For the year ended 2021, three customers accounted for 45% of revenue. At December 31, 2022, two customers accounted for 44% of accounts receivable. At December 31, 2021, two customers accounted for 26%, of accounts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spacing w:lineRule="auto" w:line="288" w:before="160" w:after="283"/>
        <w:ind w:left="0" w:right="0" w:firstLine="360"/>
        <w:jc w:val="both"/>
        <w:rPr/>
      </w:pPr>
      <w:r>
        <w:rPr>
          <w:rFonts w:ascii="Times New Roman;sans-serif" w:hAnsi="Times New Roman;sans-serif"/>
          <w:b w:val="false"/>
          <w:color w:val="000000"/>
          <w:sz w:val="20"/>
        </w:rPr>
        <w:t>As of December 31, 2022</w:t>
      </w:r>
      <w:r>
        <w:rPr>
          <w:color w:val="000000"/>
        </w:rPr>
        <w:t xml:space="preserve"> </w:t>
      </w:r>
      <w:r>
        <w:rPr>
          <w:rFonts w:ascii="Times New Roman;sans-serif" w:hAnsi="Times New Roman;sans-serif"/>
          <w:b w:val="false"/>
          <w:color w:val="000000"/>
          <w:sz w:val="20"/>
        </w:rPr>
        <w:t xml:space="preserve">one vendor accounted for 18.7% of the accounts payable. As of December 31, 2021, no vendors accounted for greater than 10% of the accounts payable. </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2022 and 2021, the Company did not identify any impairments on its investments in other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3.Business Combination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consummation of the Business Combination, the events summarized below, among others, occurred: </w:t>
      </w:r>
    </w:p>
    <w:p>
      <w:pPr>
        <w:pStyle w:val="TextBody"/>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consolidated financial statements. Each Class B unit is paired with 1 non-economic share of Class D common stock issued by the Company. </w:t>
      </w:r>
    </w:p>
    <w:p>
      <w:pPr>
        <w:pStyle w:val="TextBody"/>
        <w:spacing w:before="0" w:after="0"/>
        <w:ind w:left="0" w:right="0" w:firstLine="720"/>
        <w:rPr/>
      </w:pPr>
      <w:r>
        <w:rPr/>
      </w:r>
    </w:p>
    <w:p>
      <w:pPr>
        <w:pStyle w:val="TextBody"/>
        <w:spacing w:lineRule="auto" w:line="288" w:before="0" w:after="0"/>
        <w:ind w:left="0" w:right="0" w:firstLine="360"/>
        <w:jc w:val="both"/>
        <w:rPr/>
      </w:pPr>
      <w:r>
        <w:rPr>
          <w:color w:val="000000"/>
        </w:rPr>
        <w:t xml:space="preserve">• </w:t>
      </w:r>
      <w:r>
        <w:rPr>
          <w:rFonts w:ascii="Times New Roman;sans-serif" w:hAnsi="Times New Roman;sans-serif"/>
          <w:b w:val="false"/>
          <w:color w:val="000000"/>
          <w:sz w:val="20"/>
        </w:rPr>
        <w:t>ArcLight (i) contributed to OPAL Fuels $138,850 in cash net of transaction expenses of $9,770,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OPAL Fuels issued 25,671,390 Class A Units of OPAL Fuels to the Company; and</w:t>
      </w:r>
    </w:p>
    <w:p>
      <w:pPr>
        <w:pStyle w:val="TextBody"/>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val="false"/>
          <w:color w:val="000000"/>
          <w:sz w:val="20"/>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of December 31, 2022, Meteora sold 364,217 shares. Subsequent to the year end, the agreement terminated and the Company performed on its obligation to repurchase the 1,635,783 shares.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The fair value of the put option for the remaining 1,635,783 as of December 31, 2022 was estimated at $4,466. For the year ended December 31, 2022, the Company recorded a gain of $134 as change in fair value of derivative instruments, net in its Consolidated Statement of Operations.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sans-serif" w:hAnsi="Times New Roman;sans-serif"/>
          <w:b w:val="false"/>
          <w:i/>
          <w:color w:val="000000"/>
          <w:sz w:val="20"/>
        </w:rPr>
        <w:t>erivatives and Hedging</w:t>
      </w:r>
      <w:r>
        <w:rPr>
          <w:rFonts w:ascii="Times New Roman;sans-serif" w:hAnsi="Times New Roman;sans-serif"/>
          <w:b w:val="false"/>
          <w:color w:val="000000"/>
          <w:sz w:val="20"/>
        </w:rPr>
        <w:t>. The fair value of Sponsor Earnout Awards as of December 31, 2022 was estimated at $3,790. For the year ended December 31, 2022, the Company recorded a gain of $1,910 as change in fair value of derivative instruments, net in its consolidated statement of operations.</w:t>
      </w:r>
    </w:p>
    <w:p>
      <w:pPr>
        <w:pStyle w:val="TextBody"/>
        <w:ind w:left="0" w:right="0" w:firstLine="3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because they are considered indexed to an obligation to repurchase shares by delivering cash or other assets as a result of certain settlement provisions. The fair value of OPAL Earnout Awards as of December 31, 2022 was estimated at $5,000. For the year ended December 31, 2022, the Company recorded a gain of $35,200 as change in fair value of derivative instruments,net in its consolidated statements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Upon the completion of the business combination, the Company assumed the Public Warrants and Private Warrants. In December 2022, the Company successfully converted all the outstanding Warrants and issued shares of Class A common stock. Please see Note 1, </w:t>
      </w:r>
      <w:r>
        <w:rPr>
          <w:rFonts w:ascii="Times New Roman;sans-serif" w:hAnsi="Times New Roman;sans-serif"/>
          <w:b w:val="false"/>
          <w:i/>
          <w:color w:val="000000"/>
          <w:sz w:val="20"/>
        </w:rPr>
        <w:t>Description of Business</w:t>
      </w:r>
      <w:r>
        <w:rPr>
          <w:rFonts w:ascii="Times New Roman;sans-serif" w:hAnsi="Times New Roman;sans-serif"/>
          <w:b w:val="false"/>
          <w:color w:val="000000"/>
          <w:sz w:val="20"/>
        </w:rPr>
        <w:t xml:space="preserve">, for additional information. As of December 31, 2022, there are no Warrants outstanding.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elements of the Business Combination to the consolidated statements of cash flows and the consolidated statements of stockholders' equity for the year ended December 31, 2022:</w:t>
      </w:r>
    </w:p>
    <w:p>
      <w:pPr>
        <w:pStyle w:val="TextBody"/>
        <w:spacing w:before="0" w:after="0"/>
        <w:ind w:left="0" w:right="0" w:firstLine="360"/>
        <w:rPr/>
      </w:pPr>
      <w:r>
        <w:rPr/>
      </w:r>
    </w:p>
    <w:p>
      <w:pPr>
        <w:pStyle w:val="TextBody"/>
        <w:spacing w:before="0" w:after="0"/>
        <w:ind w:left="0" w:right="0" w:firstLine="360"/>
        <w:rPr/>
      </w:pPr>
      <w:r>
        <w:rPr/>
      </w:r>
    </w:p>
    <w:tbl>
      <w:tblPr>
        <w:tblW w:w="8666" w:type="dxa"/>
        <w:jc w:val="left"/>
        <w:tblInd w:w="0" w:type="dxa"/>
        <w:tblCellMar>
          <w:top w:w="28" w:type="dxa"/>
          <w:left w:w="28" w:type="dxa"/>
          <w:bottom w:w="28" w:type="dxa"/>
          <w:right w:w="28" w:type="dxa"/>
        </w:tblCellMar>
      </w:tblPr>
      <w:tblGrid>
        <w:gridCol w:w="2718"/>
        <w:gridCol w:w="2384"/>
        <w:gridCol w:w="2397"/>
        <w:gridCol w:w="109"/>
        <w:gridCol w:w="109"/>
        <w:gridCol w:w="109"/>
        <w:gridCol w:w="246"/>
        <w:gridCol w:w="246"/>
        <w:gridCol w:w="348"/>
      </w:tblGrid>
      <w:tr>
        <w:trPr/>
        <w:tc>
          <w:tcPr>
            <w:tcW w:w="2718" w:type="dxa"/>
            <w:tcBorders/>
            <w:shd w:fill="auto" w:val="clear"/>
            <w:vAlign w:val="center"/>
          </w:tcPr>
          <w:p>
            <w:pPr>
              <w:pStyle w:val="TableContents"/>
              <w:spacing w:before="0" w:after="283"/>
              <w:rPr>
                <w:sz w:val="4"/>
                <w:szCs w:val="4"/>
              </w:rPr>
            </w:pPr>
            <w:r>
              <w:rPr>
                <w:sz w:val="4"/>
                <w:szCs w:val="4"/>
              </w:rPr>
            </w:r>
          </w:p>
        </w:tc>
        <w:tc>
          <w:tcPr>
            <w:tcW w:w="2384" w:type="dxa"/>
            <w:tcBorders/>
            <w:shd w:fill="auto" w:val="clear"/>
            <w:vAlign w:val="center"/>
          </w:tcPr>
          <w:p>
            <w:pPr>
              <w:pStyle w:val="TableContents"/>
              <w:spacing w:before="0" w:after="283"/>
              <w:rPr>
                <w:sz w:val="4"/>
                <w:szCs w:val="4"/>
              </w:rPr>
            </w:pPr>
            <w:r>
              <w:rPr>
                <w:sz w:val="4"/>
                <w:szCs w:val="4"/>
              </w:rPr>
            </w:r>
          </w:p>
        </w:tc>
        <w:tc>
          <w:tcPr>
            <w:tcW w:w="2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proceeds from Arclight, net of redemptions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$17,775</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proceeds from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110,806</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 escrow account for the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20,040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transaction costs and under writing fees paid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(9,771)</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138,850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warrant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(13,524)</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earnout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(45,900)</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put option with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(4,600)</w:t>
            </w:r>
          </w:p>
        </w:tc>
      </w:tr>
      <w:tr>
        <w:trPr/>
        <w:tc>
          <w:tcPr>
            <w:tcW w:w="74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Less: Deferred financing costs recorded in additional paid-in-capital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(6,467)</w:t>
            </w:r>
          </w:p>
        </w:tc>
      </w:tr>
      <w:tr>
        <w:trPr/>
        <w:tc>
          <w:tcPr>
            <w:tcW w:w="7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additional paid-in capital from Business Combination recorded in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$68,359</w:t>
            </w:r>
          </w:p>
        </w:tc>
      </w:tr>
    </w:tbl>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$8,041 of Sponsor specific transaction costs paid at closing. </w:t>
      </w:r>
    </w:p>
    <w:p>
      <w:pPr>
        <w:pStyle w:val="TextBody"/>
        <w:spacing w:before="0" w:after="0"/>
        <w:ind w:left="0" w:right="0" w:firstLine="360"/>
        <w:rPr/>
      </w:pPr>
      <w:r>
        <w:rPr/>
      </w:r>
    </w:p>
    <w:p>
      <w:pPr>
        <w:pStyle w:val="TextBody"/>
        <w:spacing w:lineRule="auto" w:line="240" w:before="0" w:after="0"/>
        <w:ind w:left="0" w:right="0" w:firstLine="36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Excludes $1,630 of transaction costs paid at closing and recorded on OPAL Fuels' consolidated balance sheet prior to closing.</w:t>
      </w:r>
    </w:p>
    <w:p>
      <w:pPr>
        <w:pStyle w:val="TextBody"/>
        <w:spacing w:before="0" w:after="0"/>
        <w:ind w:left="0" w:right="0" w:firstLine="36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the Company's Class A common stock outstanding immediately following the closing of the Business Combination was 25,671,390, consisting of the following:</w:t>
      </w:r>
    </w:p>
    <w:p>
      <w:pPr>
        <w:pStyle w:val="TextBody"/>
        <w:spacing w:before="0" w:after="0"/>
        <w:ind w:left="0" w:right="0" w:firstLine="360"/>
        <w:rPr/>
      </w:pPr>
      <w:r>
        <w:rPr/>
      </w:r>
    </w:p>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372" w:type="dxa"/>
        <w:jc w:val="left"/>
        <w:tblInd w:w="0" w:type="dxa"/>
        <w:tblCellMar>
          <w:top w:w="28" w:type="dxa"/>
          <w:left w:w="28" w:type="dxa"/>
          <w:bottom w:w="28" w:type="dxa"/>
          <w:right w:w="28" w:type="dxa"/>
        </w:tblCellMar>
      </w:tblPr>
      <w:tblGrid>
        <w:gridCol w:w="1761"/>
        <w:gridCol w:w="1546"/>
        <w:gridCol w:w="1552"/>
        <w:gridCol w:w="109"/>
        <w:gridCol w:w="109"/>
        <w:gridCol w:w="109"/>
        <w:gridCol w:w="345"/>
        <w:gridCol w:w="345"/>
        <w:gridCol w:w="496"/>
      </w:tblGrid>
      <w:tr>
        <w:trPr/>
        <w:tc>
          <w:tcPr>
            <w:tcW w:w="1761"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Public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1,752,181</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Class A - Sponsor shares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7,779,076</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PIPE investors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11,080,600</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 Forward Purchase Agreement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2,000,000</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3,059,533</w:t>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25,671,390</w:t>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D - Opal Fuels equity holders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issued upon closing of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170,070,427</w:t>
            </w:r>
          </w:p>
        </w:tc>
      </w:tr>
    </w:tbl>
    <w:p>
      <w:pPr>
        <w:pStyle w:val="TextBody"/>
        <w:spacing w:before="0" w:after="0"/>
        <w:ind w:left="0" w:right="0" w:firstLine="360"/>
        <w:rPr/>
      </w:pPr>
      <w:r>
        <w:rPr/>
      </w:r>
    </w:p>
    <w:p>
      <w:pPr>
        <w:pStyle w:val="TextBody"/>
        <w:spacing w:lineRule="auto" w:line="240" w:before="0" w:after="0"/>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Includes 763,908 Sponsor Earnout Awards subject to vesting and forfeiture conditions.</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$8,097 in transaction costs relating to the Business Combination which were recorded as an offset to additional paid-in capital in the consolidated Statements of Changes in Redeemable preferred units and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Investment in Other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(loss) income from equity method investments.</w:t>
      </w:r>
    </w:p>
    <w:p>
      <w:pPr>
        <w:pStyle w:val="TextBody"/>
        <w:spacing w:before="160" w:after="283"/>
        <w:ind w:left="0" w:right="0" w:firstLine="36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tbl>
      <w:tblPr>
        <w:tblW w:w="10205" w:type="dxa"/>
        <w:jc w:val="left"/>
        <w:tblInd w:w="0" w:type="dxa"/>
        <w:tblCellMar>
          <w:top w:w="28" w:type="dxa"/>
          <w:left w:w="28" w:type="dxa"/>
          <w:bottom w:w="28" w:type="dxa"/>
          <w:right w:w="28" w:type="dxa"/>
        </w:tblCellMar>
      </w:tblPr>
      <w:tblGrid>
        <w:gridCol w:w="1678"/>
        <w:gridCol w:w="1350"/>
        <w:gridCol w:w="1357"/>
        <w:gridCol w:w="109"/>
        <w:gridCol w:w="109"/>
        <w:gridCol w:w="109"/>
        <w:gridCol w:w="314"/>
        <w:gridCol w:w="305"/>
        <w:gridCol w:w="274"/>
        <w:gridCol w:w="109"/>
        <w:gridCol w:w="109"/>
        <w:gridCol w:w="109"/>
        <w:gridCol w:w="359"/>
        <w:gridCol w:w="316"/>
        <w:gridCol w:w="312"/>
        <w:gridCol w:w="109"/>
        <w:gridCol w:w="109"/>
        <w:gridCol w:w="109"/>
        <w:gridCol w:w="224"/>
        <w:gridCol w:w="224"/>
        <w:gridCol w:w="228"/>
        <w:gridCol w:w="109"/>
        <w:gridCol w:w="109"/>
        <w:gridCol w:w="109"/>
        <w:gridCol w:w="261"/>
        <w:gridCol w:w="261"/>
        <w:gridCol w:w="266"/>
        <w:gridCol w:w="109"/>
        <w:gridCol w:w="109"/>
        <w:gridCol w:w="109"/>
        <w:gridCol w:w="243"/>
        <w:gridCol w:w="243"/>
        <w:gridCol w:w="355"/>
      </w:tblGrid>
      <w:tr>
        <w:trPr/>
        <w:tc>
          <w:tcPr>
            <w:tcW w:w="1678"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Beacon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2,268</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Acquisition of remaining ownership interest in Beacon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Deconsolidation of VIEs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45,704</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47,150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Additional investment representing capitalized interest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comprehensive income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from equity method investments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5,784</w:t>
            </w:r>
          </w:p>
        </w:tc>
      </w:tr>
      <w:tr>
        <w:trPr/>
        <w:tc>
          <w:tcPr>
            <w:tcW w:w="4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4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$51,765</w:t>
            </w:r>
          </w:p>
        </w:tc>
      </w:tr>
    </w:tbl>
    <w:p>
      <w:pPr>
        <w:pStyle w:val="TextBody"/>
        <w:spacing w:lineRule="auto" w:line="288" w:before="200" w:after="20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acquired 50% of the remaining ownership in Beacon in May 2021 and fully consolidated the entity in the consolidated financial statements after May 1, 2021.</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Company re-assessed its equity interests in Pine Bend and Noble Road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entities no longer met any of the characteristics of a variable interest entity primarily because the projects were fully funded and there is sufficient equity at risk as of December 31, 2021. The Company determined that it should account for its interests in both entities under equity method of accounting pursuant to ASC 323, Investments Equity Method and Joint Ventures, as the Company has the ability to exercise significant influence, but not control, over both entities. </w:t>
      </w:r>
    </w:p>
    <w:p>
      <w:pPr>
        <w:pStyle w:val="TextBody"/>
        <w:spacing w:lineRule="auto" w:line="288" w:before="200" w:after="200"/>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capitalized interest is incurred by the Company increasing our basis in Pine Bend. The Company will amortize this amount in future periods over the useful life of the asset. </w:t>
      </w:r>
    </w:p>
    <w:p>
      <w:pPr>
        <w:pStyle w:val="TextBody"/>
        <w:spacing w:lineRule="auto" w:line="288" w:before="200" w:after="200"/>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It represents our portion of the other comprehensive income recorded by the equity method investee.</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for the year ended December 31, 2022. The Company recorded a gain on repayment of $1,943 as part of Other income in the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$286 and $406 as a reduction to interest and financing expense, net in its consolidated statements of operations for the years ended December 31, 2022 and 2021, respectively.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$285 as a reduction to interest and financing expense, net in the consolidated statement of operations for the year ended December 31, 2022,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$1,942 and $1,656 is recorded as a long-term asset on its consolidated balance sheets as of December 31, 2022 and December 31, 2021, respectively.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of the unconsolidated entities:</w:t>
      </w:r>
    </w:p>
    <w:tbl>
      <w:tblPr>
        <w:tblW w:w="6066" w:type="dxa"/>
        <w:jc w:val="left"/>
        <w:tblInd w:w="0" w:type="dxa"/>
        <w:tblCellMar>
          <w:top w:w="28" w:type="dxa"/>
          <w:left w:w="28" w:type="dxa"/>
          <w:bottom w:w="28" w:type="dxa"/>
          <w:right w:w="28" w:type="dxa"/>
        </w:tblCellMar>
      </w:tblPr>
      <w:tblGrid>
        <w:gridCol w:w="694"/>
        <w:gridCol w:w="610"/>
        <w:gridCol w:w="615"/>
        <w:gridCol w:w="109"/>
        <w:gridCol w:w="109"/>
        <w:gridCol w:w="109"/>
        <w:gridCol w:w="574"/>
        <w:gridCol w:w="574"/>
        <w:gridCol w:w="576"/>
        <w:gridCol w:w="109"/>
        <w:gridCol w:w="109"/>
        <w:gridCol w:w="109"/>
        <w:gridCol w:w="517"/>
        <w:gridCol w:w="517"/>
        <w:gridCol w:w="735"/>
      </w:tblGrid>
      <w:tr>
        <w:trPr/>
        <w:tc>
          <w:tcPr>
            <w:tcW w:w="69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$21,342</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109,414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44,250</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4,235</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61,358</w:t>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from equity method investments: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7709" w:type="dxa"/>
        <w:jc w:val="left"/>
        <w:tblInd w:w="0" w:type="dxa"/>
        <w:tblCellMar>
          <w:top w:w="28" w:type="dxa"/>
          <w:left w:w="28" w:type="dxa"/>
          <w:bottom w:w="28" w:type="dxa"/>
          <w:right w:w="28" w:type="dxa"/>
        </w:tblCellMar>
      </w:tblPr>
      <w:tblGrid>
        <w:gridCol w:w="1249"/>
        <w:gridCol w:w="1095"/>
        <w:gridCol w:w="1106"/>
        <w:gridCol w:w="109"/>
        <w:gridCol w:w="109"/>
        <w:gridCol w:w="145"/>
        <w:gridCol w:w="145"/>
        <w:gridCol w:w="145"/>
        <w:gridCol w:w="145"/>
        <w:gridCol w:w="318"/>
        <w:gridCol w:w="1050"/>
        <w:gridCol w:w="177"/>
        <w:gridCol w:w="109"/>
        <w:gridCol w:w="109"/>
        <w:gridCol w:w="109"/>
        <w:gridCol w:w="313"/>
        <w:gridCol w:w="1031"/>
        <w:gridCol w:w="245"/>
      </w:tblGrid>
      <w:tr>
        <w:trPr/>
        <w:tc>
          <w:tcPr>
            <w:tcW w:w="124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916" w:type="dxa"/>
            <w:gridSpan w:val="6"/>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6,915 </w:t>
            </w:r>
          </w:p>
        </w:tc>
        <w:tc>
          <w:tcPr>
            <w:tcW w:w="24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Net income from equity method investments </w:t>
            </w:r>
            <w:r>
              <w:rPr>
                <w:rFonts w:ascii="Times New Roman;sans-serif" w:hAnsi="Times New Roman;sans-serif"/>
                <w:b w:val="false"/>
                <w:color w:val="000000"/>
                <w:sz w:val="12"/>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Revenues include a realized gain of $32,796 from commodity swap contracts on our equity method investment, GREP for the year ended December 31, 2022.</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Net income from equity method investments represents our portion of the net income from equity method investments in Pine Bend, Noble Road and GREP for the year ended December 31, 2022 and GREP and Beacon ( January to April 2021) for the year ended December 31, 2021.</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5. Property, Plant, and Equipment, Net</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December 31, 2022 and December 31, 2021:</w:t>
      </w:r>
    </w:p>
    <w:p>
      <w:pPr>
        <w:pStyle w:val="TextBody"/>
        <w:spacing w:before="120" w:after="283"/>
        <w:ind w:left="0" w:right="0" w:firstLine="360"/>
        <w:rPr/>
      </w:pPr>
      <w:r>
        <w:rPr/>
      </w:r>
    </w:p>
    <w:tbl>
      <w:tblPr>
        <w:tblW w:w="5245" w:type="dxa"/>
        <w:jc w:val="left"/>
        <w:tblInd w:w="0" w:type="dxa"/>
        <w:tblCellMar>
          <w:top w:w="28" w:type="dxa"/>
          <w:left w:w="28" w:type="dxa"/>
          <w:bottom w:w="28" w:type="dxa"/>
          <w:right w:w="28" w:type="dxa"/>
        </w:tblCellMar>
      </w:tblPr>
      <w:tblGrid>
        <w:gridCol w:w="940"/>
        <w:gridCol w:w="824"/>
        <w:gridCol w:w="830"/>
        <w:gridCol w:w="214"/>
        <w:gridCol w:w="806"/>
        <w:gridCol w:w="119"/>
        <w:gridCol w:w="109"/>
        <w:gridCol w:w="109"/>
        <w:gridCol w:w="109"/>
        <w:gridCol w:w="214"/>
        <w:gridCol w:w="803"/>
        <w:gridCol w:w="168"/>
      </w:tblGrid>
      <w:tr>
        <w:trPr/>
        <w:tc>
          <w:tcPr>
            <w:tcW w:w="94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62,616 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$3,081 of interest capitalized from our general borrowings for the year ended December 31, 2022 and $861 of interest capitalized on our Sunoma Loan for the year ended December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December 31, 2022, are expected to be operational during the fourth quarter of 2023 and early 2024.</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years ended December 31, 2022 and December 31, 2021 was $11,892 and $9,501,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6. Intangible Assets, Net</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December 31, 2022 and December 31, 2021:</w:t>
      </w:r>
    </w:p>
    <w:p>
      <w:pPr>
        <w:pStyle w:val="TextBody"/>
        <w:spacing w:before="120" w:after="283"/>
        <w:ind w:left="0" w:right="0" w:firstLine="360"/>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before="240" w:after="200"/>
        <w:ind w:left="0" w:right="0" w:hanging="480"/>
        <w:jc w:val="both"/>
        <w:rPr/>
      </w:pPr>
      <w:r>
        <w:rPr/>
      </w:r>
    </w:p>
    <w:tbl>
      <w:tblPr>
        <w:tblW w:w="8516" w:type="dxa"/>
        <w:jc w:val="left"/>
        <w:tblInd w:w="0" w:type="dxa"/>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9"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$76 under the Municipality loan is shown as part of current liabilities on its consolidated balance sheet as of December 31, 2022. Please see Note 8.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twelve months ended December 31, 2022 and 2021 was $694 and $346, respectively. At December 31, 2022, estimated future amortization expense for intangible assets is as follows:</w:t>
      </w:r>
    </w:p>
    <w:tbl>
      <w:tblPr>
        <w:tblW w:w="1835" w:type="dxa"/>
        <w:jc w:val="left"/>
        <w:tblInd w:w="0" w:type="dxa"/>
        <w:tblCellMar>
          <w:top w:w="28" w:type="dxa"/>
          <w:left w:w="28" w:type="dxa"/>
          <w:bottom w:w="28" w:type="dxa"/>
          <w:right w:w="28" w:type="dxa"/>
        </w:tblCellMar>
      </w:tblPr>
      <w:tblGrid>
        <w:gridCol w:w="337"/>
        <w:gridCol w:w="295"/>
        <w:gridCol w:w="297"/>
        <w:gridCol w:w="196"/>
        <w:gridCol w:w="55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695" w:type="dxa"/>
        <w:jc w:val="left"/>
        <w:tblInd w:w="0" w:type="dxa"/>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December 31, 2022 and December 31, 2021:</w:t>
      </w:r>
    </w:p>
    <w:tbl>
      <w:tblPr>
        <w:tblW w:w="8679" w:type="dxa"/>
        <w:jc w:val="left"/>
        <w:tblInd w:w="0" w:type="dxa"/>
        <w:tblCellMar>
          <w:top w:w="28" w:type="dxa"/>
          <w:left w:w="28" w:type="dxa"/>
          <w:bottom w:w="28" w:type="dxa"/>
          <w:right w:w="28" w:type="dxa"/>
        </w:tblCellMar>
      </w:tblPr>
      <w:tblGrid>
        <w:gridCol w:w="1769"/>
        <w:gridCol w:w="1557"/>
        <w:gridCol w:w="1564"/>
        <w:gridCol w:w="109"/>
        <w:gridCol w:w="109"/>
        <w:gridCol w:w="109"/>
        <w:gridCol w:w="318"/>
        <w:gridCol w:w="1050"/>
        <w:gridCol w:w="177"/>
        <w:gridCol w:w="109"/>
        <w:gridCol w:w="109"/>
        <w:gridCol w:w="109"/>
        <w:gridCol w:w="287"/>
        <w:gridCol w:w="1078"/>
        <w:gridCol w:w="225"/>
      </w:tblGrid>
      <w:tr>
        <w:trPr/>
        <w:tc>
          <w:tcPr>
            <w:tcW w:w="1769"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principal maturities of debt are expected as follows, excluding any undrawn debt facilities as of the date of the consolidated balance sheet: </w:t>
      </w:r>
    </w:p>
    <w:tbl>
      <w:tblPr>
        <w:tblW w:w="9699" w:type="dxa"/>
        <w:jc w:val="left"/>
        <w:tblInd w:w="0" w:type="dxa"/>
        <w:tblCellMar>
          <w:top w:w="28" w:type="dxa"/>
          <w:left w:w="28" w:type="dxa"/>
          <w:bottom w:w="28" w:type="dxa"/>
          <w:right w:w="28" w:type="dxa"/>
        </w:tblCellMar>
      </w:tblPr>
      <w:tblGrid>
        <w:gridCol w:w="337"/>
        <w:gridCol w:w="295"/>
        <w:gridCol w:w="297"/>
        <w:gridCol w:w="196"/>
        <w:gridCol w:w="646"/>
        <w:gridCol w:w="109"/>
        <w:gridCol w:w="109"/>
        <w:gridCol w:w="109"/>
        <w:gridCol w:w="109"/>
        <w:gridCol w:w="312"/>
        <w:gridCol w:w="1029"/>
        <w:gridCol w:w="173"/>
        <w:gridCol w:w="109"/>
        <w:gridCol w:w="109"/>
        <w:gridCol w:w="109"/>
        <w:gridCol w:w="247"/>
        <w:gridCol w:w="815"/>
        <w:gridCol w:w="137"/>
        <w:gridCol w:w="109"/>
        <w:gridCol w:w="109"/>
        <w:gridCol w:w="109"/>
        <w:gridCol w:w="268"/>
        <w:gridCol w:w="886"/>
        <w:gridCol w:w="150"/>
        <w:gridCol w:w="109"/>
        <w:gridCol w:w="109"/>
        <w:gridCol w:w="109"/>
        <w:gridCol w:w="333"/>
        <w:gridCol w:w="562"/>
        <w:gridCol w:w="186"/>
        <w:gridCol w:w="109"/>
        <w:gridCol w:w="109"/>
        <w:gridCol w:w="109"/>
        <w:gridCol w:w="196"/>
        <w:gridCol w:w="736"/>
        <w:gridCol w:w="15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Senior</w:t>
              <w:br/>
              <w:t>Secured</w:t>
              <w:br/>
              <w:t>Credit</w:t>
              <w:br/>
              <w:t>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r>
      <w:tr>
        <w:trPr/>
        <w:tc>
          <w:tcPr>
            <w:tcW w:w="9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36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The Convertible Note Payable is redeemable on demand at the option of the Company or the lender.</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December 31, 2022 and December 31, 2021, $15,250 and $73,869, respectively, was outstanding under the Senior Secured Credit Facility- term loan.</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December 31, 2022 and December 31, 2021, the total amount outstanding under the Working Capital Facility was $7,500. Additionally, the Company pays commitment fee of 0.75% on the unused portion of the facility.</w:t>
      </w:r>
    </w:p>
    <w:p>
      <w:pPr>
        <w:pStyle w:val="TextBody"/>
        <w:spacing w:lineRule="auto" w:line="288" w:before="140" w:after="283"/>
        <w:ind w:left="0" w:right="0" w:firstLine="360"/>
        <w:jc w:val="both"/>
        <w:rPr/>
      </w:pPr>
      <w:r>
        <w:rPr>
          <w:rFonts w:ascii="Times New Roman;sans-serif" w:hAnsi="Times New Roman;sans-serif"/>
          <w:b w:val="false"/>
          <w:color w:val="000000"/>
          <w:sz w:val="20"/>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sans-serif" w:hAnsi="Times New Roman;sans-serif"/>
          <w:b/>
          <w:color w:val="000000"/>
          <w:sz w:val="20"/>
        </w:rPr>
        <w:t>.</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Please see Note.19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December 31, 2021, FM3 had outstanding letters of credit that support obligations of the Company and its subsidiaries of $1,932 and $7,823, respectively. The Senior Secured Credit Facility is collateralized by substantially all the assets of FM3 and assignment of FM3's rights, title, and interests in purchase and sale agreements and LFG rights agreements.</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twelve months ended December 31, 2022, FM3 was in compliance with all debt covenants.</w:t>
      </w:r>
    </w:p>
    <w:p>
      <w:pPr>
        <w:pStyle w:val="TextBody"/>
        <w:spacing w:before="0" w:after="0"/>
        <w:ind w:left="0" w:right="0" w:firstLine="36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year ended December 31, 2022 and 2021, the Company received cash dividends of $126 and $139, respectively, which were recorded as credits to interest expense in its consolidated statements of operations. Additionally, the Company recorded $489 as a long-term asset on its consolidated balance sheet at December 31, 2022 and December 31, 2021, which represents the Company's equity interest in Cobank SCB which will be redeemed for cash beginning in 2024.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OPAL Term Loan, the Company borrowed $75,000 in October 2021 and an another $15,000 in February 2022 pursuant to an amendment allowing the Company to drawdown later than the original commitment date.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and fourth quarter of 2022, two of the RNG projects went operational and the Company borrowed $25,000 under the OPAL Term Loan with an additional commitment of $10,000 remaining under this debt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December 31, 2022, the Company is in compliance with the financial covenants under the OPAL Term Loan. Additionally, the OPAL Term Loan contains restrictions on distributions and additional indebtedness.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in the consolidated balance sheet as of December 31, 2022.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December 31, 2022 and 2021. See Note 13.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on May 1, 2021, which was determined to be $55,410. The fair value was subsequently remeasured on each reporting date and the change in fair value recorded as interest expense in the consolidated statement of operations for each reporting period. At December 31, 2022, the Convertible Note was classified as a current liability in the consolidated balance sheet at a fair value of $28,528 as it is redeemable on demand by the Company or Ares. At December 31,2021, the Convertible Note was classified as a non-current liability in the consolidated balance sheet at a fair value of $58,710. </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$413 as change in fair value of Convertible Note for the year ended December 31, 2022, as interest and financing expense, net. Upon completion of the Business Combination, the Convertible Note no longer provided for the 10% prepayment penalty. Therefore, the change in fair value attributable to cancellation of prepayment penalty for the year ended December 31, 2022 was ($2,906). The Company recorded $3,319 and $3,300 as payment-in-kind interest expense in the consolidated statement of operations for the years ended December 31, 2022 and 2021, respectively.</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December 31, 2022 and December 31, 2021, $76 and $278, respectively, were outstanding on the loan.</w:t>
      </w:r>
    </w:p>
    <w:p>
      <w:pPr>
        <w:pStyle w:val="TextBody"/>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consolidated balance sheet as of December 31, 2022.</w:t>
      </w:r>
    </w:p>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there was no principal amount outstanding under the OPAL Term Loan II. </w:t>
      </w:r>
    </w:p>
    <w:p>
      <w:pPr>
        <w:pStyle w:val="TextBody"/>
        <w:spacing w:lineRule="auto" w:line="26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TruStar revolver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weighted average effective interest rate including amortization of debt issuance costs on Senior Secured Credit Facility was 6.9% including a margin plus LIBOR.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effective interest rate including amortization of debt issuance costs on OPAL Term Loan was 6.1%.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interest rate on Sunoma Loan was 8.90%.</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payment-in-kind interest rate on Convertible Note Payable was 8.00%.</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interest rate on Municipality loan was 3.6%.</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2021</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pStyle w:val="TextBody"/>
        <w:spacing w:before="0" w:after="0"/>
        <w:rPr/>
      </w:pPr>
      <w:r>
        <w:rPr/>
      </w:r>
    </w:p>
    <w:p>
      <w:pPr>
        <w:pStyle w:val="TextBody"/>
        <w:spacing w:lineRule="auto" w:line="240"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TruStar Revolver Credit Facility including a margin plus LIBOR was 1.52%.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paid-in-kind interest rate on Convertible note payable was 8%. The change in fair value of the Note recorded as interest expense between May 1, 2021 and December 31, 2021 was $3,300.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effective interest rate on the Sunoma Credit Facility was 7.75%.</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interest rate on Municipality Loan was 3.0%.</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year ended December 31, 2022 and 2021:</w:t>
      </w:r>
    </w:p>
    <w:tbl>
      <w:tblPr>
        <w:tblW w:w="6290" w:type="dxa"/>
        <w:jc w:val="left"/>
        <w:tblInd w:w="0" w:type="dxa"/>
        <w:tblCellMar>
          <w:top w:w="28" w:type="dxa"/>
          <w:left w:w="28" w:type="dxa"/>
          <w:bottom w:w="28" w:type="dxa"/>
          <w:right w:w="28" w:type="dxa"/>
        </w:tblCellMar>
      </w:tblPr>
      <w:tblGrid>
        <w:gridCol w:w="1345"/>
        <w:gridCol w:w="1185"/>
        <w:gridCol w:w="1189"/>
        <w:gridCol w:w="109"/>
        <w:gridCol w:w="109"/>
        <w:gridCol w:w="109"/>
        <w:gridCol w:w="211"/>
        <w:gridCol w:w="616"/>
        <w:gridCol w:w="109"/>
        <w:gridCol w:w="109"/>
        <w:gridCol w:w="109"/>
        <w:gridCol w:w="109"/>
        <w:gridCol w:w="211"/>
        <w:gridCol w:w="616"/>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7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Municipality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TruStar revolver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Convertible Note Payable mark-to-market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Sunoma Loan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mark-to-market on the Convertible Note Payable is inclusive of fair value change in the Convertible Note due to cancellation of prepayment penalty post Business Combination of ( $2,906). </w:t>
      </w:r>
    </w:p>
    <w:p>
      <w:pPr>
        <w:pStyle w:val="TextBody"/>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interest on Sunoma Loan was capitalized during the construction phase of the RNG facility. Sunoma became operational in December 2021. Therefore, the interest for the year ended December 31, 2022 has been expensed. </w:t>
      </w:r>
    </w:p>
    <w:p>
      <w:pPr>
        <w:pStyle w:val="TextBody"/>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Excludes $3,678 and $861 of interest capitalized and recorded as part of Property, plant and equipment, net for the years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480"/>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spacing w:lineRule="auto" w:line="288" w:before="24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spacing w:lineRule="auto" w:line="288" w:before="24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spacing w:before="0" w:after="0"/>
        <w:ind w:left="0" w:right="0" w:hanging="480"/>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spacing w:before="0" w:after="0"/>
        <w:ind w:left="0" w:right="0" w:firstLine="360"/>
        <w:jc w:val="both"/>
        <w:rPr/>
      </w:pPr>
      <w:r>
        <w:rPr/>
      </w:r>
    </w:p>
    <w:p>
      <w:pPr>
        <w:pStyle w:val="TextBody"/>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There were no amendments to one of the contracts after the Adoption Date. </w:t>
      </w:r>
    </w:p>
    <w:p>
      <w:pPr>
        <w:pStyle w:val="TextBody"/>
        <w:spacing w:before="0" w:after="0"/>
        <w:ind w:left="0" w:right="0" w:firstLine="360"/>
        <w:jc w:val="both"/>
        <w:rPr/>
      </w:pPr>
      <w:r>
        <w:rPr/>
      </w:r>
    </w:p>
    <w:p>
      <w:pPr>
        <w:pStyle w:val="TextBody"/>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Therefore, the Company included only the portion of revenue earned from this FPA from January 1, 2022 till August 25, 2022 as part of the lease revenue. </w:t>
      </w:r>
    </w:p>
    <w:p>
      <w:pPr>
        <w:pStyle w:val="TextBody"/>
        <w:spacing w:lineRule="auto" w:line="288" w:before="24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ASC 842 did not materially impact the revenue recognition for the above contracts. Included in RNG fuel revenues are $3,510 and $3561 related to the lease portion of the FPAs for the years ended December 31, 2022 and 2021, respectively. Included in Renewable Power revenues are $1,364 and $1,890 related to the lease element of the PPAs for the years ended December 31, 2022 and 2021,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$11,050. </w:t>
      </w:r>
    </w:p>
    <w:p>
      <w:pPr>
        <w:pStyle w:val="TextBody"/>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$125,000.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consolidated statement of operations for the years ended December 31, 2022 and 2021. The lease expense for the office lease is recorded as part Selling, general and administrative expenses in its consolidated statement of operations for the years ended December 31, 2022 and 2021. </w:t>
      </w:r>
    </w:p>
    <w:p>
      <w:pPr>
        <w:pStyle w:val="TextBody"/>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2022.</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Adoption of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on January 1, 2022, which resulted in the recognition of operating lease right-of-use assets of $13,590 and related lease liabilities for operating leases of $13,302 in Total Assets and Total Liabilities, respectively, on our consolidated balance sheet on January 1, 2022. The Company also recognized $796 of finance lease right-of-use assets and related f lease liabilities for finance leases of $766 in Total Assets and Total Liabilities, respectively, on our consolidated balance sheet on January 1, 2022.</w:t>
      </w:r>
    </w:p>
    <w:p>
      <w:pPr>
        <w:pStyle w:val="TextBody"/>
        <w:spacing w:lineRule="auto" w:line="288" w:before="240" w:after="283"/>
        <w:ind w:left="0" w:right="0" w:firstLine="720"/>
        <w:jc w:val="both"/>
        <w:rPr/>
      </w:pPr>
      <w:r>
        <w:rPr>
          <w:rFonts w:ascii="Times New Roman;sans-serif" w:hAnsi="Times New Roman;sans-serif"/>
          <w:b w:val="false"/>
          <w:color w:val="000000"/>
          <w:sz w:val="20"/>
        </w:rPr>
        <w:t xml:space="preserve">The Company adopted ASC 842 using the adoption date transition method. Under this method, the Company will apply the guidance to </w:t>
      </w:r>
      <w:r>
        <w:rPr>
          <w:rFonts w:ascii="Times New Roman;sans-serif" w:hAnsi="Times New Roman;sans-serif"/>
          <w:b w:val="false"/>
          <w:color w:val="2D2D2D"/>
          <w:sz w:val="20"/>
        </w:rPr>
        <w:t>each lease that had commenced as of the beginning of the reporting period in which the entity first applies the leases standard (referred to as the “application date” or the “effective date” under this method) with a cumulative-effect adjustment as of that date. Prior comparative periods would be not be adjusted under this method. The Company will provide necessary disclosures for the comparative periods</w:t>
      </w:r>
      <w:r>
        <w:rPr>
          <w:rFonts w:ascii="Georgia;serif" w:hAnsi="Georgia;serif"/>
          <w:b w:val="false"/>
          <w:color w:val="2D2D2D"/>
          <w:sz w:val="24"/>
        </w:rPr>
        <w:t xml:space="preserv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Determination of incremental borrowing rate</w:t>
      </w:r>
    </w:p>
    <w:p>
      <w:pPr>
        <w:pStyle w:val="TextBody"/>
        <w:spacing w:before="0" w:after="0"/>
        <w:rPr/>
      </w:pPr>
      <w:r>
        <w:rPr/>
      </w:r>
    </w:p>
    <w:p>
      <w:pPr>
        <w:pStyle w:val="TextBody"/>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at lease commencement, a lessee must develop a discount rate to calculate the present value of the lease payments so that it can determine lease classification and measure the lease liability. When determining the discount rate to be used at lease commencement, a lessee must use the rate implicit in the lease unless that rate cannot be readily determined. When the rate implicit in the lease cannot be readily determined, the lessee should use its incremental borrowing rate. The incremental borrowing rate is the rate that reflects the interest a lessee would have to pay to borrow funds on a collateralized basis over a similar term and in a similar economic environment. The Company determined that its' lease contracts do not contain an implicit borrowing rate. Therefore, the Company arrived at the incremental borrowing rate by determining the Company's implied credit rating and interest rates on its current collateralized borrowings as of January 1, 2022. The Company then determined the incremental borrowing rate for each lease based on the remaining lease term on the specific lease. Based on the </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above methodology, the Company's incremental borrowing rates ranged from 2.3% to 5.4% for the lease contracts for which the Company recorded right-of-use assets and corresponding lease liabilities. The Company updated the incremental borrowing rate at the end of each reporting period and applied that rate to any new leases entered into in the applicable reporting period.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calculated the net present value of the remaining lease payments as of January 1, 2022 for existing leases as of that date and recorded the right-of-use assets and corresponding liabilities on the Adoption Date. For the leases entered into during 2022, the Company recorded the right-of-use asset and lease liabilities in the reporting period the lease term began. Additionally, the Company recorded lease modifications on three leases where the lease term was extended.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2022, the Company recognized lease expense in accordance with then-existing ASC 840. Because both ASC 842 and ASC 840 generally recognize operating lease expense as a single line expense on a straight-line basis over the term of the lease arrangement, there were no material differences between the timing and amount of lease expense recognized for the operating leases under the two accounting methodologies for the years ended December 31, 2022 and 2021.</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adoption of ASC 842 changed the expense recognition on finance leases by splitting the lease expense into its individual elements - amortization expense and interest expense. Although there was no material difference in the total expense recognized in its statement of operations for the years ended December 31, 2022 and 2021, the lease expense on finance leases for the year ended December 31, 2022 has been presented as part of Depreciation, amortization and accretion expense and interest and financing expense, net in its consolidated statement of operations. </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December 31, 2022 and January 1, 2022 are as follows:</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9769" w:type="dxa"/>
        <w:jc w:val="left"/>
        <w:tblInd w:w="0" w:type="dxa"/>
        <w:tblCellMar>
          <w:top w:w="28" w:type="dxa"/>
          <w:left w:w="28" w:type="dxa"/>
          <w:bottom w:w="28" w:type="dxa"/>
          <w:right w:w="28" w:type="dxa"/>
        </w:tblCellMar>
      </w:tblPr>
      <w:tblGrid>
        <w:gridCol w:w="549"/>
        <w:gridCol w:w="482"/>
        <w:gridCol w:w="484"/>
        <w:gridCol w:w="109"/>
        <w:gridCol w:w="109"/>
        <w:gridCol w:w="109"/>
        <w:gridCol w:w="1269"/>
        <w:gridCol w:w="1269"/>
        <w:gridCol w:w="1272"/>
        <w:gridCol w:w="109"/>
        <w:gridCol w:w="109"/>
        <w:gridCol w:w="109"/>
        <w:gridCol w:w="574"/>
        <w:gridCol w:w="574"/>
        <w:gridCol w:w="576"/>
        <w:gridCol w:w="109"/>
        <w:gridCol w:w="109"/>
        <w:gridCol w:w="109"/>
        <w:gridCol w:w="509"/>
        <w:gridCol w:w="509"/>
        <w:gridCol w:w="721"/>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January 1, 2022 </w:t>
            </w:r>
            <w:r>
              <w:rPr>
                <w:rFonts w:ascii="Times New Roman;sans-serif" w:hAnsi="Times New Roman;sans-serif"/>
                <w:b/>
                <w:color w:val="000000"/>
                <w:sz w:val="13"/>
              </w:rPr>
              <w:t>(1)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$13,242</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13,590</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Vehicle leases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796</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14,386</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294</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308</w:t>
            </w:r>
          </w:p>
        </w:tc>
      </w:tr>
      <w:tr>
        <w:trPr/>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12,895</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458</w:t>
            </w:r>
          </w:p>
        </w:tc>
      </w:tr>
      <w:tr>
        <w:trPr/>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$13,381</w:t>
            </w:r>
          </w:p>
        </w:tc>
      </w:tr>
    </w:tbl>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spacing w:lineRule="auto" w:line="268" w:before="240"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The Company entered into multiple vehicle leases during 2022 which were recorded as new leases at the beginning of the lease term. The Company recorded an aggregate of $903 right-of-use assets and corresponding lease liabilities.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year ended December 31, 2022:</w:t>
      </w:r>
    </w:p>
    <w:tbl>
      <w:tblPr>
        <w:tblW w:w="10042" w:type="dxa"/>
        <w:jc w:val="left"/>
        <w:tblInd w:w="0" w:type="dxa"/>
        <w:tblCellMar>
          <w:top w:w="28" w:type="dxa"/>
          <w:left w:w="28" w:type="dxa"/>
          <w:bottom w:w="28" w:type="dxa"/>
          <w:right w:w="28" w:type="dxa"/>
        </w:tblCellMar>
      </w:tblPr>
      <w:tblGrid>
        <w:gridCol w:w="1533"/>
        <w:gridCol w:w="1346"/>
        <w:gridCol w:w="1350"/>
        <w:gridCol w:w="109"/>
        <w:gridCol w:w="109"/>
        <w:gridCol w:w="109"/>
        <w:gridCol w:w="1374"/>
        <w:gridCol w:w="1374"/>
        <w:gridCol w:w="1377"/>
        <w:gridCol w:w="109"/>
        <w:gridCol w:w="109"/>
        <w:gridCol w:w="109"/>
        <w:gridCol w:w="303"/>
        <w:gridCol w:w="303"/>
        <w:gridCol w:w="428"/>
      </w:tblGrid>
      <w:tr>
        <w:trPr/>
        <w:tc>
          <w:tcPr>
            <w:tcW w:w="153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(1)</w:t>
            </w:r>
          </w:p>
        </w:tc>
      </w:tr>
      <w:tr>
        <w:trPr/>
        <w:tc>
          <w:tcPr>
            <w:tcW w:w="42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429</w:t>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w:t>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does not have material short term lease expense for the year ended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year ended December 31, 2022.</w:t>
      </w:r>
    </w:p>
    <w:p>
      <w:pPr>
        <w:pStyle w:val="TextBody"/>
        <w:spacing w:before="240" w:after="283"/>
        <w:jc w:val="both"/>
        <w:rPr/>
      </w:pPr>
      <w:r>
        <w:rPr/>
      </w:r>
    </w:p>
    <w:tbl>
      <w:tblPr>
        <w:tblW w:w="6191" w:type="dxa"/>
        <w:jc w:val="left"/>
        <w:tblInd w:w="0" w:type="dxa"/>
        <w:tblCellMar>
          <w:top w:w="28" w:type="dxa"/>
          <w:left w:w="28" w:type="dxa"/>
          <w:bottom w:w="28" w:type="dxa"/>
          <w:right w:w="28" w:type="dxa"/>
        </w:tblCellMar>
      </w:tblPr>
      <w:tblGrid>
        <w:gridCol w:w="1498"/>
        <w:gridCol w:w="1317"/>
        <w:gridCol w:w="1325"/>
        <w:gridCol w:w="109"/>
        <w:gridCol w:w="109"/>
        <w:gridCol w:w="109"/>
        <w:gridCol w:w="504"/>
        <w:gridCol w:w="504"/>
        <w:gridCol w:w="716"/>
      </w:tblGrid>
      <w:tr>
        <w:trPr/>
        <w:tc>
          <w:tcPr>
            <w:tcW w:w="14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 years</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7.87%</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5.82%</w:t>
            </w:r>
          </w:p>
        </w:tc>
      </w:tr>
    </w:tbl>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December 31, 2022:</w:t>
      </w:r>
    </w:p>
    <w:tbl>
      <w:tblPr>
        <w:tblW w:w="9420" w:type="dxa"/>
        <w:jc w:val="left"/>
        <w:tblInd w:w="0" w:type="dxa"/>
        <w:tblCellMar>
          <w:top w:w="28" w:type="dxa"/>
          <w:left w:w="28" w:type="dxa"/>
          <w:bottom w:w="28" w:type="dxa"/>
          <w:right w:w="28" w:type="dxa"/>
        </w:tblCellMar>
      </w:tblPr>
      <w:tblGrid>
        <w:gridCol w:w="1396"/>
        <w:gridCol w:w="1225"/>
        <w:gridCol w:w="1233"/>
        <w:gridCol w:w="109"/>
        <w:gridCol w:w="109"/>
        <w:gridCol w:w="109"/>
        <w:gridCol w:w="319"/>
        <w:gridCol w:w="319"/>
        <w:gridCol w:w="321"/>
        <w:gridCol w:w="109"/>
        <w:gridCol w:w="109"/>
        <w:gridCol w:w="109"/>
        <w:gridCol w:w="399"/>
        <w:gridCol w:w="399"/>
        <w:gridCol w:w="401"/>
        <w:gridCol w:w="109"/>
        <w:gridCol w:w="109"/>
        <w:gridCol w:w="109"/>
        <w:gridCol w:w="424"/>
        <w:gridCol w:w="424"/>
        <w:gridCol w:w="426"/>
        <w:gridCol w:w="109"/>
        <w:gridCol w:w="109"/>
        <w:gridCol w:w="109"/>
        <w:gridCol w:w="240"/>
        <w:gridCol w:w="240"/>
        <w:gridCol w:w="346"/>
      </w:tblGrid>
      <w:tr>
        <w:trPr/>
        <w:tc>
          <w:tcPr>
            <w:tcW w:w="1396"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$2,059</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1,918</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1,247</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r>
      <w:tr>
        <w:trPr/>
        <w:tc>
          <w:tcPr>
            <w:tcW w:w="38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25,140</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$11,991</w:t>
            </w:r>
          </w:p>
        </w:tc>
      </w:tr>
    </w:tbl>
    <w:p>
      <w:pPr>
        <w:pStyle w:val="TextBody"/>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office rent expense for the year ended December 31, 2021 was $1,098.</w:t>
      </w:r>
    </w:p>
    <w:p>
      <w:pPr>
        <w:pStyle w:val="TextBody"/>
        <w:spacing w:before="16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10. Derivative Financial Instruments and Fair Value Measurements</w:t>
      </w:r>
    </w:p>
    <w:p>
      <w:pPr>
        <w:pStyle w:val="TextBody"/>
        <w:spacing w:lineRule="auto" w:line="288" w:before="160" w:after="283"/>
        <w:ind w:left="0" w:right="0" w:hanging="480"/>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consolidated statements of operations. The swaps expired in September 2022.</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maturity date was extended to March 30, 2023. The Company accounted for the swaption as an economic hedge and included the change in the fair market value in the consolidated statement of operations.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fair value of the interest rate swap as an asset or liability on its consolidated balance sheet. The effective portion of the swap is recorded in Accumulated other comprehensive income. No portion of the cash flow hedges were ineffective during the year ended December 31, 2022. There are no amounts that would be released from the Other comprehensive income in the next twelve months.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December 31, 2022 and December 31, 2021:</w:t>
      </w:r>
    </w:p>
    <w:p>
      <w:pPr>
        <w:pStyle w:val="TextBody"/>
        <w:spacing w:before="120" w:after="283"/>
        <w:ind w:left="0" w:right="0" w:firstLine="360"/>
        <w:jc w:val="both"/>
        <w:rPr/>
      </w:pPr>
      <w:r>
        <w:rPr/>
      </w:r>
    </w:p>
    <w:tbl>
      <w:tblPr>
        <w:tblW w:w="9383" w:type="dxa"/>
        <w:jc w:val="left"/>
        <w:tblInd w:w="0" w:type="dxa"/>
        <w:tblCellMar>
          <w:top w:w="28" w:type="dxa"/>
          <w:left w:w="28" w:type="dxa"/>
          <w:bottom w:w="28" w:type="dxa"/>
          <w:right w:w="28" w:type="dxa"/>
        </w:tblCellMar>
      </w:tblPr>
      <w:tblGrid>
        <w:gridCol w:w="532"/>
        <w:gridCol w:w="466"/>
        <w:gridCol w:w="471"/>
        <w:gridCol w:w="324"/>
        <w:gridCol w:w="324"/>
        <w:gridCol w:w="326"/>
        <w:gridCol w:w="415"/>
        <w:gridCol w:w="415"/>
        <w:gridCol w:w="415"/>
        <w:gridCol w:w="450"/>
        <w:gridCol w:w="450"/>
        <w:gridCol w:w="450"/>
        <w:gridCol w:w="109"/>
        <w:gridCol w:w="109"/>
        <w:gridCol w:w="109"/>
        <w:gridCol w:w="574"/>
        <w:gridCol w:w="574"/>
        <w:gridCol w:w="576"/>
        <w:gridCol w:w="175"/>
        <w:gridCol w:w="175"/>
        <w:gridCol w:w="175"/>
        <w:gridCol w:w="517"/>
        <w:gridCol w:w="517"/>
        <w:gridCol w:w="735"/>
      </w:tblGrid>
      <w:tr>
        <w:trPr/>
        <w:tc>
          <w:tcPr>
            <w:tcW w:w="53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5038" w:type="dxa"/>
            <w:gridSpan w:val="1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8"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$41,284</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$61,926</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derivatives fair values in the consolidated balance sheets are:</w:t>
      </w:r>
    </w:p>
    <w:tbl>
      <w:tblPr>
        <w:tblW w:w="10205" w:type="dxa"/>
        <w:jc w:val="left"/>
        <w:tblInd w:w="0" w:type="dxa"/>
        <w:tblCellMar>
          <w:top w:w="28" w:type="dxa"/>
          <w:left w:w="28" w:type="dxa"/>
          <w:bottom w:w="28" w:type="dxa"/>
          <w:right w:w="28" w:type="dxa"/>
        </w:tblCellMar>
      </w:tblPr>
      <w:tblGrid>
        <w:gridCol w:w="1179"/>
        <w:gridCol w:w="1032"/>
        <w:gridCol w:w="1039"/>
        <w:gridCol w:w="270"/>
        <w:gridCol w:w="792"/>
        <w:gridCol w:w="141"/>
        <w:gridCol w:w="109"/>
        <w:gridCol w:w="109"/>
        <w:gridCol w:w="109"/>
        <w:gridCol w:w="316"/>
        <w:gridCol w:w="723"/>
        <w:gridCol w:w="163"/>
        <w:gridCol w:w="109"/>
        <w:gridCol w:w="109"/>
        <w:gridCol w:w="109"/>
        <w:gridCol w:w="1149"/>
        <w:gridCol w:w="1134"/>
        <w:gridCol w:w="1613"/>
      </w:tblGrid>
      <w:tr>
        <w:trPr/>
        <w:tc>
          <w:tcPr>
            <w:tcW w:w="117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3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7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interest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current portion of the interest rate swaps</w:t>
            </w:r>
          </w:p>
        </w:tc>
        <w:tc>
          <w:tcPr>
            <w:tcW w:w="10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 portion</w:t>
            </w:r>
          </w:p>
        </w:tc>
      </w:tr>
      <w:tr>
        <w:trPr/>
        <w:tc>
          <w:tcPr>
            <w:tcW w:w="325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bl>
    <w:p>
      <w:pPr>
        <w:pStyle w:val="TextBody"/>
        <w:spacing w:before="120" w:after="283"/>
        <w:ind w:left="0" w:right="0" w:firstLine="360"/>
        <w:rPr/>
      </w:pPr>
      <w:r>
        <w:rPr/>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consolidated statement of operations were as follows:</w:t>
      </w:r>
    </w:p>
    <w:p>
      <w:pPr>
        <w:pStyle w:val="TextBody"/>
        <w:spacing w:before="120" w:after="283"/>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21"/>
        <w:gridCol w:w="962"/>
        <w:gridCol w:w="971"/>
        <w:gridCol w:w="196"/>
        <w:gridCol w:w="421"/>
        <w:gridCol w:w="109"/>
        <w:gridCol w:w="109"/>
        <w:gridCol w:w="109"/>
        <w:gridCol w:w="109"/>
        <w:gridCol w:w="196"/>
        <w:gridCol w:w="556"/>
        <w:gridCol w:w="109"/>
        <w:gridCol w:w="109"/>
        <w:gridCol w:w="109"/>
        <w:gridCol w:w="109"/>
        <w:gridCol w:w="1437"/>
        <w:gridCol w:w="1437"/>
        <w:gridCol w:w="2036"/>
      </w:tblGrid>
      <w:tr>
        <w:trPr/>
        <w:tc>
          <w:tcPr>
            <w:tcW w:w="1121"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r>
      <w:tr>
        <w:trPr/>
        <w:tc>
          <w:tcPr>
            <w:tcW w:w="3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491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 - interest rate swaps</w:t>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interest rate swaps on the Company's consolidated balance sheets and the effect of netting arrangements and collateral on its financial position:</w:t>
      </w:r>
    </w:p>
    <w:tbl>
      <w:tblPr>
        <w:tblW w:w="7837" w:type="dxa"/>
        <w:jc w:val="left"/>
        <w:tblInd w:w="0" w:type="dxa"/>
        <w:tblCellMar>
          <w:top w:w="28" w:type="dxa"/>
          <w:left w:w="28" w:type="dxa"/>
          <w:bottom w:w="28" w:type="dxa"/>
          <w:right w:w="28" w:type="dxa"/>
        </w:tblCellMar>
      </w:tblPr>
      <w:tblGrid>
        <w:gridCol w:w="835"/>
        <w:gridCol w:w="736"/>
        <w:gridCol w:w="739"/>
        <w:gridCol w:w="400"/>
        <w:gridCol w:w="891"/>
        <w:gridCol w:w="223"/>
        <w:gridCol w:w="109"/>
        <w:gridCol w:w="109"/>
        <w:gridCol w:w="109"/>
        <w:gridCol w:w="363"/>
        <w:gridCol w:w="753"/>
        <w:gridCol w:w="204"/>
        <w:gridCol w:w="109"/>
        <w:gridCol w:w="109"/>
        <w:gridCol w:w="109"/>
        <w:gridCol w:w="472"/>
        <w:gridCol w:w="1196"/>
        <w:gridCol w:w="371"/>
      </w:tblGrid>
      <w:tr>
        <w:trPr/>
        <w:tc>
          <w:tcPr>
            <w:tcW w:w="83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5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Assets/(Liabilities) in the</w:t>
              <w:br/>
              <w:t>Balance Sheet</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40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37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liability</w:t>
            </w:r>
          </w:p>
        </w:tc>
        <w:tc>
          <w:tcPr>
            <w:tcW w:w="40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minimum of 34,554 MWh per year. The commodity swap contract ended in September 2022 when the facility was shut down.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will continue to assess its normal purchase and normal sale election on a quarterly basis.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commodity swaps in place as of December 31, 2022 and December 31, 2021. </w:t>
      </w:r>
    </w:p>
    <w:tbl>
      <w:tblPr>
        <w:tblW w:w="10205" w:type="dxa"/>
        <w:jc w:val="left"/>
        <w:tblInd w:w="0" w:type="dxa"/>
        <w:tblCellMar>
          <w:top w:w="28" w:type="dxa"/>
          <w:left w:w="28" w:type="dxa"/>
          <w:bottom w:w="28" w:type="dxa"/>
          <w:right w:w="28" w:type="dxa"/>
        </w:tblCellMar>
      </w:tblPr>
      <w:tblGrid>
        <w:gridCol w:w="543"/>
        <w:gridCol w:w="476"/>
        <w:gridCol w:w="477"/>
        <w:gridCol w:w="109"/>
        <w:gridCol w:w="109"/>
        <w:gridCol w:w="109"/>
        <w:gridCol w:w="511"/>
        <w:gridCol w:w="453"/>
        <w:gridCol w:w="430"/>
        <w:gridCol w:w="109"/>
        <w:gridCol w:w="109"/>
        <w:gridCol w:w="109"/>
        <w:gridCol w:w="501"/>
        <w:gridCol w:w="486"/>
        <w:gridCol w:w="493"/>
        <w:gridCol w:w="109"/>
        <w:gridCol w:w="109"/>
        <w:gridCol w:w="109"/>
        <w:gridCol w:w="769"/>
        <w:gridCol w:w="769"/>
        <w:gridCol w:w="771"/>
        <w:gridCol w:w="109"/>
        <w:gridCol w:w="109"/>
        <w:gridCol w:w="109"/>
        <w:gridCol w:w="646"/>
        <w:gridCol w:w="646"/>
        <w:gridCol w:w="926"/>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70,176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$68.50</w:t>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$65.50</w:t>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$81.50</w:t>
            </w:r>
          </w:p>
        </w:tc>
      </w:tr>
      <w:tr>
        <w:trPr/>
        <w:tc>
          <w:tcPr>
            <w:tcW w:w="14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$66.12</w:t>
            </w:r>
          </w:p>
        </w:tc>
      </w:tr>
      <w:tr>
        <w:trPr/>
        <w:tc>
          <w:tcPr>
            <w:tcW w:w="1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$48.75</w:t>
            </w:r>
          </w:p>
        </w:tc>
      </w:tr>
      <w:tr>
        <w:trPr/>
        <w:tc>
          <w:tcPr>
            <w:tcW w:w="14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$50.75</w:t>
            </w:r>
          </w:p>
        </w:tc>
      </w:tr>
    </w:tbl>
    <w:p>
      <w:pPr>
        <w:pStyle w:val="TextBody"/>
        <w:spacing w:before="120" w:after="283"/>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consolidated statements of operations for the years ended December 31, 2022 and 2021:</w:t>
      </w:r>
    </w:p>
    <w:p>
      <w:pPr>
        <w:pStyle w:val="TextBody"/>
        <w:spacing w:before="0" w:after="0"/>
        <w:ind w:left="0" w:right="0" w:firstLine="360"/>
        <w:rPr/>
      </w:pPr>
      <w:r>
        <w:rPr/>
      </w:r>
    </w:p>
    <w:tbl>
      <w:tblPr>
        <w:tblW w:w="9936" w:type="dxa"/>
        <w:jc w:val="left"/>
        <w:tblInd w:w="0" w:type="dxa"/>
        <w:tblCellMar>
          <w:top w:w="28" w:type="dxa"/>
          <w:left w:w="28" w:type="dxa"/>
          <w:bottom w:w="28" w:type="dxa"/>
          <w:right w:w="28" w:type="dxa"/>
        </w:tblCellMar>
      </w:tblPr>
      <w:tblGrid>
        <w:gridCol w:w="1446"/>
        <w:gridCol w:w="1268"/>
        <w:gridCol w:w="1275"/>
        <w:gridCol w:w="884"/>
        <w:gridCol w:w="884"/>
        <w:gridCol w:w="887"/>
        <w:gridCol w:w="109"/>
        <w:gridCol w:w="109"/>
        <w:gridCol w:w="109"/>
        <w:gridCol w:w="315"/>
        <w:gridCol w:w="315"/>
        <w:gridCol w:w="315"/>
        <w:gridCol w:w="315"/>
        <w:gridCol w:w="315"/>
        <w:gridCol w:w="315"/>
        <w:gridCol w:w="315"/>
        <w:gridCol w:w="315"/>
        <w:gridCol w:w="445"/>
      </w:tblGrid>
      <w:tr>
        <w:trPr/>
        <w:tc>
          <w:tcPr>
            <w:tcW w:w="144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398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6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89" w:type="dxa"/>
            <w:gridSpan w:val="3"/>
            <w:vMerge w:val="continue"/>
            <w:tcBorders/>
            <w:shd w:fill="auto" w:val="clear"/>
            <w:tcMar>
              <w:top w:w="0" w:type="dxa"/>
              <w:left w:w="0" w:type="dxa"/>
              <w:bottom w:w="0" w:type="dxa"/>
              <w:right w:w="0" w:type="dxa"/>
            </w:tcMar>
            <w:vAlign w:val="center"/>
          </w:tcPr>
          <w:p>
            <w:pPr>
              <w:pStyle w:val="Normal"/>
              <w:rPr/>
            </w:pPr>
            <w:r>
              <w:rPr/>
            </w:r>
          </w:p>
        </w:tc>
        <w:tc>
          <w:tcPr>
            <w:tcW w:w="265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(1,148)</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$(1,170)</w:t>
            </w:r>
          </w:p>
        </w:tc>
      </w:tr>
    </w:tbl>
    <w:p>
      <w:pPr>
        <w:pStyle w:val="TextBody"/>
        <w:spacing w:before="0" w:after="0"/>
        <w:ind w:left="0" w:right="0" w:firstLine="360"/>
        <w:rPr/>
      </w:pPr>
      <w:r>
        <w:rPr/>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December 31, 2022 and December 31, 2021</w:t>
      </w:r>
    </w:p>
    <w:p>
      <w:pPr>
        <w:pStyle w:val="TextBody"/>
        <w:spacing w:before="0" w:after="0"/>
        <w:ind w:left="0" w:right="0" w:firstLine="360"/>
        <w:rPr/>
      </w:pPr>
      <w:r>
        <w:rPr/>
      </w:r>
    </w:p>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17"/>
        <w:gridCol w:w="1067"/>
        <w:gridCol w:w="1073"/>
        <w:gridCol w:w="482"/>
        <w:gridCol w:w="482"/>
        <w:gridCol w:w="484"/>
        <w:gridCol w:w="111"/>
        <w:gridCol w:w="111"/>
        <w:gridCol w:w="111"/>
        <w:gridCol w:w="482"/>
        <w:gridCol w:w="482"/>
        <w:gridCol w:w="484"/>
        <w:gridCol w:w="109"/>
        <w:gridCol w:w="109"/>
        <w:gridCol w:w="109"/>
        <w:gridCol w:w="959"/>
        <w:gridCol w:w="959"/>
        <w:gridCol w:w="1374"/>
      </w:tblGrid>
      <w:tr>
        <w:trPr/>
        <w:tc>
          <w:tcPr>
            <w:tcW w:w="121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1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3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1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spacing w:before="0" w:after="0"/>
        <w:ind w:left="0" w:right="0" w:firstLine="36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spacing w:lineRule="auto" w:line="288" w:before="120" w:after="283"/>
        <w:ind w:left="0" w:right="0" w:firstLine="720"/>
        <w:jc w:val="both"/>
        <w:rPr/>
      </w:pPr>
      <w:r>
        <w:rPr>
          <w:rFonts w:ascii="Times New Roman;sans-serif" w:hAnsi="Times New Roman;sans-serif"/>
          <w:b w:val="false"/>
          <w:color w:val="000000"/>
          <w:sz w:val="20"/>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for additional information. The change in fair value on these derivative instruments in recorded as change in fair value of derivative instruments, net in the consolidated statement of operations for the year ended December 31, 2022. </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consolidated statements of operations for the years ended December 31, 2022 and 2021:</w:t>
      </w:r>
    </w:p>
    <w:tbl>
      <w:tblPr>
        <w:tblW w:w="10205" w:type="dxa"/>
        <w:jc w:val="left"/>
        <w:tblInd w:w="0" w:type="dxa"/>
        <w:tblCellMar>
          <w:top w:w="28" w:type="dxa"/>
          <w:left w:w="28" w:type="dxa"/>
          <w:bottom w:w="28" w:type="dxa"/>
          <w:right w:w="28" w:type="dxa"/>
        </w:tblCellMar>
      </w:tblPr>
      <w:tblGrid>
        <w:gridCol w:w="1260"/>
        <w:gridCol w:w="1069"/>
        <w:gridCol w:w="1019"/>
        <w:gridCol w:w="109"/>
        <w:gridCol w:w="109"/>
        <w:gridCol w:w="109"/>
        <w:gridCol w:w="353"/>
        <w:gridCol w:w="339"/>
        <w:gridCol w:w="255"/>
        <w:gridCol w:w="255"/>
        <w:gridCol w:w="255"/>
        <w:gridCol w:w="255"/>
        <w:gridCol w:w="335"/>
        <w:gridCol w:w="255"/>
        <w:gridCol w:w="255"/>
        <w:gridCol w:w="109"/>
        <w:gridCol w:w="109"/>
        <w:gridCol w:w="109"/>
        <w:gridCol w:w="1099"/>
        <w:gridCol w:w="1051"/>
        <w:gridCol w:w="1496"/>
      </w:tblGrid>
      <w:tr>
        <w:trPr/>
        <w:tc>
          <w:tcPr>
            <w:tcW w:w="1260"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r>
      <w:tr>
        <w:trPr/>
        <w:tc>
          <w:tcPr>
            <w:tcW w:w="33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vMerge w:val="continue"/>
            <w:tcBorders/>
            <w:shd w:fill="CCEEFF" w:val="clear"/>
            <w:tcMar>
              <w:top w:w="0" w:type="dxa"/>
              <w:left w:w="0" w:type="dxa"/>
              <w:bottom w:w="0" w:type="dxa"/>
              <w:right w:w="0" w:type="dxa"/>
            </w:tcMar>
            <w:vAlign w:val="center"/>
          </w:tcPr>
          <w:p>
            <w:pPr>
              <w:pStyle w:val="Normal"/>
              <w:rPr/>
            </w:pPr>
            <w:r>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liability payable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35,200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(9,027)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$32,583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$88,312 and $134,083 as of December 31, 2022 and December 31, 2021, respectively, represents the total amount to be repaid if the debt has to be discharged in full and therefore approximates its fair value.</w:t>
      </w:r>
    </w:p>
    <w:p>
      <w:pPr>
        <w:pStyle w:val="TextBody"/>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December 31, 2022, the Company recorded the Convertible Note Payable at par plus accrued interest as it is payable on demand by either party and therefore represents fair value. The fair value as of December 31, 2021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as of December 31, 2021 based on discount rates ranging from 7.0% to 7.5%.</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outstanding warrants by recording its fair value of a liability on the Closing Date of the Business Combination and recording the change in the fair value at the balance sheet date in the consolidated statement of operations. The Company redeemed the outstanding Private and Public Warrants by issuing 3,309,296 and 497,080 shares of Class A common stock in exchange for the 100% of the outstanding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and recorded $25,920 as fair value of shares of Class A common stock issued based on the weighted average closing share price of $6.80 on December 22, 2022 and $6.87 on December 23, 2022, respectively. The Company recorded $3,368 as loss on exchange of warrants in its consolidated statement of operations for the year ended December 31, 2022.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December 31, 2022 was determined using a Monte Carlo valuation model with a distribution of potential outcomes on a daily basis over the five year post-close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4.5 year term of the earnout period;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December 31, 2022 was determined using a Monte Carlo valuation model with a distribution of potential outcomes for stock price and EBITDA over the 2-year period commencing on January 1, 2023 and ending on December 31, 2024. </w:t>
      </w:r>
    </w:p>
    <w:p>
      <w:pPr>
        <w:pStyle w:val="TextBody"/>
        <w:spacing w:before="120" w:after="283"/>
        <w:ind w:left="0" w:right="0" w:firstLine="360"/>
        <w:jc w:val="both"/>
        <w:rPr/>
      </w:pPr>
      <w:r>
        <w:rPr/>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OPAL Earnout Awards for the year ended December 31, 2022 resulted in a gain of $35,200 due to decrease in stock price and the EBITDA projections over the 2-year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1.8 year term of the earnout period;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put option with Meteora as of December 31, 2022 was determined using a Monte Carlo valuation model with a distribution of potential outcomes on a daily basis over the 6 month post-close period. Assumptions used in the valuation are as follows:</w:t>
      </w:r>
    </w:p>
    <w:p>
      <w:pPr>
        <w:pStyle w:val="TextBody"/>
        <w:spacing w:before="0" w:after="0"/>
        <w:rPr/>
      </w:pPr>
      <w:r>
        <w:rPr/>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spacing w:lineRule="auto" w:line="240" w:before="0" w:after="0"/>
        <w:ind w:left="0" w:right="0" w:hanging="360"/>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0.1 year term of the Forward Purchase Agreement;</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Dividend yield - zero.</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December 31, 2022 and December 31, 2021, set forth by level, within the fair value hierarchy:</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388" w:type="dxa"/>
        <w:jc w:val="left"/>
        <w:tblInd w:w="0" w:type="dxa"/>
        <w:tblCellMar>
          <w:top w:w="28" w:type="dxa"/>
          <w:left w:w="28" w:type="dxa"/>
          <w:bottom w:w="28" w:type="dxa"/>
          <w:right w:w="28" w:type="dxa"/>
        </w:tblCellMar>
      </w:tblPr>
      <w:tblGrid>
        <w:gridCol w:w="772"/>
        <w:gridCol w:w="678"/>
        <w:gridCol w:w="680"/>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8"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tbl>
      <w:tblPr>
        <w:tblW w:w="9180" w:type="dxa"/>
        <w:jc w:val="left"/>
        <w:tblInd w:w="0" w:type="dxa"/>
        <w:tblCellMar>
          <w:top w:w="28" w:type="dxa"/>
          <w:left w:w="28" w:type="dxa"/>
          <w:bottom w:w="28" w:type="dxa"/>
          <w:right w:w="28" w:type="dxa"/>
        </w:tblCellMar>
      </w:tblPr>
      <w:tblGrid>
        <w:gridCol w:w="1817"/>
        <w:gridCol w:w="1594"/>
        <w:gridCol w:w="159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21"/>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Contingent consideration on acquisition of non-controlling interest </w:t>
            </w:r>
            <w:r>
              <w:rPr>
                <w:rFonts w:ascii="Times New Roman;sans-serif" w:hAnsi="Times New Roman;sans-serif"/>
                <w:b w:val="false"/>
                <w:color w:val="000000"/>
                <w:sz w:val="12"/>
              </w:rPr>
              <w:t>(1)</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During the third quarter of 2022, the Company determined that it is no longer required to pay the contingent consideration as the applicable criteria for payment are no longer met and the Company recognized a gain of $4,365 which was recorded as part of change in fair value of derivative instruments, net. </w:t>
      </w:r>
    </w:p>
    <w:p>
      <w:pPr>
        <w:pStyle w:val="TextBody"/>
        <w:spacing w:before="200" w:after="6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fair values of the Company’s Level 3 instruments, attributable to asset retirement obligations, for the year ended December 31, 2022 is included in Note 2.</w:t>
      </w:r>
    </w:p>
    <w:p>
      <w:pPr>
        <w:pStyle w:val="TextBody"/>
        <w:spacing w:lineRule="auto" w:line="268" w:before="0" w:after="0"/>
        <w:jc w:val="both"/>
        <w:rPr/>
      </w:pP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480"/>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Fortistar and other affiliates, subsidiaries and entities under common control with Fortistar or NextEra. </w:t>
      </w:r>
    </w:p>
    <w:p>
      <w:pPr>
        <w:pStyle w:val="TextBody"/>
        <w:spacing w:before="0" w:after="0"/>
        <w:ind w:left="0" w:right="0" w:firstLine="54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Capital contributions and distribution from and to members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the Company received contributions from Fortistar of $0 and $7,531, respectively. Additionally, the Company made distributions to Fortistar of $0 and $3,695 for the year ended December 31, 2022 and 2021, respectively.</w:t>
      </w:r>
    </w:p>
    <w:p>
      <w:pPr>
        <w:pStyle w:val="TextBody"/>
        <w:spacing w:before="0" w:after="0"/>
        <w:ind w:left="0" w:right="0" w:firstLine="480"/>
        <w:jc w:val="both"/>
        <w:rPr/>
      </w:pPr>
      <w:r>
        <w:rPr/>
      </w:r>
    </w:p>
    <w:p>
      <w:pPr>
        <w:pStyle w:val="TextBody"/>
        <w:spacing w:lineRule="auto" w:line="268"/>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$2,526 and $210 for the years ended December 31, 2022 and 2021, respectively. Please see Note 14. </w:t>
      </w:r>
      <w:r>
        <w:rPr>
          <w:rFonts w:ascii="Times New Roman;sans-serif" w:hAnsi="Times New Roman;sans-serif"/>
          <w:b w:val="false"/>
          <w:i/>
          <w:color w:val="000000"/>
          <w:sz w:val="20"/>
        </w:rPr>
        <w:t>Redeemable Preferred Units and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sold non-controlling interests to NextEra in four RNG projects (Pine Bend, Noble Road, Emerald and Sapphire) subsidiaries for 50% ownership interest. For the year ended December 31, 2022, the Company received $23,143 as contributions from the sale of such non-controlling interests in Emerald and Sapphire.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received $38,218 as contributions from the sale of non-controlling interests.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spacing w:lineRule="auto" w:line="288" w:before="160" w:after="283"/>
        <w:ind w:left="0" w:right="0" w:firstLine="48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rPr>
        <w:t>Redeemable non-controlling interests,Redeemable preferred non-controlling interests and Stockholders' Equity,</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for additional information.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rPr>
        <w:t>Derivative instruments and Fair value measurements</w:t>
      </w:r>
      <w:r>
        <w:rPr>
          <w:color w:val="000000"/>
        </w:rPr>
        <w:t xml:space="preserve"> </w:t>
      </w:r>
      <w:r>
        <w:rPr>
          <w:rFonts w:ascii="Times New Roman;sans-serif" w:hAnsi="Times New Roman;sans-serif"/>
          <w:b w:val="false"/>
          <w:color w:val="000000"/>
          <w:sz w:val="20"/>
        </w:rPr>
        <w:t>for additional information. The Company recorded $5,495 and $3,008 as revenues earned under the commodity swap contracts.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spacing w:lineRule="auto" w:line="288" w:before="160" w:after="283"/>
        <w:ind w:left="0" w:right="0" w:firstLine="720"/>
        <w:jc w:val="both"/>
        <w:rPr/>
      </w:pPr>
      <w:r>
        <w:rPr>
          <w:rFonts w:ascii="Times New Roman;sans-serif" w:hAnsi="Times New Roman;sans-serif"/>
          <w:b w:val="false"/>
          <w:color w:val="000000"/>
          <w:sz w:val="20"/>
        </w:rPr>
        <w:t>In July 2022, the Company raised</w:t>
      </w:r>
      <w:r>
        <w:rPr>
          <w:color w:val="000000"/>
        </w:rPr>
        <w:t xml:space="preserve"> </w:t>
      </w:r>
      <w:r>
        <w:rPr>
          <w:rFonts w:ascii="Times New Roman;sans-serif" w:hAnsi="Times New Roman;sans-serif"/>
          <w:b w:val="false"/>
          <w:color w:val="000000"/>
          <w:sz w:val="20"/>
        </w:rPr>
        <w:t xml:space="preserve">$138,850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10% interest for a cash consideration of $1,570 which owns 50% of Biotown, a power generation facility under development to convert to an RNG facility. The Reynolds transaction was an asset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from an affiliate under common control. The Company accounts for its 20% equity investment in GREP under the equity method. The Company recorded an income of $2,302 and net loss of $(124) as its share of net income (loss) for the years ended December 31, 2022 and 2021. </w:t>
      </w:r>
    </w:p>
    <w:p>
      <w:pPr>
        <w:pStyle w:val="TextBody"/>
        <w:spacing w:before="160" w:after="283"/>
        <w:ind w:left="0" w:right="0" w:firstLine="360"/>
        <w:jc w:val="both"/>
        <w:rPr/>
      </w:pPr>
      <w:r>
        <w:rPr/>
      </w:r>
    </w:p>
    <w:p>
      <w:pPr>
        <w:pStyle w:val="TextBody"/>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OPAL Fuel Station Services ("OFSS"),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consolidated statements of operations effective May 1, 2021. The Company accounted for Beacon under equity method for the period between January 1, 2021 and April 30, 2021 prior to the acquisition of remaining interests. Therefore, all environmental fees earned after May 1, 2021 are eliminated in the consolidated statement of operations. For the period between January 1, 2021 and April 30, 2021, the company earned environmental processing fees of $632, net of intersegment elimination.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OFSS contracted with Sunoma to dispense RNG and to generate and market the resulting RINs created on behalf of the entity. Additionally, OFSS contracted with Pine Bend in December 2020 and Noble Road in March 2021 to provide the same services. </w:t>
      </w:r>
    </w:p>
    <w:p>
      <w:pPr>
        <w:pStyle w:val="TextBody"/>
        <w:spacing w:before="160" w:after="283"/>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For the year ended December 31, 2022, the Company earned environmental processing fees of $709, net of intersegment elimination, under this agreement which are included in Fuel Station Services revenues in the consolidated statements of operations. For the year ended December 31, 2021, the Company earned $0, net of intersegment elimination under this agreement. </w:t>
      </w:r>
    </w:p>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2022 and 2021, there have been no material services provided by the Company's employees to Fortistar.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various fees recorded under the agreements described above which are included in "Selling, general, and administrative" expenses except for $1,518 incurred as transaction costs for the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Combination recorded in additional paid-in capital and $29 recorded as Deferred financing costs as of December 31, 2022:</w:t>
      </w:r>
    </w:p>
    <w:p>
      <w:pPr>
        <w:pStyle w:val="TextBody"/>
        <w:spacing w:before="0" w:after="0"/>
        <w:ind w:left="0" w:right="0" w:firstLine="480"/>
        <w:jc w:val="both"/>
        <w:rPr/>
      </w:pPr>
      <w:r>
        <w:rPr/>
      </w:r>
    </w:p>
    <w:tbl>
      <w:tblPr>
        <w:tblW w:w="7597" w:type="dxa"/>
        <w:jc w:val="left"/>
        <w:tblInd w:w="0" w:type="dxa"/>
        <w:tblCellMar>
          <w:top w:w="28" w:type="dxa"/>
          <w:left w:w="28" w:type="dxa"/>
          <w:bottom w:w="28" w:type="dxa"/>
          <w:right w:w="28" w:type="dxa"/>
        </w:tblCellMar>
      </w:tblPr>
      <w:tblGrid>
        <w:gridCol w:w="1468"/>
        <w:gridCol w:w="1289"/>
        <w:gridCol w:w="1293"/>
        <w:gridCol w:w="109"/>
        <w:gridCol w:w="109"/>
        <w:gridCol w:w="109"/>
        <w:gridCol w:w="342"/>
        <w:gridCol w:w="342"/>
        <w:gridCol w:w="342"/>
        <w:gridCol w:w="342"/>
        <w:gridCol w:w="342"/>
        <w:gridCol w:w="342"/>
        <w:gridCol w:w="342"/>
        <w:gridCol w:w="342"/>
        <w:gridCol w:w="484"/>
      </w:tblGrid>
      <w:tr>
        <w:trPr/>
        <w:tc>
          <w:tcPr>
            <w:tcW w:w="1468"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Staffing,management services and office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$8,393</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1,497</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processing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632</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$4,963</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$10,953</w:t>
            </w:r>
          </w:p>
        </w:tc>
      </w:tr>
    </w:tbl>
    <w:p>
      <w:pPr>
        <w:pStyle w:val="TextBody"/>
        <w:spacing w:before="0" w:after="0"/>
        <w:ind w:left="0" w:right="0" w:firstLine="480"/>
        <w:jc w:val="both"/>
        <w:rPr/>
      </w:pPr>
      <w:r>
        <w:rPr/>
      </w:r>
    </w:p>
    <w:p>
      <w:pPr>
        <w:pStyle w:val="TextBody"/>
        <w:spacing w:lineRule="auto" w:line="268" w:before="0" w:after="0"/>
        <w:ind w:left="0" w:right="0" w:firstLine="4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reimbursement of $600 and $378 for the use of office space for the years ended December 31, 2022 and 2021, respectively.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had Accounts payable, related party in the amounts of $1,346 and $166, respectively. As of December 31, 2022 and 2021, the Company had Accounts receivable, related party of $12,421 and $—,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0" w:after="283"/>
        <w:ind w:left="0" w:right="0" w:hanging="480"/>
        <w:rPr>
          <w:rFonts w:ascii="Times New Roman;sans-serif" w:hAnsi="Times New Roman;sans-serif"/>
          <w:b/>
          <w:color w:val="000000"/>
          <w:sz w:val="20"/>
        </w:rPr>
      </w:pPr>
      <w:r>
        <w:rPr>
          <w:rFonts w:ascii="Times New Roman;sans-serif" w:hAnsi="Times New Roman;sans-serif"/>
          <w:b/>
          <w:color w:val="000000"/>
          <w:sz w:val="20"/>
        </w:rPr>
        <w:t>12. Reportable Segments and Geographic Information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and dispensing activities directly related to the generation and sale of brown gas and environmental credits, and consists of</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has accounted for its interests in Pine Bend, Reynolds and Noble Road under the equity method of accounting and the results of operations of Beacon, New River, Central Valley, Emerald, Sapphire and Sunoma were consolidated in its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year ended December 31, 2021 were consolidated in its consolidated statement of operations. As of December 31, 2022, Central Valley, Emerald, and Sapphire are not operational. Sunoma became operational in December 2021, Noble Road in January 2022, Pine Bend in September 2022 and New River in April 2022. </w:t>
      </w:r>
    </w:p>
    <w:p>
      <w:pPr>
        <w:pStyle w:val="TextBody"/>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This segment includes:</w:t>
      </w:r>
    </w:p>
    <w:p>
      <w:pPr>
        <w:pStyle w:val="TextBody"/>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typically lasting less than one year. </w:t>
      </w:r>
    </w:p>
    <w:p>
      <w:pPr>
        <w:pStyle w:val="TextBody"/>
        <w:spacing w:before="0" w:after="0"/>
        <w:ind w:left="0" w:right="0" w:hanging="180"/>
        <w:rPr/>
      </w:pPr>
      <w:r>
        <w:rPr/>
      </w:r>
    </w:p>
    <w:p>
      <w:pPr>
        <w:pStyle w:val="TextBody"/>
        <w:spacing w:lineRule="auto" w:line="240"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spacing w:before="0" w:after="0"/>
        <w:ind w:left="0" w:right="0" w:hanging="180"/>
        <w:rPr/>
      </w:pPr>
      <w:r>
        <w:rPr/>
      </w:r>
    </w:p>
    <w:p>
      <w:pPr>
        <w:pStyle w:val="TextBody"/>
        <w:spacing w:lineRule="auto" w:line="240"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spacing w:lineRule="auto" w:line="268" w:before="0" w:after="0"/>
        <w:ind w:left="0" w:right="0" w:hanging="540"/>
        <w:rPr/>
      </w:pPr>
      <w:r>
        <w:rPr>
          <w:color w:val="000000"/>
        </w:rPr>
        <w:t>◦</w:t>
      </w:r>
      <w:r>
        <w:rPr>
          <w:rFonts w:ascii="Times New Roman;sans-serif" w:hAnsi="Times New Roman;sans-serif"/>
          <w:b w:val="false"/>
          <w:color w:val="000000"/>
          <w:sz w:val="20"/>
        </w:rPr>
        <w:t>Insurance, professional fees (audit, tax, legal etc.).</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tbl>
      <w:tblPr>
        <w:tblW w:w="4985" w:type="dxa"/>
        <w:jc w:val="left"/>
        <w:tblInd w:w="0" w:type="dxa"/>
        <w:tblCellMar>
          <w:top w:w="28" w:type="dxa"/>
          <w:left w:w="28" w:type="dxa"/>
          <w:bottom w:w="28" w:type="dxa"/>
          <w:right w:w="28" w:type="dxa"/>
        </w:tblCellMar>
      </w:tblPr>
      <w:tblGrid>
        <w:gridCol w:w="797"/>
        <w:gridCol w:w="699"/>
        <w:gridCol w:w="708"/>
        <w:gridCol w:w="109"/>
        <w:gridCol w:w="109"/>
        <w:gridCol w:w="109"/>
        <w:gridCol w:w="196"/>
        <w:gridCol w:w="736"/>
        <w:gridCol w:w="109"/>
        <w:gridCol w:w="109"/>
        <w:gridCol w:w="109"/>
        <w:gridCol w:w="109"/>
        <w:gridCol w:w="196"/>
        <w:gridCol w:w="73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lineRule="auto" w:line="288" w:before="6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5300" w:type="dxa"/>
        <w:jc w:val="left"/>
        <w:tblInd w:w="0" w:type="dxa"/>
        <w:tblCellMar>
          <w:top w:w="28" w:type="dxa"/>
          <w:left w:w="28" w:type="dxa"/>
          <w:bottom w:w="28" w:type="dxa"/>
          <w:right w:w="28" w:type="dxa"/>
        </w:tblCellMar>
      </w:tblPr>
      <w:tblGrid>
        <w:gridCol w:w="988"/>
        <w:gridCol w:w="869"/>
        <w:gridCol w:w="872"/>
        <w:gridCol w:w="109"/>
        <w:gridCol w:w="109"/>
        <w:gridCol w:w="109"/>
        <w:gridCol w:w="196"/>
        <w:gridCol w:w="631"/>
        <w:gridCol w:w="109"/>
        <w:gridCol w:w="109"/>
        <w:gridCol w:w="109"/>
        <w:gridCol w:w="109"/>
        <w:gridCol w:w="196"/>
        <w:gridCol w:w="631"/>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spacing w:before="6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5765" w:type="dxa"/>
        <w:jc w:val="left"/>
        <w:tblInd w:w="0" w:type="dxa"/>
        <w:tblCellMar>
          <w:top w:w="28" w:type="dxa"/>
          <w:left w:w="28" w:type="dxa"/>
          <w:bottom w:w="28" w:type="dxa"/>
          <w:right w:w="28" w:type="dxa"/>
        </w:tblCellMar>
      </w:tblPr>
      <w:tblGrid>
        <w:gridCol w:w="1146"/>
        <w:gridCol w:w="1006"/>
        <w:gridCol w:w="1012"/>
        <w:gridCol w:w="109"/>
        <w:gridCol w:w="109"/>
        <w:gridCol w:w="109"/>
        <w:gridCol w:w="196"/>
        <w:gridCol w:w="646"/>
        <w:gridCol w:w="109"/>
        <w:gridCol w:w="109"/>
        <w:gridCol w:w="109"/>
        <w:gridCol w:w="109"/>
        <w:gridCol w:w="196"/>
        <w:gridCol w:w="646"/>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1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4805" w:type="dxa"/>
        <w:jc w:val="left"/>
        <w:tblInd w:w="0" w:type="dxa"/>
        <w:tblCellMar>
          <w:top w:w="28" w:type="dxa"/>
          <w:left w:w="28" w:type="dxa"/>
          <w:bottom w:w="28" w:type="dxa"/>
          <w:right w:w="28" w:type="dxa"/>
        </w:tblCellMar>
      </w:tblPr>
      <w:tblGrid>
        <w:gridCol w:w="797"/>
        <w:gridCol w:w="701"/>
        <w:gridCol w:w="706"/>
        <w:gridCol w:w="109"/>
        <w:gridCol w:w="109"/>
        <w:gridCol w:w="109"/>
        <w:gridCol w:w="196"/>
        <w:gridCol w:w="646"/>
        <w:gridCol w:w="109"/>
        <w:gridCol w:w="109"/>
        <w:gridCol w:w="109"/>
        <w:gridCol w:w="109"/>
        <w:gridCol w:w="196"/>
        <w:gridCol w:w="646"/>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00"/>
        <w:jc w:val="both"/>
        <w:rPr/>
      </w:pPr>
      <w:r>
        <w:rPr/>
      </w:r>
    </w:p>
    <w:tbl>
      <w:tblPr>
        <w:tblW w:w="7040" w:type="dxa"/>
        <w:jc w:val="left"/>
        <w:tblInd w:w="0" w:type="dxa"/>
        <w:tblCellMar>
          <w:top w:w="28" w:type="dxa"/>
          <w:left w:w="28" w:type="dxa"/>
          <w:bottom w:w="28" w:type="dxa"/>
          <w:right w:w="28" w:type="dxa"/>
        </w:tblCellMar>
      </w:tblPr>
      <w:tblGrid>
        <w:gridCol w:w="1576"/>
        <w:gridCol w:w="1384"/>
        <w:gridCol w:w="1389"/>
        <w:gridCol w:w="109"/>
        <w:gridCol w:w="109"/>
        <w:gridCol w:w="109"/>
        <w:gridCol w:w="196"/>
        <w:gridCol w:w="736"/>
        <w:gridCol w:w="109"/>
        <w:gridCol w:w="109"/>
        <w:gridCol w:w="109"/>
        <w:gridCol w:w="109"/>
        <w:gridCol w:w="196"/>
        <w:gridCol w:w="646"/>
        <w:gridCol w:w="154"/>
      </w:tblGrid>
      <w:tr>
        <w:trPr/>
        <w:tc>
          <w:tcPr>
            <w:tcW w:w="157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4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3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cash paid for finance leases of $863 and $0 for the years ended December 31, 2022 and 2021. </w:t>
      </w:r>
    </w:p>
    <w:tbl>
      <w:tblPr>
        <w:tblW w:w="4855" w:type="dxa"/>
        <w:jc w:val="left"/>
        <w:tblInd w:w="0" w:type="dxa"/>
        <w:tblCellMar>
          <w:top w:w="28" w:type="dxa"/>
          <w:left w:w="28" w:type="dxa"/>
          <w:bottom w:w="28" w:type="dxa"/>
          <w:right w:w="28" w:type="dxa"/>
        </w:tblCellMar>
      </w:tblPr>
      <w:tblGrid>
        <w:gridCol w:w="795"/>
        <w:gridCol w:w="701"/>
        <w:gridCol w:w="708"/>
        <w:gridCol w:w="214"/>
        <w:gridCol w:w="806"/>
        <w:gridCol w:w="119"/>
        <w:gridCol w:w="109"/>
        <w:gridCol w:w="109"/>
        <w:gridCol w:w="109"/>
        <w:gridCol w:w="214"/>
        <w:gridCol w:w="803"/>
        <w:gridCol w:w="168"/>
      </w:tblGrid>
      <w:tr>
        <w:trPr/>
        <w:tc>
          <w:tcPr>
            <w:tcW w:w="79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43,728 </w:t>
            </w:r>
          </w:p>
        </w:tc>
        <w:tc>
          <w:tcPr>
            <w:tcW w:w="168" w:type="dxa"/>
            <w:tcBorders/>
            <w:shd w:fill="FFFF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376,933 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17,887 </w:t>
            </w:r>
          </w:p>
        </w:tc>
        <w:tc>
          <w:tcPr>
            <w:tcW w:w="168" w:type="dxa"/>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480"/>
        <w:jc w:val="both"/>
        <w:rPr/>
      </w:pPr>
      <w:r>
        <w:rPr/>
      </w:r>
    </w:p>
    <w:p>
      <w:pPr>
        <w:pStyle w:val="TextBody"/>
        <w:spacing w:lineRule="auto" w:line="288" w:before="160" w:after="283"/>
        <w:ind w:left="0" w:right="0" w:firstLine="480"/>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60" w:after="283"/>
        <w:ind w:left="0" w:right="0" w:hanging="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13. Variable Interest Entities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consolidated balance sheet as of December 31, 2022 and recorded $4,365 as change in fair value of derivative instruments,net in its consolidated statement of operations for the year ended December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2022 and December 31, 2021.</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spacing w:lineRule="auto" w:line="288" w:before="160" w:after="283"/>
        <w:ind w:left="0" w:right="0" w:hanging="540"/>
        <w:jc w:val="both"/>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spacing w:lineRule="auto" w:line="288" w:before="160" w:after="283"/>
        <w:ind w:left="0" w:right="0" w:firstLine="360"/>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consolidated financial statements.</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consolidated balance sheet items for consolidated VIEs as of December 31, 2022 and December 31, 2021. The information below is presented on an aggregate basis based on similar risk and reward characteristics and the nature of our involvement with the VIEs, such as: </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spacing w:lineRule="auto" w:line="288" w:before="160" w:after="283"/>
        <w:ind w:left="0" w:right="0" w:hanging="540"/>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consolidated balance sheets and are included in the asset totals listed in the table below.</w:t>
      </w:r>
    </w:p>
    <w:tbl>
      <w:tblPr>
        <w:tblW w:w="5907" w:type="dxa"/>
        <w:jc w:val="left"/>
        <w:tblInd w:w="0" w:type="dxa"/>
        <w:tblCellMar>
          <w:top w:w="28" w:type="dxa"/>
          <w:left w:w="28" w:type="dxa"/>
          <w:bottom w:w="28" w:type="dxa"/>
          <w:right w:w="28" w:type="dxa"/>
        </w:tblCellMar>
      </w:tblPr>
      <w:tblGrid>
        <w:gridCol w:w="1178"/>
        <w:gridCol w:w="1034"/>
        <w:gridCol w:w="1043"/>
        <w:gridCol w:w="235"/>
        <w:gridCol w:w="775"/>
        <w:gridCol w:w="130"/>
        <w:gridCol w:w="109"/>
        <w:gridCol w:w="109"/>
        <w:gridCol w:w="109"/>
        <w:gridCol w:w="233"/>
        <w:gridCol w:w="769"/>
        <w:gridCol w:w="183"/>
      </w:tblGrid>
      <w:tr>
        <w:trPr/>
        <w:tc>
          <w:tcPr>
            <w:tcW w:w="117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2021</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8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1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 xml:space="preserve">Non-redeemable non-controlling interests </w:t>
            </w:r>
            <w:r>
              <w:rPr>
                <w:rFonts w:ascii="Times New Roman;sans-serif" w:hAnsi="Times New Roman;sans-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83"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 August 2022, the Company paid $5,845 as prepayment of its share of equity contribution in a joint venture to meet the equity requirements. As of December 31, 2022, $2,922 of the payment has been reflected as part of non-redeemable non-controlling interest in the consolidated statement of changes in Redeemable non-controlling interests, redeemable preferred non-controlling interests and stockholders' equity.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14. Redeemable non-controlling interests, Redeemable preferred non-controlling interests and Stockholders' Equity</w:t>
      </w:r>
    </w:p>
    <w:p>
      <w:pPr>
        <w:pStyle w:val="TextBody"/>
        <w:spacing w:before="0" w:after="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 in Redeemable non-controlling interests, Redeemable preferred non-controlling interests and stockholders' equity reflect the reverse recapitalization and Business Combination as mentioned in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 consolidated statement of change in redeemable preferred units and stockholders' equity were retroactively adjusted. </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Business Combination, there were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As part of the Business Combination, $68,359 of Class A common stock and Additional paid-in capital was recorded, net of transaction costs of $6,467.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r>
        <w:rPr>
          <w:rFonts w:ascii="Times New Roman;sans-serif" w:hAnsi="Times New Roman;sans-serif"/>
          <w:b w:val="false"/>
          <w:i/>
          <w:color w:val="000000"/>
          <w:sz w:val="20"/>
        </w:rPr>
        <w:t>.</w:t>
      </w:r>
    </w:p>
    <w:p>
      <w:pPr>
        <w:pStyle w:val="TextBody"/>
        <w:spacing w:before="0" w:after="0"/>
        <w:ind w:left="0" w:right="0" w:firstLine="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 </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 common stock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Class B common stock may, together with the corresponding Class B Units, be exchanged for shares of Class A common stock.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B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Shares of Class C common stock may be converted to shares of Class A common stock, as discussed further below</w:t>
      </w:r>
      <w:r>
        <w:rPr>
          <w:rFonts w:ascii="Times New Roman;sans-serif" w:hAnsi="Times New Roman;sans-serif"/>
          <w:b w:val="false"/>
          <w:i/>
          <w:color w:val="000000"/>
          <w:sz w:val="20"/>
        </w:rPr>
        <w:t>.</w:t>
      </w:r>
    </w:p>
    <w:p>
      <w:pPr>
        <w:pStyle w:val="TextBody"/>
        <w:spacing w:before="0" w:after="0"/>
        <w:rPr/>
      </w:pPr>
      <w:r>
        <w:rPr/>
      </w:r>
    </w:p>
    <w:p>
      <w:pPr>
        <w:pStyle w:val="TextBody"/>
        <w:spacing w:lineRule="auto" w:line="240" w:before="0" w:after="0"/>
        <w:ind w:left="0" w:right="0" w:hanging="360"/>
        <w:jc w:val="both"/>
        <w:rPr/>
      </w:pPr>
      <w:r>
        <w:rPr>
          <w:color w:val="000000"/>
        </w:rPr>
        <w:t xml:space="preserve">• </w:t>
      </w:r>
      <w:r>
        <w:rPr>
          <w:rFonts w:ascii="Times New Roman;sans-serif" w:hAnsi="Times New Roman;sans-serif"/>
          <w:b w:val="false"/>
          <w:i/>
          <w:color w:val="000000"/>
          <w:sz w:val="20"/>
        </w:rPr>
        <w:t xml:space="preserve">Voluntary Conversion. </w:t>
      </w:r>
      <w:r>
        <w:rPr>
          <w:rFonts w:ascii="Times New Roman;sans-serif" w:hAnsi="Times New Roman;sans-serif"/>
          <w:b w:val="false"/>
          <w:color w:val="000000"/>
          <w:sz w:val="20"/>
        </w:rPr>
        <w:t>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pStyle w:val="TextBody"/>
        <w:spacing w:lineRule="auto" w:line="240" w:before="0" w:after="0"/>
        <w:jc w:val="both"/>
        <w:rPr/>
      </w:pPr>
      <w:r>
        <w:rPr>
          <w:color w:val="000000"/>
        </w:rPr>
        <w:t>•</w:t>
      </w:r>
      <w:r>
        <w:rPr>
          <w:rFonts w:ascii="Times New Roman;sans-serif" w:hAnsi="Times New Roman;sans-serif"/>
          <w:b w:val="false"/>
          <w:i/>
          <w:color w:val="000000"/>
          <w:sz w:val="20"/>
        </w:rPr>
        <w:t xml:space="preserve">Automatic Conversion. </w:t>
      </w:r>
      <w:r>
        <w:rPr>
          <w:rFonts w:ascii="Times New Roman;sans-serif" w:hAnsi="Times New Roman;sans-serif"/>
          <w:b w:val="false"/>
          <w:color w:val="000000"/>
          <w:sz w:val="20"/>
        </w:rPr>
        <w:t>Each share of Class C common stock shall automatically, without any further action, convert into one share of Class A common stock upon a transfer, other than a Transfer to a qualified stockholder (as defined in the Charter).</w:t>
      </w:r>
    </w:p>
    <w:p>
      <w:pPr>
        <w:pStyle w:val="TextBody"/>
        <w:spacing w:before="0" w:after="0"/>
        <w:ind w:left="0" w:right="0" w:firstLine="36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both"/>
        <w:rPr/>
      </w:pPr>
      <w:r>
        <w:rPr>
          <w:rFonts w:ascii="Times New Roman;sans-serif" w:hAnsi="Times New Roman;sans-serif"/>
          <w:b w:val="false"/>
          <w:i/>
          <w:color w:val="000000"/>
          <w:sz w:val="20"/>
        </w:rPr>
        <w:t>Dividends</w:t>
      </w:r>
      <w:r>
        <w:rPr>
          <w:rFonts w:ascii="Times New Roman;sans-serif" w:hAnsi="Times New Roman;sans-serif"/>
          <w:b w:val="false"/>
          <w:color w:val="000000"/>
          <w:sz w:val="20"/>
        </w:rPr>
        <w:t>. 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D common stock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xml:space="preserve">. Each share of Class D common stock shall be convertible into one share of Class B common stock at the option of the holder thereof at any time upon written notice to the Company; </w:t>
      </w:r>
    </w:p>
    <w:p>
      <w:pPr>
        <w:pStyle w:val="TextBody"/>
        <w:spacing w:lineRule="auto" w:line="240" w:before="0" w:after="0"/>
        <w:jc w:val="both"/>
        <w:rPr/>
      </w:pPr>
      <w:r>
        <w:rPr>
          <w:color w:val="000000"/>
        </w:rPr>
        <w:t>    </w:t>
      </w: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D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December 31, 2022.</w:t>
      </w:r>
    </w:p>
    <w:p>
      <w:pPr>
        <w:pStyle w:val="TextBody"/>
        <w:spacing w:before="0" w:after="0"/>
        <w:ind w:left="0" w:right="0" w:firstLine="360"/>
        <w:jc w:val="both"/>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2021 to December 31, 2022:</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58"/>
        <w:gridCol w:w="1489"/>
        <w:gridCol w:w="1499"/>
        <w:gridCol w:w="109"/>
        <w:gridCol w:w="109"/>
        <w:gridCol w:w="109"/>
        <w:gridCol w:w="362"/>
        <w:gridCol w:w="261"/>
        <w:gridCol w:w="232"/>
        <w:gridCol w:w="222"/>
        <w:gridCol w:w="222"/>
        <w:gridCol w:w="222"/>
        <w:gridCol w:w="260"/>
        <w:gridCol w:w="260"/>
        <w:gridCol w:w="261"/>
        <w:gridCol w:w="109"/>
        <w:gridCol w:w="109"/>
        <w:gridCol w:w="109"/>
        <w:gridCol w:w="390"/>
        <w:gridCol w:w="352"/>
        <w:gridCol w:w="219"/>
        <w:gridCol w:w="202"/>
        <w:gridCol w:w="202"/>
        <w:gridCol w:w="202"/>
        <w:gridCol w:w="272"/>
        <w:gridCol w:w="272"/>
        <w:gridCol w:w="392"/>
      </w:tblGrid>
      <w:tr>
        <w:trPr/>
        <w:tc>
          <w:tcPr>
            <w:tcW w:w="1758"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4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r>
      <w:tr>
        <w:trPr/>
        <w:tc>
          <w:tcPr>
            <w:tcW w:w="4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4,841</w:t>
            </w:r>
          </w:p>
        </w:tc>
      </w:tr>
      <w:tr>
        <w:trPr/>
        <w:tc>
          <w:tcPr>
            <w:tcW w:w="4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4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$32,736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$105,406</w:t>
            </w:r>
          </w:p>
        </w:tc>
      </w:tr>
    </w:tbl>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spacing w:before="0" w:after="0"/>
        <w:jc w:val="both"/>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consolidated statements of change in Redeemable non-controlling interests, Redeemable preferred non-controlling interests and stockholders' equity.At each balance sheet date, the Redeemable non-controlling interests are adjusted up to their redemption value if necessary, with an offset in Stockholders' equity. As of December 31, 2022, the Company recorded $908,008 to adjust the carrying value to their redemption value based on a 5 day VWAP of $7.02 per share.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15. Net Income Per Share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consolidated financial statements. Therefore net income per share information has not been presented for periods prior to Business Combination on July 21, 2022. The basic and diluted net income per share for the year ended December 31, 2022 represent only the period from July 21, 2022 to December 31, 2022.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year ended December 31, 2022 does not include Redeemable preferred non-controlling interests, Convertible Note Payable because the substantive contingency for conversion has not been met as of December 31, 2022.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December 31, 2022.</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8817" w:type="dxa"/>
        <w:jc w:val="left"/>
        <w:tblInd w:w="0" w:type="dxa"/>
        <w:tblCellMar>
          <w:top w:w="28" w:type="dxa"/>
          <w:left w:w="28" w:type="dxa"/>
          <w:bottom w:w="28" w:type="dxa"/>
          <w:right w:w="28" w:type="dxa"/>
        </w:tblCellMar>
      </w:tblPr>
      <w:tblGrid>
        <w:gridCol w:w="2344"/>
        <w:gridCol w:w="2058"/>
        <w:gridCol w:w="2063"/>
        <w:gridCol w:w="109"/>
        <w:gridCol w:w="109"/>
        <w:gridCol w:w="109"/>
        <w:gridCol w:w="591"/>
        <w:gridCol w:w="591"/>
        <w:gridCol w:w="843"/>
      </w:tblGrid>
      <w:tr>
        <w:trPr/>
        <w:tc>
          <w:tcPr>
            <w:tcW w:w="2344"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$3,391</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fair value of the put option on the forward purchase agreement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3,257</w:t>
            </w:r>
          </w:p>
        </w:tc>
      </w:tr>
      <w:tr>
        <w:trPr/>
        <w:tc>
          <w:tcPr>
            <w:tcW w:w="6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25,774,312</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14,203</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the dilutive put option on a forward purchase agreement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273,883</w:t>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26,062,398</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$0.13</w:t>
            </w:r>
          </w:p>
        </w:tc>
      </w:tr>
      <w:tr>
        <w:trPr/>
        <w:tc>
          <w:tcPr>
            <w:tcW w:w="6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w:t>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and 2021, the Company recognized federal and state income tax expense of $— and $—, respectively.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0% for the year ended December 31, 2022. The difference between the Company's effective tax rate for the year ended December 31, 2022, and the U.S. statutory tax rate of 21% was primarily due to a full valuation allowance recorded on the Company's net U.S. and State deferred tax assets, income (loss) from pass-through entities not attributable to Class A common stock and state and local taxes. </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347" w:type="dxa"/>
        <w:jc w:val="left"/>
        <w:tblInd w:w="0" w:type="dxa"/>
        <w:tblCellMar>
          <w:top w:w="28" w:type="dxa"/>
          <w:left w:w="28" w:type="dxa"/>
          <w:bottom w:w="28" w:type="dxa"/>
          <w:right w:w="28" w:type="dxa"/>
        </w:tblCellMar>
      </w:tblPr>
      <w:tblGrid>
        <w:gridCol w:w="1457"/>
        <w:gridCol w:w="1280"/>
        <w:gridCol w:w="1283"/>
        <w:gridCol w:w="109"/>
        <w:gridCol w:w="109"/>
        <w:gridCol w:w="109"/>
        <w:gridCol w:w="290"/>
        <w:gridCol w:w="227"/>
        <w:gridCol w:w="200"/>
        <w:gridCol w:w="200"/>
        <w:gridCol w:w="200"/>
        <w:gridCol w:w="200"/>
        <w:gridCol w:w="200"/>
        <w:gridCol w:w="200"/>
        <w:gridCol w:w="283"/>
      </w:tblGrid>
      <w:tr>
        <w:trPr/>
        <w:tc>
          <w:tcPr>
            <w:tcW w:w="145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$6,884</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taxes, net of federal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valuation allowance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tax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are as follows:</w:t>
      </w:r>
    </w:p>
    <w:tbl>
      <w:tblPr>
        <w:tblW w:w="6277" w:type="dxa"/>
        <w:jc w:val="left"/>
        <w:tblInd w:w="0" w:type="dxa"/>
        <w:tblCellMar>
          <w:top w:w="28" w:type="dxa"/>
          <w:left w:w="28" w:type="dxa"/>
          <w:bottom w:w="28" w:type="dxa"/>
          <w:right w:w="28" w:type="dxa"/>
        </w:tblCellMar>
      </w:tblPr>
      <w:tblGrid>
        <w:gridCol w:w="1403"/>
        <w:gridCol w:w="1230"/>
        <w:gridCol w:w="1236"/>
        <w:gridCol w:w="109"/>
        <w:gridCol w:w="109"/>
        <w:gridCol w:w="109"/>
        <w:gridCol w:w="335"/>
        <w:gridCol w:w="263"/>
        <w:gridCol w:w="200"/>
        <w:gridCol w:w="200"/>
        <w:gridCol w:w="200"/>
        <w:gridCol w:w="200"/>
        <w:gridCol w:w="200"/>
        <w:gridCol w:w="200"/>
        <w:gridCol w:w="283"/>
      </w:tblGrid>
      <w:tr>
        <w:trPr/>
        <w:tc>
          <w:tcPr>
            <w:tcW w:w="140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1"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$26,637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163j interest limitation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NOL carryforward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NOL carryforward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or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2022. For purposes of determining pre-tax income/(loss) for the pre Business Combination period, the Company relied on the historical financial statements of Opal Fuels, LLC as this is the best information to represent the historic pre-tax income/(loss) of Opal Fuels Inc. As of December 31, 2022, the Company is in a three-year cumulative income position, excluding non-recurring items, of approximately $1000. However, the primary driver of the cumulative income position as of December 31, 2022,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under Tax Receivable Agreement</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ind w:left="0" w:right="0" w:firstLine="480"/>
        <w:jc w:val="both"/>
        <w:rPr/>
      </w:pPr>
      <w:r>
        <w:rPr/>
      </w:r>
    </w:p>
    <w:p>
      <w:pPr>
        <w:pStyle w:val="TextBody"/>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 xml:space="preserve">17. Stock-based compensation </w:t>
      </w:r>
    </w:p>
    <w:p>
      <w:pPr>
        <w:pStyle w:val="TextBody"/>
        <w:spacing w:lineRule="auto" w:line="288" w:before="160" w:after="283"/>
        <w:ind w:left="0" w:right="0" w:hanging="480"/>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2022, the Company granted 428,902 restricted stock units for certain eligible employees and board of directors under the 2022 Plan. The aggregate fair value of the grant was $3,405 based on the closing share price of $7.94 on October 3, 2022. The shares will vest in full on October 3, 2023. The amortization of the above </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for the year ended December 31, 2022 is $830 which is included in the selling, general and administrative expenses in the consolidated statement of operations.</w:t>
      </w:r>
    </w:p>
    <w:p>
      <w:pPr>
        <w:pStyle w:val="TextBody"/>
        <w:spacing w:lineRule="auto" w:line="288" w:before="160" w:after="283"/>
        <w:ind w:left="0" w:right="0" w:hanging="48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outstanding restricted stock units outstanding as of December 31, 2022:</w:t>
      </w:r>
    </w:p>
    <w:tbl>
      <w:tblPr>
        <w:tblW w:w="10205" w:type="dxa"/>
        <w:jc w:val="left"/>
        <w:tblInd w:w="0" w:type="dxa"/>
        <w:tblCellMar>
          <w:top w:w="28" w:type="dxa"/>
          <w:left w:w="28" w:type="dxa"/>
          <w:bottom w:w="28" w:type="dxa"/>
          <w:right w:w="28" w:type="dxa"/>
        </w:tblCellMar>
      </w:tblPr>
      <w:tblGrid>
        <w:gridCol w:w="1035"/>
        <w:gridCol w:w="830"/>
        <w:gridCol w:w="833"/>
        <w:gridCol w:w="109"/>
        <w:gridCol w:w="109"/>
        <w:gridCol w:w="109"/>
        <w:gridCol w:w="412"/>
        <w:gridCol w:w="412"/>
        <w:gridCol w:w="413"/>
        <w:gridCol w:w="109"/>
        <w:gridCol w:w="109"/>
        <w:gridCol w:w="109"/>
        <w:gridCol w:w="747"/>
        <w:gridCol w:w="747"/>
        <w:gridCol w:w="750"/>
        <w:gridCol w:w="109"/>
        <w:gridCol w:w="109"/>
        <w:gridCol w:w="109"/>
        <w:gridCol w:w="408"/>
        <w:gridCol w:w="408"/>
        <w:gridCol w:w="410"/>
        <w:gridCol w:w="109"/>
        <w:gridCol w:w="109"/>
        <w:gridCol w:w="109"/>
        <w:gridCol w:w="440"/>
        <w:gridCol w:w="430"/>
        <w:gridCol w:w="622"/>
      </w:tblGrid>
      <w:tr>
        <w:trPr/>
        <w:tc>
          <w:tcPr>
            <w:tcW w:w="103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6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per restricted unit on 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terms</w:t>
            </w:r>
          </w:p>
        </w:tc>
      </w:tr>
      <w:tr>
        <w:trPr/>
        <w:tc>
          <w:tcPr>
            <w:tcW w:w="26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during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428,902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October 3, 2023</w:t>
            </w:r>
          </w:p>
        </w:tc>
      </w:tr>
      <w:tr>
        <w:trPr/>
        <w:tc>
          <w:tcPr>
            <w:tcW w:w="26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422,349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283"/>
        <w:ind w:left="0" w:right="0" w:hanging="480"/>
        <w:jc w:val="both"/>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year ended December 31, 2022.</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66% of the Profit Interests issued vested and there were 34% of Profit Interests unvested. There were no forfeitures during the year ended December 31, 2022.</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46% of the Profit Interests issued vested and there were 54% of Profit Interests unvested.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4199" w:type="dxa"/>
        <w:jc w:val="left"/>
        <w:tblInd w:w="0" w:type="dxa"/>
        <w:tblCellMar>
          <w:top w:w="28" w:type="dxa"/>
          <w:left w:w="28" w:type="dxa"/>
          <w:bottom w:w="28" w:type="dxa"/>
          <w:right w:w="28" w:type="dxa"/>
        </w:tblCellMar>
      </w:tblPr>
      <w:tblGrid>
        <w:gridCol w:w="679"/>
        <w:gridCol w:w="596"/>
        <w:gridCol w:w="600"/>
        <w:gridCol w:w="109"/>
        <w:gridCol w:w="109"/>
        <w:gridCol w:w="109"/>
        <w:gridCol w:w="257"/>
        <w:gridCol w:w="257"/>
        <w:gridCol w:w="200"/>
        <w:gridCol w:w="200"/>
        <w:gridCol w:w="200"/>
        <w:gridCol w:w="200"/>
        <w:gridCol w:w="200"/>
        <w:gridCol w:w="200"/>
        <w:gridCol w:w="283"/>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9"/>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1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r>
        <w:trPr/>
        <w:tc>
          <w:tcPr>
            <w:tcW w:w="1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bl>
    <w:p>
      <w:pPr>
        <w:pStyle w:val="TextBody"/>
        <w:spacing w:before="0" w:after="0"/>
        <w:rPr/>
      </w:pPr>
      <w:r>
        <w:rPr/>
      </w:r>
    </w:p>
    <w:p>
      <w:pPr>
        <w:pStyle w:val="TextBody"/>
        <w:spacing w:before="0" w:after="0"/>
        <w:rPr/>
      </w:pPr>
      <w:r>
        <w:rPr/>
      </w: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stock awards under 2022 Plan for the year ending December 31, 2023 is estimated to be $2,523.</w:t>
      </w:r>
    </w:p>
    <w:p>
      <w:pPr>
        <w:pStyle w:val="TextBody"/>
        <w:spacing w:before="0" w:after="0"/>
        <w:rPr/>
      </w:pPr>
      <w:r>
        <w:rPr/>
      </w:r>
    </w:p>
    <w:p>
      <w:pPr>
        <w:pStyle w:val="TextBody"/>
        <w:spacing w:lineRule="auto" w:line="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Parent Equity Awards as of December 31, 2022 is $1,092 and will be recognized the remaining vesting period which ranges from one to three years.</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60" w:after="283"/>
        <w:ind w:left="0" w:right="0" w:hanging="4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was required to maintain nine standby letters of credit totaling $2,292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hanging="480"/>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2023, pursuant to the terms of the Forward Purchase Agreement, Meteora exercised its option to sell back 1,635,783 shares to the Company. $16,849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2023, the Company repaid in full, the outstanding principal balance of the term loan as well as the revolver facility of $22,750 under the Senior Secured Credit Facility. </w:t>
      </w:r>
    </w:p>
    <w:p>
      <w:pPr>
        <w:pStyle w:val="TextBody"/>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drew down the remaining $10.0 million available under OPAL Term Loan I. </w:t>
      </w:r>
    </w:p>
    <w:p>
      <w:pPr>
        <w:pStyle w:val="TextBody"/>
        <w:spacing w:before="160" w:after="283"/>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Item 17. Undertakings.</w:t>
      </w:r>
    </w:p>
    <w:p>
      <w:pPr>
        <w:pStyle w:val="TextBody"/>
        <w:spacing w:before="0" w:after="0"/>
        <w:rPr/>
      </w:pPr>
      <w:r>
        <w:rPr/>
      </w:r>
    </w:p>
    <w:p>
      <w:pPr>
        <w:pStyle w:val="TextBody"/>
        <w:spacing w:lineRule="auto" w:line="268" w:before="0" w:after="0"/>
        <w:ind w:left="0" w:right="0" w:firstLine="1102"/>
        <w:rPr>
          <w:rFonts w:ascii="Times New Roman;sans-serif" w:hAnsi="Times New Roman;sans-serif"/>
          <w:b w:val="false"/>
          <w:i/>
          <w:color w:val="000000"/>
          <w:sz w:val="24"/>
        </w:rPr>
      </w:pPr>
      <w:r>
        <w:rPr>
          <w:rFonts w:ascii="Times New Roman;sans-serif" w:hAnsi="Times New Roman;sans-serif"/>
          <w:b w:val="false"/>
          <w:i/>
          <w:color w:val="000000"/>
          <w:sz w:val="24"/>
        </w:rPr>
        <w:t>The undersigned registrant hereby undertakes:</w:t>
      </w:r>
    </w:p>
    <w:p>
      <w:pPr>
        <w:pStyle w:val="TextBody"/>
        <w:spacing w:before="0" w:after="0"/>
        <w:ind w:left="0" w:right="0" w:firstLine="1102"/>
        <w:rPr/>
      </w:pPr>
      <w:r>
        <w:rPr/>
      </w:r>
    </w:p>
    <w:p>
      <w:pPr>
        <w:pStyle w:val="TextBody"/>
        <w:spacing w:before="0" w:after="0"/>
        <w:ind w:left="0" w:right="0" w:firstLine="1102"/>
        <w:rPr/>
      </w:pPr>
      <w:r>
        <w:rPr/>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remove from registration by means of a post-effective amendment any of the securities being registered which remain unsold at the termination of the offering.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102"/>
        <w:rPr/>
      </w:pPr>
      <w:r>
        <w:br w:type="page"/>
      </w: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6.8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F-66</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2"/>
        <w:gridCol w:w="125"/>
        <w:gridCol w:w="127"/>
        <w:gridCol w:w="3030"/>
        <w:gridCol w:w="2798"/>
        <w:gridCol w:w="3983"/>
      </w:tblGrid>
      <w:tr>
        <w:trPr/>
        <w:tc>
          <w:tcPr>
            <w:tcW w:w="1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c>
          <w:tcPr>
            <w:tcW w:w="2798" w:type="dxa"/>
            <w:tcBorders/>
            <w:shd w:fill="auto" w:val="clear"/>
            <w:vAlign w:val="center"/>
          </w:tcPr>
          <w:p>
            <w:pPr>
              <w:pStyle w:val="TableContents"/>
              <w:spacing w:before="0" w:after="283"/>
              <w:rPr>
                <w:sz w:val="4"/>
                <w:szCs w:val="4"/>
              </w:rPr>
            </w:pPr>
            <w:r>
              <w:rPr>
                <w:sz w:val="4"/>
                <w:szCs w:val="4"/>
              </w:rPr>
            </w:r>
          </w:p>
        </w:tc>
        <w:tc>
          <w:tcPr>
            <w:tcW w:w="3983" w:type="dxa"/>
            <w:tcBorders/>
            <w:shd w:fill="auto" w:val="cle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supply by means of a post-effective amendment all information concerning a transaction, and the company being acquired involved therein, that was not the subject of, and included in, this registration statement when it became effective</w:t>
            </w:r>
          </w:p>
        </w:tc>
      </w:tr>
      <w:tr>
        <w:trPr/>
        <w:tc>
          <w:tcPr>
            <w:tcW w:w="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spacing w:before="0" w:after="0"/>
        <w:ind w:left="0" w:right="0" w:firstLine="1102"/>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F-67</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Act of 1933, as amended, the registrant has duly caused this registration statement to be signed on its behalf by the undersigned, thereunto duly authorized, in the City of White Plains, State of New York, on May 3, 2023.</w:t>
      </w:r>
    </w:p>
    <w:tbl>
      <w:tblPr>
        <w:tblW w:w="5291" w:type="dxa"/>
        <w:jc w:val="left"/>
        <w:tblInd w:w="0" w:type="dxa"/>
        <w:tblCellMar>
          <w:top w:w="28" w:type="dxa"/>
          <w:left w:w="28" w:type="dxa"/>
          <w:bottom w:w="28" w:type="dxa"/>
          <w:right w:w="28" w:type="dxa"/>
        </w:tblCellMar>
      </w:tblPr>
      <w:tblGrid>
        <w:gridCol w:w="124"/>
        <w:gridCol w:w="109"/>
        <w:gridCol w:w="109"/>
        <w:gridCol w:w="227"/>
        <w:gridCol w:w="227"/>
        <w:gridCol w:w="227"/>
        <w:gridCol w:w="313"/>
        <w:gridCol w:w="313"/>
        <w:gridCol w:w="313"/>
        <w:gridCol w:w="974"/>
        <w:gridCol w:w="974"/>
        <w:gridCol w:w="13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9"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OPAL FUELS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68" w:type="dxa"/>
            <w:gridSpan w:val="6"/>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Jonathan Maurer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:Co-Chief Executive Officer</w:t>
            </w:r>
          </w:p>
        </w:tc>
      </w:tr>
    </w:tbl>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Act of 1933, this registration statement has been signed by the following persons in the capacities and on the dates indicated.</w:t>
      </w:r>
    </w:p>
    <w:tbl>
      <w:tblPr>
        <w:tblW w:w="9967" w:type="dxa"/>
        <w:jc w:val="left"/>
        <w:tblInd w:w="0" w:type="dxa"/>
        <w:tblCellMar>
          <w:top w:w="28" w:type="dxa"/>
          <w:left w:w="28" w:type="dxa"/>
          <w:bottom w:w="28" w:type="dxa"/>
          <w:right w:w="28" w:type="dxa"/>
        </w:tblCellMar>
      </w:tblPr>
      <w:tblGrid>
        <w:gridCol w:w="716"/>
        <w:gridCol w:w="631"/>
        <w:gridCol w:w="632"/>
        <w:gridCol w:w="109"/>
        <w:gridCol w:w="109"/>
        <w:gridCol w:w="109"/>
        <w:gridCol w:w="1982"/>
        <w:gridCol w:w="1982"/>
        <w:gridCol w:w="2005"/>
        <w:gridCol w:w="109"/>
        <w:gridCol w:w="109"/>
        <w:gridCol w:w="109"/>
        <w:gridCol w:w="398"/>
        <w:gridCol w:w="398"/>
        <w:gridCol w:w="569"/>
      </w:tblGrid>
      <w:tr>
        <w:trPr/>
        <w:tc>
          <w:tcPr>
            <w:tcW w:w="7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4"/>
              </w:rPr>
            </w:pPr>
            <w:r>
              <w:rPr>
                <w:rFonts w:ascii="Times New Roman;sans-serif" w:hAnsi="Times New Roman;sans-serif"/>
                <w:b/>
                <w:color w:val="000000"/>
                <w:sz w:val="24"/>
              </w:rPr>
              <w:t>Date</w:t>
            </w:r>
          </w:p>
        </w:tc>
      </w:tr>
      <w:tr>
        <w:trPr/>
        <w:tc>
          <w:tcPr>
            <w:tcW w:w="19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Jonathan Maurer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Adam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 Anthony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 and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 Comora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Nadeem Nisar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Marco F. Gatti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Kevin M. Fogarty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Betsy L. Battle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4434" w:type="dxa"/>
        <w:jc w:val="left"/>
        <w:tblInd w:w="0" w:type="dxa"/>
        <w:tblCellMar>
          <w:top w:w="28" w:type="dxa"/>
          <w:left w:w="28" w:type="dxa"/>
          <w:bottom w:w="28" w:type="dxa"/>
          <w:right w:w="28" w:type="dxa"/>
        </w:tblCellMar>
      </w:tblPr>
      <w:tblGrid>
        <w:gridCol w:w="553"/>
        <w:gridCol w:w="486"/>
        <w:gridCol w:w="491"/>
        <w:gridCol w:w="109"/>
        <w:gridCol w:w="109"/>
        <w:gridCol w:w="109"/>
        <w:gridCol w:w="295"/>
        <w:gridCol w:w="295"/>
        <w:gridCol w:w="296"/>
        <w:gridCol w:w="109"/>
        <w:gridCol w:w="109"/>
        <w:gridCol w:w="109"/>
        <w:gridCol w:w="398"/>
        <w:gridCol w:w="398"/>
        <w:gridCol w:w="568"/>
      </w:tblGrid>
      <w:tr>
        <w:trPr/>
        <w:tc>
          <w:tcPr>
            <w:tcW w:w="55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Scott Dols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May 3, 2023</w:t>
            </w:r>
          </w:p>
        </w:tc>
      </w:tr>
      <w:tr>
        <w:trPr/>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Ashok Vemuri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086" w:type="dxa"/>
        <w:jc w:val="left"/>
        <w:tblInd w:w="0" w:type="dxa"/>
        <w:tblCellMar>
          <w:top w:w="28" w:type="dxa"/>
          <w:left w:w="28" w:type="dxa"/>
          <w:bottom w:w="28" w:type="dxa"/>
          <w:right w:w="28" w:type="dxa"/>
        </w:tblCellMar>
      </w:tblPr>
      <w:tblGrid>
        <w:gridCol w:w="270"/>
        <w:gridCol w:w="238"/>
        <w:gridCol w:w="242"/>
        <w:gridCol w:w="654"/>
        <w:gridCol w:w="654"/>
        <w:gridCol w:w="656"/>
        <w:gridCol w:w="109"/>
        <w:gridCol w:w="109"/>
        <w:gridCol w:w="154"/>
      </w:tblGrid>
      <w:tr>
        <w:trPr/>
        <w:tc>
          <w:tcPr>
            <w:tcW w:w="27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6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Jonathan Maurer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Jonathan Maurer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Attorney-in-Fact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23.1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F-69</w:t>
                      </w:r>
                    </w:p>
                  </w:txbxContent>
                </v:textbox>
              </v:rect>
            </w:pict>
          </mc:Fallback>
        </mc:AlternateContent>
      </w:r>
    </w:p>
    <w:p>
      <w:pPr>
        <w:pStyle w:val="TextBody"/>
        <w:spacing w:lineRule="auto" w:line="240"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spacing w:before="0" w:after="0"/>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White Plains, New York</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use in the Prospectus constituting a part of this Registration Statement of our report dated March 28, 2023, relating to the consolidated financial statements of OPAL Fuels Inc., which is contained in that Prospectus.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consent to the reference to us under the caption “Experts” in the Prospectus.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3, 2023</w:t>
      </w:r>
    </w:p>
    <w:p>
      <w:pPr>
        <w:pStyle w:val="TextBody"/>
        <w:spacing w:before="0" w:after="0"/>
        <w:jc w:val="both"/>
        <w:rPr/>
      </w:pPr>
      <w:r>
        <w:rPr/>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Georgia">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2279/000119312521347023/d270539dex21.htm" TargetMode="External"/><Relationship Id="rId3" Type="http://schemas.openxmlformats.org/officeDocument/2006/relationships/hyperlink" Target="http://www.sec.gov/Archives/edgar/data/1842279/000121390022046525/ea164040ex3-1_opalfuelsinc.htm" TargetMode="External"/><Relationship Id="rId4" Type="http://schemas.openxmlformats.org/officeDocument/2006/relationships/hyperlink" Target="http://www.sec.gov/Archives/edgar/data/1842279/000121390022042020/ea163248ex3-2_opal.htm" TargetMode="External"/><Relationship Id="rId5" Type="http://schemas.openxmlformats.org/officeDocument/2006/relationships/hyperlink" Target="http://www.sec.gov/Archives/edgar/data/1842279/000119312521073580/d118209dex43.htm" TargetMode="External"/><Relationship Id="rId6" Type="http://schemas.openxmlformats.org/officeDocument/2006/relationships/hyperlink" Target="http://www.sec.gov/Archives/edgar/data/1842279/000119312521096722/d167128dex41.htm" TargetMode="External"/><Relationship Id="rId7" Type="http://schemas.openxmlformats.org/officeDocument/2006/relationships/hyperlink" Target="https://www.sec.gov/Archives/edgar/data/1842279/000184227923000009/opal-shortxtermincentivepl.htm" TargetMode="External"/><Relationship Id="rId8" Type="http://schemas.openxmlformats.org/officeDocument/2006/relationships/hyperlink" Target="https://www.sec.gov/Archives/edgar/data/1842279/000184227923000009/opal-shortxtermincentivepl.htm" TargetMode="External"/><Relationship Id="rId9" Type="http://schemas.openxmlformats.org/officeDocument/2006/relationships/hyperlink" Target="https://www.sec.gov/Archives/edgar/data/1842279/000184227923000009/opalfuelsinc-formoptionagr.htm" TargetMode="External"/><Relationship Id="rId10" Type="http://schemas.openxmlformats.org/officeDocument/2006/relationships/hyperlink" Target="https://www.sec.gov/Archives/edgar/data/1842279/000184227923000009/opalfuelsinc-formofperform.htm" TargetMode="External"/><Relationship Id="rId11" Type="http://schemas.openxmlformats.org/officeDocument/2006/relationships/hyperlink" Target="http://www.sec.gov/Archives/edgar/data/1842279/000121390022068381/ea167900ex5-1_opalfuelsinc.htm" TargetMode="External"/><Relationship Id="rId12" Type="http://schemas.openxmlformats.org/officeDocument/2006/relationships/hyperlink" Target="http://www.sec.gov/Archives/edgar/data/1842279/000121390022024612/fs42022a3ex10-1_arclight2.htm" TargetMode="External"/><Relationship Id="rId13" Type="http://schemas.openxmlformats.org/officeDocument/2006/relationships/hyperlink" Target="http://www.sec.gov/Archives/edgar/data/1842279/000121390022042020/ea163248ex10-2_opal.htm" TargetMode="External"/><Relationship Id="rId14" Type="http://schemas.openxmlformats.org/officeDocument/2006/relationships/hyperlink" Target="http://www.sec.gov/Archives/edgar/data/1842279/000119312521096722/d167128dex104.htm" TargetMode="External"/><Relationship Id="rId15" Type="http://schemas.openxmlformats.org/officeDocument/2006/relationships/hyperlink" Target="http://www.sec.gov/Archives/edgar/data/1842279/000119312521347023/d270539dex102.htm" TargetMode="External"/><Relationship Id="rId16" Type="http://schemas.openxmlformats.org/officeDocument/2006/relationships/hyperlink" Target="http://www.sec.gov/Archives/edgar/data/1842279/000119312521347023/d270539dex101.htm" TargetMode="External"/><Relationship Id="rId17" Type="http://schemas.openxmlformats.org/officeDocument/2006/relationships/hyperlink" Target="http://www.sec.gov/Archives/edgar/data/1842279/000121390022025716/ea159809ex10-1_arclight2.htm" TargetMode="External"/><Relationship Id="rId18" Type="http://schemas.openxmlformats.org/officeDocument/2006/relationships/hyperlink" Target="http://www.sec.gov/Archives/edgar/data/1842279/000121390022042020/ea163248ex10-6_opal.htm" TargetMode="External"/><Relationship Id="rId19" Type="http://schemas.openxmlformats.org/officeDocument/2006/relationships/hyperlink" Target="http://www.sec.gov/Archives/edgar/data/1842279/000121390022042020/ea163248ex10-7_opal.htm" TargetMode="External"/><Relationship Id="rId20" Type="http://schemas.openxmlformats.org/officeDocument/2006/relationships/hyperlink" Target="http://www.sec.gov/Archives/edgar/data/1842279/000121390022042020/ea163248ex10-8_opal.htm" TargetMode="External"/><Relationship Id="rId21" Type="http://schemas.openxmlformats.org/officeDocument/2006/relationships/hyperlink" Target="http://www.sec.gov/Archives/edgar/data/1842279/000121390022015221/ea157420ex10-8_arclight2.htm" TargetMode="External"/><Relationship Id="rId22" Type="http://schemas.openxmlformats.org/officeDocument/2006/relationships/hyperlink" Target="http://www.sec.gov/Archives/edgar/data/1842279/000121390022015221/ea157420ex10-9_arclight2.htm" TargetMode="External"/><Relationship Id="rId23" Type="http://schemas.openxmlformats.org/officeDocument/2006/relationships/hyperlink" Target="http://www.sec.gov/Archives/edgar/data/1842279/000121390022015221/ea157420ex10-10_arclight2.htm" TargetMode="External"/><Relationship Id="rId24" Type="http://schemas.openxmlformats.org/officeDocument/2006/relationships/hyperlink" Target="http://www.sec.gov/Archives/edgar/data/1842279/000121390022015221/ea157420ex10-11_arclight2.htm" TargetMode="External"/><Relationship Id="rId25" Type="http://schemas.openxmlformats.org/officeDocument/2006/relationships/hyperlink" Target="http://www.sec.gov/Archives/edgar/data/1842279/000121390022015221/ea157420ex10-12_arclight2.htm" TargetMode="External"/><Relationship Id="rId26" Type="http://schemas.openxmlformats.org/officeDocument/2006/relationships/hyperlink" Target="http://www.sec.gov/Archives/edgar/data/1842279/000121390022015221/ea157420ex10-13_arclight2.htm" TargetMode="External"/><Relationship Id="rId27" Type="http://schemas.openxmlformats.org/officeDocument/2006/relationships/hyperlink" Target="https://www.sec.gov/Archives/edgar/data/1842279/000184227922000027/executedamendmentno3todd.htm" TargetMode="External"/><Relationship Id="rId28" Type="http://schemas.openxmlformats.org/officeDocument/2006/relationships/hyperlink" Target="http://www.sec.gov/Archives/edgar/data/1842279/000184227922000016/opalfuelsinc-formrestricte.htm" TargetMode="External"/><Relationship Id="rId29" Type="http://schemas.openxmlformats.org/officeDocument/2006/relationships/hyperlink" Target="http://www.sec.gov/Archives/edgar/data/1842279/000121390022042020/ea163248ex21-1_opal.htm" TargetMode="External"/><Relationship Id="rId30" Type="http://schemas.openxmlformats.org/officeDocument/2006/relationships/hyperlink" Target="http://www.sec.gov/Archives/edgar/data/1842279/000121390022068381/ea167900ex5-1_opalfuelsinc.htm" TargetMode="External"/><Relationship Id="rId31" Type="http://schemas.openxmlformats.org/officeDocument/2006/relationships/hyperlink" Target="https://www.sec.gov/ix?doc=/Archives/edgar/data/1842279/000121390022046525/ea164040-s1_opalfuelsinc.htm" TargetMode="External"/><Relationship Id="rId32" Type="http://schemas.openxmlformats.org/officeDocument/2006/relationships/hyperlink" Target="https://www.sec.gov/ix?doc=/Archives/edgar/data/1842279/000121390022046525/ea164040-s1_opalfuelsinc.htm" TargetMode="External"/><Relationship Id="rId33" Type="http://schemas.openxmlformats.org/officeDocument/2006/relationships/hyperlink" Target="https://www.sec.gov/ix?doc=/Archives/edgar/data/1842279/000121390022046525/ea164040-s1_opalfuelsinc.htm" TargetMode="External"/><Relationship Id="rId34" Type="http://schemas.openxmlformats.org/officeDocument/2006/relationships/hyperlink" Target="https://www.sec.gov/Archives/edgar/data/1842279/000121390022069145/ea168046ex-fee_opalfuels.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165</Pages>
  <Words>120059</Words>
  <CharactersWithSpaces>770285</CharactersWithSpaces>
  <Paragraphs>7075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