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10,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001-40272</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98-1578357</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North Lexington Avenue</w:t>
      </w:r>
      <w:r>
        <w:rPr>
          <w:rFonts w:ascii="Arial" w:cs="Arial" w:eastAsia="Arial" w:hAnsi="Arial"/>
          <w:sz w:val="18"/>
          <w:szCs w:val="18"/>
          <w:b w:val="1"/>
          <w:bCs w:val="1"/>
          <w:color w:val="3051F2"/>
        </w:rPr>
        <w:t>,</w:t>
      </w:r>
      <w:r>
        <w:rPr>
          <w:rFonts w:ascii="Times New Roman" w:cs="Times New Roman" w:eastAsia="Times New Roman" w:hAnsi="Times New Roman"/>
          <w:sz w:val="18"/>
          <w:szCs w:val="18"/>
          <w:b w:val="1"/>
          <w:bCs w:val="1"/>
          <w:color w:val="auto"/>
        </w:rPr>
        <w:t xml:space="preserve"> Suite 1450</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Plains, New York 10601</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3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1245" w:right="339" w:bottom="144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5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94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7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42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7"/>
              </w:rPr>
              <w:t>OPAL</w:t>
            </w:r>
          </w:p>
        </w:tc>
        <w:tc>
          <w:tcPr>
            <w:tcW w:w="720" w:type="dxa"/>
            <w:vAlign w:val="bottom"/>
          </w:tcPr>
          <w:p>
            <w:pPr>
              <w:spacing w:after="0"/>
              <w:rPr>
                <w:sz w:val="24"/>
                <w:szCs w:val="24"/>
                <w:color w:val="auto"/>
              </w:rPr>
            </w:pPr>
          </w:p>
        </w:tc>
        <w:tc>
          <w:tcPr>
            <w:tcW w:w="39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65"/>
        </w:trPr>
        <w:tc>
          <w:tcPr>
            <w:tcW w:w="4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420" w:type="dxa"/>
            <w:vAlign w:val="bottom"/>
          </w:tcPr>
          <w:p>
            <w:pPr>
              <w:spacing w:after="0"/>
              <w:rPr>
                <w:sz w:val="23"/>
                <w:szCs w:val="23"/>
                <w:color w:val="auto"/>
              </w:rPr>
            </w:pPr>
          </w:p>
        </w:tc>
        <w:tc>
          <w:tcPr>
            <w:tcW w:w="198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8"/>
                <w:szCs w:val="18"/>
                <w:color w:val="auto"/>
                <w:w w:val="96"/>
              </w:rPr>
              <w:t>OPALW</w:t>
            </w:r>
          </w:p>
        </w:tc>
        <w:tc>
          <w:tcPr>
            <w:tcW w:w="720" w:type="dxa"/>
            <w:vAlign w:val="bottom"/>
          </w:tcPr>
          <w:p>
            <w:pPr>
              <w:spacing w:after="0"/>
              <w:rPr>
                <w:sz w:val="23"/>
                <w:szCs w:val="23"/>
                <w:color w:val="auto"/>
              </w:rPr>
            </w:pPr>
          </w:p>
        </w:tc>
        <w:tc>
          <w:tcPr>
            <w:tcW w:w="398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26"/>
        </w:trPr>
        <w:tc>
          <w:tcPr>
            <w:tcW w:w="41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8"/>
                <w:szCs w:val="18"/>
                <w:color w:val="auto"/>
                <w:w w:val="99"/>
              </w:rPr>
              <w:t>share of Class A Common Stock</w:t>
            </w:r>
          </w:p>
        </w:tc>
        <w:tc>
          <w:tcPr>
            <w:tcW w:w="42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3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4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6"/>
        </w:trPr>
        <w:tc>
          <w:tcPr>
            <w:tcW w:w="1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ind w:right="1620"/>
        <w:spacing w:after="0" w:line="294"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9"/>
          <w:szCs w:val="19"/>
          <w:color w:val="auto"/>
        </w:rPr>
        <w:t>☒</w:t>
      </w:r>
    </w:p>
    <w:p>
      <w:pPr>
        <w:spacing w:after="0" w:line="61" w:lineRule="exact"/>
        <w:rPr>
          <w:sz w:val="20"/>
          <w:szCs w:val="20"/>
          <w:color w:val="auto"/>
        </w:rPr>
      </w:pPr>
    </w:p>
    <w:p>
      <w:pPr>
        <w:spacing w:after="0" w:line="238"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2.02 - Results of Operations and Financial Condition</w:t>
      </w:r>
    </w:p>
    <w:p>
      <w:pPr>
        <w:spacing w:after="0" w:line="26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10, 2022, OPAL Fuels Inc. (the "Company") issued a press release regarding its financial results for the six months ended June 30, 2022. A copy of the press release is furnished as Exhibit 99.1 hereto.</w:t>
      </w:r>
    </w:p>
    <w:p>
      <w:pPr>
        <w:spacing w:after="0" w:line="20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9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Additionally, to supplement the Company’s unaudited condensed consolidated financial statements presented in accordance with accounting principles generally accepted in the United States of America (“GAAP”) in Exhibit 99.1, the Company uses a non-GAAP financial measure that it calls adjusted EBITDA (“Adjusted EBITDA”). This Non-GAAP Measure adjusts net (loss)income for realized and unrealized gain on interest rate swaps, stock-based compensation expense, transaction costs, other non-cash charges, major maintenance for renewable power, unrealized loss for commodity swaps, paid in kind preferred dividends and gain on equity method investments.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22"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 Financial Statements and Exhibits</w:t>
      </w:r>
    </w:p>
    <w:p>
      <w:pPr>
        <w:spacing w:after="0" w:line="114"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20" w:type="dxa"/>
            <w:vAlign w:val="bottom"/>
            <w:gridSpan w:val="2"/>
          </w:tcPr>
          <w:p>
            <w:pPr>
              <w:spacing w:after="0"/>
              <w:rPr>
                <w:sz w:val="18"/>
                <w:szCs w:val="18"/>
                <w:color w:val="auto"/>
              </w:rPr>
            </w:pPr>
          </w:p>
        </w:tc>
      </w:tr>
      <w:tr>
        <w:trPr>
          <w:trHeight w:val="263"/>
        </w:trPr>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560" w:type="dxa"/>
            <w:vAlign w:val="bottom"/>
          </w:tcPr>
          <w:p>
            <w:pPr>
              <w:spacing w:after="0"/>
              <w:rPr>
                <w:sz w:val="22"/>
                <w:szCs w:val="22"/>
                <w:color w:val="auto"/>
              </w:rPr>
            </w:pP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Press release, issued by OPAL Fuels Inc., dated August 10, 2022</w:t>
            </w:r>
          </w:p>
        </w:tc>
        <w:tc>
          <w:tcPr>
            <w:tcW w:w="5120" w:type="dxa"/>
            <w:vAlign w:val="bottom"/>
          </w:tcPr>
          <w:p>
            <w:pPr>
              <w:spacing w:after="0"/>
              <w:rPr>
                <w:sz w:val="22"/>
                <w:szCs w:val="22"/>
                <w:color w:val="auto"/>
              </w:rPr>
            </w:pPr>
          </w:p>
        </w:tc>
      </w:tr>
      <w:tr>
        <w:trPr>
          <w:trHeight w:val="304"/>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4"/>
                <w:szCs w:val="24"/>
                <w:color w:val="auto"/>
              </w:rPr>
            </w:pPr>
          </w:p>
        </w:tc>
        <w:tc>
          <w:tcPr>
            <w:tcW w:w="9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16"/>
        </w:trPr>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August 10, 2022</w:t>
      </w:r>
    </w:p>
    <w:p>
      <w:pPr>
        <w:spacing w:after="0" w:line="7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843280</wp:posOffset>
            </wp:positionV>
            <wp:extent cx="1431290"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29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Year-to-Date 2022 Results</w:t>
      </w:r>
    </w:p>
    <w:p>
      <w:pPr>
        <w:spacing w:after="0" w:line="2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WHITE PLAINS, N.Y. – (August 10, 2022) – OPAL Fuels Inc. ("OPAL Fuels," "OPAL" or the "Company") (Nasdaq: OPAL), a vertically integrated producer and distributor of renewable natural gas (RNG), today announced financial and operating results for the six months ended June 30, 2022.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Six Months Ended June 30, 2022</w:t>
      </w:r>
    </w:p>
    <w:p>
      <w:pPr>
        <w:spacing w:after="0" w:line="264" w:lineRule="exact"/>
        <w:rPr>
          <w:sz w:val="20"/>
          <w:szCs w:val="20"/>
          <w:color w:val="auto"/>
        </w:rPr>
      </w:pPr>
    </w:p>
    <w:p>
      <w:pPr>
        <w:jc w:val="both"/>
        <w:ind w:left="660" w:hanging="328"/>
        <w:spacing w:after="0" w:line="238" w:lineRule="auto"/>
        <w:tabs>
          <w:tab w:leader="none" w:pos="655"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Total revenues for the six months ended June 30, 2022, were $102.3 million, an increase of 77% or $44.5 million, compared to $57.8 million in the prior year period. The increase was primarily a result of growth in the RNG Fuel segment.</w:t>
      </w:r>
    </w:p>
    <w:p>
      <w:pPr>
        <w:spacing w:after="0" w:line="204"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Consolidated net loss was $6.7 million for the six months ended June 30, 2022, compared to consolidated net income of $18.4 million in the prior year period. The prior year period net income included a one-time, non-cash gain of $19.8 million on the acquisition of the remaining interest in the Beacon projects.</w:t>
      </w:r>
    </w:p>
    <w:p>
      <w:pPr>
        <w:spacing w:after="0" w:line="193" w:lineRule="exact"/>
        <w:rPr>
          <w:rFonts w:ascii="Arial" w:cs="Arial" w:eastAsia="Arial" w:hAnsi="Arial"/>
          <w:sz w:val="22"/>
          <w:szCs w:val="22"/>
          <w:color w:val="auto"/>
        </w:rPr>
      </w:pPr>
    </w:p>
    <w:p>
      <w:pPr>
        <w:jc w:val="both"/>
        <w:ind w:left="660" w:hanging="328"/>
        <w:spacing w:after="0" w:line="224" w:lineRule="auto"/>
        <w:tabs>
          <w:tab w:leader="none" w:pos="655"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Consolidated 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was $15.1 million for the six months ended June 30, 2022, reflecting an increase of 29% compared to Adjusted EBITDA of $11.7 million for the prior year period. This increase was primarily driven by the RNG Fuel segment offset by higher selling, general and administrative expenses.</w:t>
      </w:r>
    </w:p>
    <w:p>
      <w:pPr>
        <w:spacing w:after="0" w:line="204" w:lineRule="exact"/>
        <w:rPr>
          <w:rFonts w:ascii="Arial" w:cs="Arial" w:eastAsia="Arial" w:hAnsi="Arial"/>
          <w:sz w:val="22"/>
          <w:szCs w:val="22"/>
          <w:color w:val="auto"/>
        </w:rPr>
      </w:pPr>
    </w:p>
    <w:p>
      <w:pPr>
        <w:jc w:val="both"/>
        <w:ind w:left="660" w:hanging="328"/>
        <w:spacing w:after="0" w:line="236" w:lineRule="auto"/>
        <w:tabs>
          <w:tab w:leader="none" w:pos="655" w:val="left"/>
        </w:tabs>
        <w:numPr>
          <w:ilvl w:val="1"/>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Sold 14.3 million gasoline gallon equivalents (GGEs) of transportation fuel of which 13.1 million GGEs were RNG, including RNG from third-party sources during the six months ended June 30, 2022. This represents growth of 64% for total transportation fuel sales over the 8.7 million GGEs sold during the first six months of 2021, and growth of 68% for RNG sales over the 7.8 million GGEs sold in the first half of 2021.</w:t>
      </w:r>
    </w:p>
    <w:p>
      <w:pPr>
        <w:spacing w:after="0" w:line="205"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Fuel Station Services segment, OPAL Fuels delivered an aggregate 40.0 million GGEs at stations the Company operates for third parties under long term operations and maintenance agreements for the six months ended June 30, 2022, growing 13% over the 35.4 million GGEs delivered in the first half of 2021. Fuel Station Services construction revenues grew 150% to $23.3 million for the first six months of 2022 when compared to $9.3 million for the six-month period ended June 30, 2021.</w:t>
      </w:r>
    </w:p>
    <w:p>
      <w:pPr>
        <w:spacing w:after="0" w:line="203" w:lineRule="exact"/>
        <w:rPr>
          <w:rFonts w:ascii="Times New Roman" w:cs="Times New Roman" w:eastAsia="Times New Roman" w:hAnsi="Times New Roman"/>
          <w:sz w:val="22"/>
          <w:szCs w:val="22"/>
          <w:color w:val="auto"/>
        </w:rPr>
      </w:pPr>
    </w:p>
    <w:p>
      <w:pPr>
        <w:jc w:val="both"/>
        <w:ind w:left="660" w:hanging="328"/>
        <w:spacing w:after="0" w:line="244" w:lineRule="auto"/>
        <w:tabs>
          <w:tab w:leader="none" w:pos="655"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past nine months, the Sunoma, Noble Road, New River, and Pine Bend RNG projects commenced commercial operations. These projects have generated limited revenue as they only recently completed, or are still progressing through, the certification processes needed to generate environmental attributes.</w:t>
      </w:r>
    </w:p>
    <w:p>
      <w:pPr>
        <w:spacing w:after="0" w:line="308" w:lineRule="exact"/>
        <w:rPr>
          <w:rFonts w:ascii="Times New Roman" w:cs="Times New Roman" w:eastAsia="Times New Roman" w:hAnsi="Times New Roman"/>
          <w:sz w:val="22"/>
          <w:szCs w:val="22"/>
          <w:color w:val="auto"/>
        </w:rPr>
      </w:pPr>
    </w:p>
    <w:p>
      <w:pPr>
        <w:jc w:val="both"/>
        <w:ind w:firstLine="8"/>
        <w:spacing w:after="0" w:line="234" w:lineRule="auto"/>
        <w:tabs>
          <w:tab w:leader="none" w:pos="172" w:val="left"/>
        </w:tabs>
        <w:numPr>
          <w:ilvl w:val="0"/>
          <w:numId w:val="3"/>
        </w:numPr>
        <w:rPr>
          <w:rFonts w:ascii="Calibri" w:cs="Calibri" w:eastAsia="Calibri" w:hAnsi="Calibri"/>
          <w:sz w:val="13"/>
          <w:szCs w:val="13"/>
          <w:color w:val="auto"/>
        </w:rPr>
      </w:pPr>
      <w:r>
        <w:rPr>
          <w:rFonts w:ascii="Times New Roman" w:cs="Times New Roman" w:eastAsia="Times New Roman" w:hAnsi="Times New Roman"/>
          <w:sz w:val="22"/>
          <w:szCs w:val="22"/>
          <w:color w:val="auto"/>
        </w:rPr>
        <w:t>Adjusted EBITDA is a non-GAAP financial measure. A reconciliation of GAAP Net (Loss) Income to Adjusted EBITDA has been provided in the financial tables included in this press release. An explanation of this measure and how it is calculated is also included below under the heading “Non-GAAP Financial Measures.”</w:t>
      </w:r>
    </w:p>
    <w:p>
      <w:pPr>
        <w:sectPr>
          <w:pgSz w:w="11900" w:h="16838" w:orient="portrait"/>
          <w:cols w:equalWidth="0" w:num="1">
            <w:col w:w="11240"/>
          </w:cols>
          <w:pgMar w:left="320" w:top="9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Management commentary</w:t>
      </w:r>
    </w:p>
    <w:p>
      <w:pPr>
        <w:spacing w:after="0" w:line="23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2"/>
          <w:szCs w:val="22"/>
          <w:color w:val="auto"/>
        </w:rPr>
        <w:t>Adam Comora, Co-CEO of OPAL Fuels, commented, “In the last nine months, we have continued to expand both our RNG production supply and our downstream dispensing capacity, bringing four RNG production facilities into commercial operation – now totaling six operating facilities with an aggregate total annual design capacity of 4,175,000 MMBtus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All new RNG projects are required to complete months-long federal and state certification processes to generate environmental credits. As we complete these registrations and progress through production ramp-up periods, we expect revenues and Adjusted EBITDA contribution from these new projects to start to build over the balance of the year.”</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Jonathan Maurer, Co-CEO of OPAL Fuels, stated, “We continue to execute on our growth plan. In addition to our six RNG projects in operation, we currently have six more projects in construction. We remain focused on driving forward development of our existing project portfolio, while also pursuing additional project opportunities for growth.”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33" w:lineRule="exact"/>
        <w:rPr>
          <w:sz w:val="20"/>
          <w:szCs w:val="20"/>
          <w:color w:val="auto"/>
        </w:rPr>
      </w:pPr>
    </w:p>
    <w:p>
      <w:pPr>
        <w:jc w:val="both"/>
        <w:ind w:left="660" w:hanging="328"/>
        <w:spacing w:after="0" w:line="257" w:lineRule="auto"/>
        <w:tabs>
          <w:tab w:leader="none" w:pos="655"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Closed the previously announced business combination between OPAL Fuels LLC and ArcLight Clean Transition Corp. II on July 21, 2022, to form OPAL Fuels Inc. Shares of OPAL Fuels Class A common stock began trading on the Nasdaq Capital Market under the symbol “OPAL” on July 22, 2022.</w:t>
      </w:r>
    </w:p>
    <w:p>
      <w:pPr>
        <w:spacing w:after="0" w:line="186" w:lineRule="exact"/>
        <w:rPr>
          <w:rFonts w:ascii="Arial" w:cs="Arial" w:eastAsia="Arial" w:hAnsi="Arial"/>
          <w:sz w:val="22"/>
          <w:szCs w:val="22"/>
          <w:color w:val="auto"/>
        </w:rPr>
      </w:pPr>
    </w:p>
    <w:p>
      <w:pPr>
        <w:ind w:left="660" w:hanging="328"/>
        <w:spacing w:after="0" w:line="257" w:lineRule="auto"/>
        <w:tabs>
          <w:tab w:leader="none" w:pos="655"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After giving effect to the business combination and the related transactions, OPAL Fuels' consolidated cash and cash equivalents was approximately $228 million, including restricted cash of $2.8 million as of August 1, 2022.</w:t>
      </w:r>
    </w:p>
    <w:p>
      <w:pPr>
        <w:spacing w:after="0" w:line="186" w:lineRule="exact"/>
        <w:rPr>
          <w:rFonts w:ascii="Arial" w:cs="Arial" w:eastAsia="Arial" w:hAnsi="Arial"/>
          <w:sz w:val="22"/>
          <w:szCs w:val="22"/>
          <w:color w:val="auto"/>
        </w:rPr>
      </w:pPr>
    </w:p>
    <w:p>
      <w:pPr>
        <w:jc w:val="both"/>
        <w:ind w:left="660" w:hanging="328"/>
        <w:spacing w:after="0" w:line="244" w:lineRule="auto"/>
        <w:tabs>
          <w:tab w:leader="none" w:pos="655" w:val="left"/>
        </w:tabs>
        <w:numPr>
          <w:ilvl w:val="1"/>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On August 4, 2022, OPAL Fuels entered into an additional $105 million senior secured debt facility with a syndicate of lenders. The proceeds from this debt facility will be used to fund a portfolio of RNG projects currently in, or going into, construction.</w:t>
      </w:r>
    </w:p>
    <w:p>
      <w:pPr>
        <w:spacing w:after="0" w:line="185" w:lineRule="exact"/>
        <w:rPr>
          <w:rFonts w:ascii="Arial" w:cs="Arial" w:eastAsia="Arial" w:hAnsi="Arial"/>
          <w:sz w:val="22"/>
          <w:szCs w:val="22"/>
          <w:color w:val="auto"/>
        </w:rPr>
      </w:pPr>
    </w:p>
    <w:p>
      <w:pPr>
        <w:jc w:val="both"/>
        <w:ind w:left="660" w:hanging="328"/>
        <w:spacing w:after="0" w:line="255"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Pine Bend RNG project, a 50/50 partnership with an affiliate of NextEra Energy Resources, LLC, located in Inver Grove Heights, Minnesota, commenced commercial operations in July 2022. The Pine Bend project has a design capacity of 775 MMBtus of RNG per year</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w:t>
      </w:r>
    </w:p>
    <w:p>
      <w:pPr>
        <w:spacing w:after="0" w:line="92" w:lineRule="exact"/>
        <w:rPr>
          <w:rFonts w:ascii="Times New Roman" w:cs="Times New Roman" w:eastAsia="Times New Roman" w:hAnsi="Times New Roman"/>
          <w:sz w:val="22"/>
          <w:szCs w:val="22"/>
          <w:color w:val="auto"/>
        </w:rPr>
      </w:pPr>
    </w:p>
    <w:p>
      <w:pPr>
        <w:ind w:left="660" w:hanging="328"/>
        <w:spacing w:after="0" w:line="258" w:lineRule="auto"/>
        <w:tabs>
          <w:tab w:leader="none" w:pos="655"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July 19, 2022, the construction loan for the Sunoma RNG project, located in Gila Bend, Arizona, was converted into a permanent loan and the committed funding increased from $20.0 million to $23.0 million.</w:t>
      </w: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ind w:right="200" w:firstLine="8"/>
        <w:spacing w:after="0" w:line="308" w:lineRule="auto"/>
        <w:tabs>
          <w:tab w:leader="none" w:pos="189"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20"/>
          <w:szCs w:val="20"/>
          <w:color w:val="auto"/>
        </w:rPr>
        <w:t>Design capacity may not reflect actual production of RNG from the projects, which will depend on many variables including, but not limited to, quantity and quality of the biogas, operational up-time of the facility, and actual productivity of the facility.</w:t>
      </w:r>
    </w:p>
    <w:p>
      <w:pPr>
        <w:sectPr>
          <w:pgSz w:w="11900" w:h="16838" w:orient="portrait"/>
          <w:cols w:equalWidth="0" w:num="1">
            <w:col w:w="11240"/>
          </w:cols>
          <w:pgMar w:left="320" w:top="98"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Results of operations </w:t>
      </w:r>
      <w:r>
        <w:rPr>
          <w:rFonts w:ascii="Times New Roman" w:cs="Times New Roman" w:eastAsia="Times New Roman" w:hAnsi="Times New Roman"/>
          <w:sz w:val="28"/>
          <w:szCs w:val="28"/>
          <w:b w:val="1"/>
          <w:bCs w:val="1"/>
          <w:color w:val="auto"/>
          <w:vertAlign w:val="superscript"/>
        </w:rPr>
        <w: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Dollars)</w:t>
            </w: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2580" w:type="dxa"/>
            <w:vAlign w:val="bottom"/>
            <w:tcBorders>
              <w:top w:val="single" w:sz="8" w:color="auto"/>
              <w:bottom w:val="single" w:sz="8" w:color="CCEEFF"/>
            </w:tcBorders>
            <w:gridSpan w:val="4"/>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50"/>
        </w:trPr>
        <w:tc>
          <w:tcPr>
            <w:tcW w:w="66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1"/>
        </w:trPr>
        <w:tc>
          <w:tcPr>
            <w:tcW w:w="6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57"/>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97"/>
        </w:trPr>
        <w:tc>
          <w:tcPr>
            <w:tcW w:w="6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RNG Fuel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19,174</w:t>
            </w:r>
          </w:p>
        </w:tc>
      </w:tr>
      <w:tr>
        <w:trPr>
          <w:trHeight w:val="277"/>
        </w:trPr>
        <w:tc>
          <w:tcPr>
            <w:tcW w:w="6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Fuel Station Services</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w:t>
            </w:r>
          </w:p>
        </w:tc>
      </w:tr>
      <w:tr>
        <w:trPr>
          <w:trHeight w:val="257"/>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Renewable Power</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21,437</w:t>
            </w:r>
          </w:p>
        </w:tc>
      </w:tr>
      <w:tr>
        <w:trPr>
          <w:trHeight w:val="40"/>
        </w:trPr>
        <w:tc>
          <w:tcPr>
            <w:tcW w:w="66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1"/>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57,784</w:t>
            </w:r>
          </w:p>
        </w:tc>
      </w:tr>
      <w:tr>
        <w:trPr>
          <w:trHeight w:val="236"/>
        </w:trPr>
        <w:tc>
          <w:tcPr>
            <w:tcW w:w="66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7"/>
        </w:trPr>
        <w:tc>
          <w:tcPr>
            <w:tcW w:w="6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r>
      <w:tr>
        <w:trPr>
          <w:trHeight w:val="257"/>
        </w:trPr>
        <w:tc>
          <w:tcPr>
            <w:tcW w:w="6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6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income attributable to OPAL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r>
      <w:tr>
        <w:trPr>
          <w:trHeight w:val="40"/>
        </w:trPr>
        <w:tc>
          <w:tcPr>
            <w:tcW w:w="66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27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57"/>
        </w:trPr>
        <w:tc>
          <w:tcPr>
            <w:tcW w:w="59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59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RNG Fuel volume delivered (Million GGEs)</w:t>
            </w:r>
          </w:p>
        </w:tc>
        <w:tc>
          <w:tcPr>
            <w:tcW w:w="270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56"/>
        </w:trPr>
        <w:tc>
          <w:tcPr>
            <w:tcW w:w="59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7"/>
        </w:trPr>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Fuel Station Services volume delivered (Million GGEs)</w:t>
            </w:r>
          </w:p>
        </w:tc>
        <w:tc>
          <w:tcPr>
            <w:tcW w:w="27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40"/>
        </w:trPr>
        <w:tc>
          <w:tcPr>
            <w:tcW w:w="5940" w:type="dxa"/>
            <w:vAlign w:val="bottom"/>
            <w:shd w:val="clear" w:color="auto" w:fill="CCEEFF"/>
          </w:tcPr>
          <w:p>
            <w:pPr>
              <w:spacing w:after="0"/>
              <w:rPr>
                <w:sz w:val="3"/>
                <w:szCs w:val="3"/>
                <w:color w:val="auto"/>
              </w:rPr>
            </w:pPr>
          </w:p>
        </w:tc>
        <w:tc>
          <w:tcPr>
            <w:tcW w:w="27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360" w:lineRule="exact"/>
        <w:rPr>
          <w:sz w:val="20"/>
          <w:szCs w:val="20"/>
          <w:color w:val="auto"/>
        </w:rPr>
      </w:pPr>
    </w:p>
    <w:p>
      <w:pPr>
        <w:ind w:firstLine="8"/>
        <w:spacing w:after="0" w:line="213" w:lineRule="auto"/>
        <w:tabs>
          <w:tab w:leader="none" w:pos="21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financial results presented for the six months ended June 30, 2022 and 2021 reflect the operations of stand-alone OPAL Fuels LLC as the business combination transaction with ArcLight Clean Transition Corp. II closed on July 21, 2022.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Segment Revenues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RNG Fuel</w:t>
      </w:r>
    </w:p>
    <w:p>
      <w:pPr>
        <w:spacing w:after="0" w:line="2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For the six months ended June 30, 2022, RNG Fuel revenue were 50.8 million, an increase of $31.6 million, or 165% compared to $19.2 million in the prior year period. This change was attributable primarily to a $22.0 million increase from acquiring the remaining 56% interest in Beacon. Beacon was accounted for as an equity method investment for the period between January 1 to April 30, 2021. There was an increase of $6.8 million from sale of environmental credits coupled with an increase of $1.4 million in fuel dispensing from higher volumes due to five new sites.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Fuel Station Services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Fuel Station Services revenues for the six months ended June 30, 2022 of $32.3 million reflected an increase of $15.1 million or 88% compared to $17.2 million in the prior year period.This change was primarily attributable to an increase of $12.8 million in construction revenue from</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71" w:lineRule="auto"/>
        <w:rPr>
          <w:sz w:val="20"/>
          <w:szCs w:val="20"/>
          <w:color w:val="auto"/>
        </w:rPr>
      </w:pPr>
      <w:r>
        <w:rPr>
          <w:rFonts w:ascii="Times New Roman" w:cs="Times New Roman" w:eastAsia="Times New Roman" w:hAnsi="Times New Roman"/>
          <w:sz w:val="22"/>
          <w:szCs w:val="22"/>
          <w:color w:val="auto"/>
        </w:rPr>
        <w:t>additional projects and an increase of $2.6 million from incremental service volumes from the addition of 16 new fueling service sites.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Renewable Power</w:t>
      </w:r>
    </w:p>
    <w:p>
      <w:pPr>
        <w:spacing w:after="0" w:line="2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the six months ended June 30, 2022, Renewable Power revenue June 30, 2022 of $19.2 million decreased $2.3 million, or 11% compared to $21.4 million for the prior period. This change was primarily attributable to a decrease of $1.9 million from gas production related to the conversion of a facility from Renewable Power to RNG. Additionally, there was a decrease of $1.0 million due to unplanned maintenance at two facilities offset by a $1.0 million improvement in the unrealized loss on commodity swaps.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Capital Investments</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Consolidated Cash used in investing activities, increased 88.9% to $54.3 million for the six months ended June 30, 2022, compared to $28.8 million in the prior year period. Of the total consolidated cash used in investing activities for the six months ended June 30, 2022, $52.3 million is related to the development and construction of the Company's RNG project portfolio.</w:t>
      </w:r>
    </w:p>
    <w:p>
      <w:pPr>
        <w:sectPr>
          <w:pgSz w:w="11900" w:h="16838" w:orient="portrait"/>
          <w:cols w:equalWidth="0" w:num="1">
            <w:col w:w="11240"/>
          </w:cols>
          <w:pgMar w:left="320" w:top="1422" w:right="339" w:bottom="1440" w:gutter="0" w:footer="0" w:header="0"/>
        </w:sectPr>
      </w:pPr>
    </w:p>
    <w:bookmarkStart w:id="8" w:name="page9"/>
    <w:bookmarkEnd w:id="8"/>
    <w:p>
      <w:pPr>
        <w:ind w:left="4780"/>
        <w:spacing w:after="0"/>
        <w:rPr>
          <w:sz w:val="20"/>
          <w:szCs w:val="20"/>
          <w:color w:val="auto"/>
        </w:rPr>
      </w:pPr>
      <w:r>
        <w:rPr>
          <w:rFonts w:ascii="Times New Roman" w:cs="Times New Roman" w:eastAsia="Times New Roman" w:hAnsi="Times New Roman"/>
          <w:sz w:val="20"/>
          <w:szCs w:val="20"/>
          <w:b w:val="1"/>
          <w:bCs w:val="1"/>
          <w:color w:val="auto"/>
        </w:rPr>
        <w:t>OPAL FUELS LLC</w:t>
      </w:r>
    </w:p>
    <w:p>
      <w:pPr>
        <w:spacing w:after="0" w:line="3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U.S. dollars, except per unit data)</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00" w:type="dxa"/>
            <w:vAlign w:val="bottom"/>
          </w:tcPr>
          <w:p>
            <w:pPr>
              <w:spacing w:after="0"/>
              <w:rPr>
                <w:sz w:val="20"/>
                <w:szCs w:val="20"/>
                <w:color w:val="auto"/>
              </w:rPr>
            </w:pPr>
          </w:p>
        </w:tc>
        <w:tc>
          <w:tcPr>
            <w:tcW w:w="1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83"/>
        </w:trPr>
        <w:tc>
          <w:tcPr>
            <w:tcW w:w="7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(includes $23,864 and $1,991 at June 30, 2022 and December 31, 2021,</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0" w:type="dxa"/>
            <w:vAlign w:val="bottom"/>
          </w:tcPr>
          <w:p>
            <w:pPr>
              <w:spacing w:after="0"/>
              <w:rPr>
                <w:sz w:val="1"/>
                <w:szCs w:val="1"/>
                <w:color w:val="auto"/>
              </w:rPr>
            </w:pPr>
          </w:p>
        </w:tc>
      </w:tr>
      <w:tr>
        <w:trPr>
          <w:trHeight w:val="211"/>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 (includes $100 and $40 at June 30, 2022 and December 31, 2021,</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inventory</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 receivable</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1"/>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 and other current assets (includes $496 and $113 at June 30, 2022 and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2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162,969</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spares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11"/>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 (includes $36,653 and $27,794 at June 30, 2022 and</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 receivable</w:t>
            </w:r>
          </w:p>
        </w:tc>
        <w:tc>
          <w:tcPr>
            <w:tcW w:w="26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 (includes $1,164 and $1,163 at June 30, 2022 and December 31, 2021, respectively,</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0" w:type="dxa"/>
            <w:vAlign w:val="bottom"/>
          </w:tcPr>
          <w:p>
            <w:pPr>
              <w:spacing w:after="0"/>
              <w:rPr>
                <w:sz w:val="1"/>
                <w:szCs w:val="1"/>
                <w:color w:val="auto"/>
              </w:rPr>
            </w:pPr>
          </w:p>
        </w:tc>
      </w:tr>
      <w:tr>
        <w:trPr>
          <w:trHeight w:val="281"/>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512,242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(includes $217 and $544 at June 30, 2022 and December 31, 2021, respectively,</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related to consolidated VIEs)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related party (includes $939 and $— at June 30, 2022 and December 31, 2021,</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6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11"/>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capital expenses (includes $— and $1,722 at June 30, 2022 and December 31, 2021,</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9" w:right="339" w:bottom="1440" w:gutter="0" w:footer="0" w:header="0"/>
        </w:sectPr>
      </w:pPr>
    </w:p>
    <w:bookmarkStart w:id="9" w:name="page10"/>
    <w:bookmarkEnd w:id="9"/>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 (includes $184 and $— at June 30, 2022 and</w:t>
            </w:r>
          </w:p>
        </w:tc>
        <w:tc>
          <w:tcPr>
            <w:tcW w:w="58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3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5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 net of debt issuance costs</w:t>
            </w: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72,396</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73,145</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19,332</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225"/>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Sunoma loan, current portion (includes $1,418 and $756 at June 30, 2022 and December 31, 2021,</w:t>
            </w:r>
          </w:p>
        </w:tc>
        <w:tc>
          <w:tcPr>
            <w:tcW w:w="5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34"/>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5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Municipality loan</w:t>
            </w: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50"/>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155,758</w:t>
            </w:r>
          </w:p>
        </w:tc>
        <w:tc>
          <w:tcPr>
            <w:tcW w:w="1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142,116</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OPAL term loan</w:t>
            </w: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w:t>
            </w: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note payable</w:t>
            </w: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Sunoma loan, net of debt issuance costs (includes $17,469 and $16,199 at June 30, 2022 and</w:t>
            </w:r>
          </w:p>
        </w:tc>
        <w:tc>
          <w:tcPr>
            <w:tcW w:w="58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0" w:type="dxa"/>
            <w:vAlign w:val="bottom"/>
          </w:tcPr>
          <w:p>
            <w:pPr>
              <w:spacing w:after="0"/>
              <w:rPr>
                <w:sz w:val="1"/>
                <w:szCs w:val="1"/>
                <w:color w:val="auto"/>
              </w:rPr>
            </w:pPr>
          </w:p>
        </w:tc>
      </w:tr>
      <w:tr>
        <w:trPr>
          <w:trHeight w:val="23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 related to consolidated VIEs)</w:t>
            </w:r>
          </w:p>
        </w:tc>
        <w:tc>
          <w:tcPr>
            <w:tcW w:w="5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Municipality loan</w:t>
            </w:r>
          </w:p>
        </w:tc>
        <w:tc>
          <w:tcPr>
            <w:tcW w:w="5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7"/>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305,323</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285,887</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5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preferred units:</w:t>
            </w:r>
          </w:p>
        </w:tc>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Series A-1 preferred units, subject to redemption, $100 par value, 600,000 authorized, and 300,000</w:t>
            </w:r>
          </w:p>
        </w:tc>
        <w:tc>
          <w:tcPr>
            <w:tcW w:w="58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0" w:type="dxa"/>
            <w:vAlign w:val="bottom"/>
          </w:tcPr>
          <w:p>
            <w:pPr>
              <w:spacing w:after="0"/>
              <w:rPr>
                <w:sz w:val="1"/>
                <w:szCs w:val="1"/>
                <w:color w:val="auto"/>
              </w:rPr>
            </w:pPr>
          </w:p>
        </w:tc>
      </w:tr>
      <w:tr>
        <w:trPr>
          <w:trHeight w:val="234"/>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issued and outstanding at June 30, 2022 and December 31, 2021</w:t>
            </w:r>
          </w:p>
        </w:tc>
        <w:tc>
          <w:tcPr>
            <w:tcW w:w="58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Series A preferred units, subject to redemption, $100 par value, 2,000,000 units authorized, and</w:t>
            </w: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1,000,000 and 0 units issued and outstanding at June 30, 2022 and December 31, 2021,</w:t>
            </w:r>
          </w:p>
        </w:tc>
        <w:tc>
          <w:tcPr>
            <w:tcW w:w="5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101,228</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5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5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units, without par value, 1,000 units authorized, and 1,000 units issued and outstanding at</w:t>
            </w:r>
          </w:p>
        </w:tc>
        <w:tc>
          <w:tcPr>
            <w:tcW w:w="58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47,681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47,592</w:t>
            </w:r>
          </w:p>
        </w:tc>
        <w:tc>
          <w:tcPr>
            <w:tcW w:w="0" w:type="dxa"/>
            <w:vAlign w:val="bottom"/>
          </w:tcPr>
          <w:p>
            <w:pPr>
              <w:spacing w:after="0"/>
              <w:rPr>
                <w:sz w:val="1"/>
                <w:szCs w:val="1"/>
                <w:color w:val="auto"/>
              </w:rPr>
            </w:pPr>
          </w:p>
        </w:tc>
      </w:tr>
      <w:tr>
        <w:trPr>
          <w:trHeight w:val="234"/>
        </w:trPr>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June 30, 2022 and December 31, 2021</w:t>
            </w:r>
          </w:p>
        </w:tc>
        <w:tc>
          <w:tcPr>
            <w:tcW w:w="5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5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OPAL Fuels LLC members' equity</w:t>
            </w: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56,636</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63,559</w:t>
            </w:r>
          </w:p>
        </w:tc>
        <w:tc>
          <w:tcPr>
            <w:tcW w:w="0" w:type="dxa"/>
            <w:vAlign w:val="bottom"/>
          </w:tcPr>
          <w:p>
            <w:pPr>
              <w:spacing w:after="0"/>
              <w:rPr>
                <w:sz w:val="1"/>
                <w:szCs w:val="1"/>
                <w:color w:val="auto"/>
              </w:rPr>
            </w:pPr>
          </w:p>
        </w:tc>
      </w:tr>
      <w:tr>
        <w:trPr>
          <w:trHeight w:val="250"/>
        </w:trPr>
        <w:tc>
          <w:tcPr>
            <w:tcW w:w="7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5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w:t>
            </w:r>
          </w:p>
        </w:tc>
        <w:tc>
          <w:tcPr>
            <w:tcW w:w="1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members' equity</w:t>
            </w:r>
          </w:p>
        </w:tc>
        <w:tc>
          <w:tcPr>
            <w:tcW w:w="5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74,274</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64,747</w:t>
            </w:r>
          </w:p>
        </w:tc>
        <w:tc>
          <w:tcPr>
            <w:tcW w:w="0" w:type="dxa"/>
            <w:vAlign w:val="bottom"/>
          </w:tcPr>
          <w:p>
            <w:pPr>
              <w:spacing w:after="0"/>
              <w:rPr>
                <w:sz w:val="1"/>
                <w:szCs w:val="1"/>
                <w:color w:val="auto"/>
              </w:rPr>
            </w:pPr>
          </w:p>
        </w:tc>
      </w:tr>
      <w:tr>
        <w:trPr>
          <w:trHeight w:val="281"/>
        </w:trPr>
        <w:tc>
          <w:tcPr>
            <w:tcW w:w="7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redeemable preferred units and members' equity</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512,242</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OPAL FUELS LLC</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(In thousands of U.S. dollars, except per unit data)</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2"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22860</wp:posOffset>
            </wp:positionV>
            <wp:extent cx="208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RNG fuel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19,174</w:t>
            </w:r>
          </w:p>
        </w:tc>
      </w:tr>
      <w:tr>
        <w:trPr>
          <w:trHeight w:val="26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Renewable power</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21,437</w:t>
            </w:r>
          </w:p>
        </w:tc>
      </w:tr>
      <w:tr>
        <w:trPr>
          <w:trHeight w:val="25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Fuel station services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32,297</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w:t>
            </w:r>
          </w:p>
        </w:tc>
      </w:tr>
      <w:tr>
        <w:trPr>
          <w:trHeight w:val="257"/>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102,264</w:t>
            </w:r>
          </w:p>
        </w:tc>
        <w:tc>
          <w:tcPr>
            <w:tcW w:w="1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57,784</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RNG fuel</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30,884</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w:t>
            </w:r>
          </w:p>
        </w:tc>
      </w:tr>
      <w:tr>
        <w:trPr>
          <w:trHeight w:val="25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17,888</w:t>
            </w:r>
          </w:p>
        </w:tc>
      </w:tr>
      <w:tr>
        <w:trPr>
          <w:trHeight w:val="26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 - Fuel station services</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w:t>
            </w:r>
          </w:p>
        </w:tc>
      </w:tr>
      <w:tr>
        <w:trPr>
          <w:trHeight w:val="25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w:t>
            </w:r>
          </w:p>
        </w:tc>
      </w:tr>
      <w:tr>
        <w:trPr>
          <w:trHeight w:val="26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44"/>
        </w:trPr>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100,957</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58,529</w:t>
            </w:r>
          </w:p>
        </w:tc>
      </w:tr>
      <w:tr>
        <w:trPr>
          <w:trHeight w:val="256"/>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50"/>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 on interest rate swaps,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3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5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 income from equity method investments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56"/>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18,177</w:t>
            </w:r>
          </w:p>
        </w:tc>
      </w:tr>
      <w:tr>
        <w:trPr>
          <w:trHeight w:val="243"/>
        </w:trPr>
        <w:tc>
          <w:tcPr>
            <w:tcW w:w="7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OPAL Fuels LLC</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18,375</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0"/>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63"/>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5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unit amounts: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18,636</w:t>
            </w:r>
          </w:p>
        </w:tc>
      </w:tr>
      <w:tr>
        <w:trPr>
          <w:trHeight w:val="243"/>
        </w:trPr>
        <w:tc>
          <w:tcPr>
            <w:tcW w:w="7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w:t>
            </w:r>
          </w:p>
        </w:tc>
      </w:tr>
    </w:tbl>
    <w:p>
      <w:pPr>
        <w:sectPr>
          <w:pgSz w:w="11900" w:h="16838" w:orient="portrait"/>
          <w:cols w:equalWidth="0" w:num="1">
            <w:col w:w="10760"/>
          </w:cols>
          <w:pgMar w:left="580" w:top="1440" w:right="5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OPAL FUELS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 of U.S. dollars)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50"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40005</wp:posOffset>
            </wp:positionV>
            <wp:extent cx="195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from equity method investment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304"/>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equity method investment</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spares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Parts inventory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Fuel tax credits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payroll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r>
      <w:tr>
        <w:trPr>
          <w:trHeight w:val="250"/>
        </w:trPr>
        <w:tc>
          <w:tcPr>
            <w:tcW w:w="8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r>
      <w:tr>
        <w:trPr>
          <w:trHeight w:val="2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(34,422)</w:t>
            </w: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acquired on acquisition of equity method investment</w:t>
            </w:r>
          </w:p>
        </w:tc>
        <w:tc>
          <w:tcPr>
            <w:tcW w:w="3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57"/>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(54,298)</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(28,752)</w:t>
            </w: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Sunoma loan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w:t>
            </w: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418" w:right="339" w:bottom="1440" w:gutter="0" w:footer="0" w:header="0"/>
        </w:sectPr>
      </w:pPr>
    </w:p>
    <w:bookmarkStart w:id="12" w:name="page13"/>
    <w:bookmarkEnd w:id="1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Senior secured credit facility</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0" w:type="dxa"/>
            <w:vAlign w:val="bottom"/>
          </w:tcPr>
          <w:p>
            <w:pPr>
              <w:spacing w:after="0"/>
              <w:rPr>
                <w:sz w:val="1"/>
                <w:szCs w:val="1"/>
                <w:color w:val="auto"/>
              </w:rPr>
            </w:pP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OPAL term loan</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9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redeemable preferred units</w:t>
            </w: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Contributions from members</w:t>
            </w:r>
          </w:p>
        </w:tc>
        <w:tc>
          <w:tcPr>
            <w:tcW w:w="48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Distributions to members</w:t>
            </w:r>
          </w:p>
        </w:tc>
        <w:tc>
          <w:tcPr>
            <w:tcW w:w="4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121,961</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28,278</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58,225</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beginning of period</w:t>
            </w: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0" w:type="dxa"/>
            <w:vAlign w:val="bottom"/>
          </w:tcPr>
          <w:p>
            <w:pPr>
              <w:spacing w:after="0"/>
              <w:rPr>
                <w:sz w:val="1"/>
                <w:szCs w:val="1"/>
                <w:color w:val="auto"/>
              </w:rPr>
            </w:pPr>
          </w:p>
        </w:tc>
      </w:tr>
      <w:tr>
        <w:trPr>
          <w:trHeight w:val="28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restricted cash, and cash equivalents, end of period</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100,279</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net of $— and $168 capitalized, respectively</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81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Fair value of contingent consideration to redeem the non-controlling interest included in other long-term</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 for purchase of Property, plant and equipment included in Accounts payable and Accrued capital</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 current liabilities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 (Unaudited)</w:t>
      </w:r>
    </w:p>
    <w:p>
      <w:pPr>
        <w:spacing w:after="0" w:line="2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supplement the Company’s unaudited condensed consolidated financial statements presented in accordance with accounting principles generally accepted in the United States of America (“GAAP”), the Company uses a non-GAAP financial measure that it calls adjusted EBITDA (“Adjusted EBITDA”). This non-GAAP Measure adjusts net (loss) income attributable to OPAL Fuels LLC for realized and unrealized gain on interest rate swaps, stock-based compensation expense, transaction costs, other non-cash charges, major maintenance for renewable power, unrealized loss for commodity swaps, paid in kind preferred dividends and gain on equity method investments.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w:t>
      </w:r>
    </w:p>
    <w:p>
      <w:pPr>
        <w:spacing w:after="0" w:line="2" w:lineRule="exact"/>
        <w:rPr>
          <w:sz w:val="20"/>
          <w:szCs w:val="20"/>
          <w:color w:val="auto"/>
        </w:rPr>
      </w:pPr>
    </w:p>
    <w:p>
      <w:pPr>
        <w:jc w:val="both"/>
        <w:ind w:firstLine="8"/>
        <w:spacing w:after="0" w:line="247" w:lineRule="auto"/>
        <w:tabs>
          <w:tab w:leader="none" w:pos="3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presents the reconciliation of our Net (loss) income to Adjusted EBITDA:</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Reconciliation of GAAP Net income to Adjusted EBITDA</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 the Six Months Ended June 30, 2022 and 2021</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(In 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6626225" cy="197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6225" cy="197485"/>
                    </a:xfrm>
                    <a:prstGeom prst="rect">
                      <a:avLst/>
                    </a:prstGeom>
                    <a:noFill/>
                  </pic:spPr>
                </pic:pic>
              </a:graphicData>
            </a:graphic>
          </wp:anchor>
        </w:drawing>
      </w:r>
    </w:p>
    <w:p>
      <w:pPr>
        <w:spacing w:after="0" w:line="322"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45720</wp:posOffset>
            </wp:positionV>
            <wp:extent cx="19113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0"/>
        </w:trPr>
        <w:tc>
          <w:tcPr>
            <w:tcW w:w="74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1"/>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OPAL Fuel LLC</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w:t>
            </w: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Adjusted EBITDA</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40"/>
        </w:trPr>
        <w:tc>
          <w:tcPr>
            <w:tcW w:w="7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41"/>
        </w:trPr>
        <w:tc>
          <w:tcPr>
            <w:tcW w:w="7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on interest rate swaps</w:t>
            </w:r>
          </w:p>
        </w:tc>
        <w:tc>
          <w:tcPr>
            <w:tcW w:w="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41"/>
        </w:trPr>
        <w:tc>
          <w:tcPr>
            <w:tcW w:w="7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non-cash charges </w:t>
            </w:r>
            <w:r>
              <w:rPr>
                <w:rFonts w:ascii="Times New Roman" w:cs="Times New Roman" w:eastAsia="Times New Roman" w:hAnsi="Times New Roman"/>
                <w:sz w:val="23"/>
                <w:szCs w:val="23"/>
                <w:color w:val="auto"/>
                <w:vertAlign w:val="superscript"/>
              </w:rPr>
              <w:t>(2)</w:t>
            </w:r>
          </w:p>
        </w:tc>
        <w:tc>
          <w:tcPr>
            <w:tcW w:w="9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Major maintenance for Renewable Power</w:t>
            </w:r>
          </w:p>
        </w:tc>
        <w:tc>
          <w:tcPr>
            <w:tcW w:w="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commodity swaps</w:t>
            </w:r>
          </w:p>
        </w:tc>
        <w:tc>
          <w:tcPr>
            <w:tcW w:w="9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r>
      <w:tr>
        <w:trPr>
          <w:trHeight w:val="40"/>
        </w:trPr>
        <w:tc>
          <w:tcPr>
            <w:tcW w:w="7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7"/>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 in kind preferred dividends</w:t>
            </w:r>
          </w:p>
        </w:tc>
        <w:tc>
          <w:tcPr>
            <w:tcW w:w="9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equity method investments</w:t>
            </w:r>
          </w:p>
        </w:tc>
        <w:tc>
          <w:tcPr>
            <w:tcW w:w="94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(19,818)</w:t>
            </w:r>
          </w:p>
        </w:tc>
      </w:tr>
      <w:tr>
        <w:trPr>
          <w:trHeight w:val="40"/>
        </w:trPr>
        <w:tc>
          <w:tcPr>
            <w:tcW w:w="74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09"/>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15,131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Transaction costs relate to consulting and professional fees which could not be capitalized per GAAP.</w:t>
      </w:r>
    </w:p>
    <w:p>
      <w:pPr>
        <w:spacing w:after="0" w:line="28" w:lineRule="exact"/>
        <w:rPr>
          <w:rFonts w:ascii="Times New Roman" w:cs="Times New Roman" w:eastAsia="Times New Roman" w:hAnsi="Times New Roman"/>
          <w:sz w:val="27"/>
          <w:szCs w:val="27"/>
          <w:color w:val="auto"/>
          <w:vertAlign w:val="superscript"/>
        </w:rPr>
      </w:pPr>
    </w:p>
    <w:p>
      <w:pPr>
        <w:ind w:left="180" w:hanging="172"/>
        <w:spacing w:after="0" w:line="203" w:lineRule="auto"/>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non-cash charges include certain non-cash expenses included in Selling, general and administrative expenses relating to employee benefit accruals.</w:t>
      </w:r>
    </w:p>
    <w:p>
      <w:pPr>
        <w:sectPr>
          <w:pgSz w:w="11900" w:h="16838" w:orient="portrait"/>
          <w:cols w:equalWidth="0" w:num="1">
            <w:col w:w="11220"/>
          </w:cols>
          <w:pgMar w:left="320" w:top="144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Glossary of terms</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“Environmental Attributes” </w:t>
      </w:r>
      <w:r>
        <w:rPr>
          <w:rFonts w:ascii="Times New Roman" w:cs="Times New Roman" w:eastAsia="Times New Roman" w:hAnsi="Times New Roman"/>
          <w:sz w:val="22"/>
          <w:szCs w:val="22"/>
          <w:color w:val="auto"/>
        </w:rPr>
        <w:t>refer to federal, state and local government incentives in the United States, provided in the form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1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“GGE” </w:t>
      </w:r>
      <w:r>
        <w:rPr>
          <w:rFonts w:ascii="Times New Roman" w:cs="Times New Roman" w:eastAsia="Times New Roman" w:hAnsi="Times New Roman"/>
          <w:sz w:val="22"/>
          <w:szCs w:val="22"/>
          <w:color w:val="auto"/>
        </w:rPr>
        <w:t>refers to Gasoline gallon equivalent. It is used to measure the total volume of RNG production that OPAL Fuels expects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dispense each year. The conversion ratio is 1MMBtu equal to 7.74 GGEs.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“LCFS” </w:t>
      </w:r>
      <w:r>
        <w:rPr>
          <w:rFonts w:ascii="Times New Roman" w:cs="Times New Roman" w:eastAsia="Times New Roman" w:hAnsi="Times New Roman"/>
          <w:sz w:val="22"/>
          <w:szCs w:val="22"/>
          <w:color w:val="auto"/>
        </w:rPr>
        <w:t>refers to Low Carbon Fuel Standard or similar types of federal and state programs.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“LFG” </w:t>
      </w:r>
      <w:r>
        <w:rPr>
          <w:rFonts w:ascii="Times New Roman" w:cs="Times New Roman" w:eastAsia="Times New Roman" w:hAnsi="Times New Roman"/>
          <w:sz w:val="22"/>
          <w:szCs w:val="22"/>
          <w:color w:val="auto"/>
        </w:rPr>
        <w:t>refers to landfill gas.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“MMBtu” </w:t>
      </w:r>
      <w:r>
        <w:rPr>
          <w:rFonts w:ascii="Times New Roman" w:cs="Times New Roman" w:eastAsia="Times New Roman" w:hAnsi="Times New Roman"/>
          <w:sz w:val="22"/>
          <w:szCs w:val="22"/>
          <w:color w:val="auto"/>
        </w:rPr>
        <w:t>refers to British thermal units.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“RECs” </w:t>
      </w:r>
      <w:r>
        <w:rPr>
          <w:rFonts w:ascii="Times New Roman" w:cs="Times New Roman" w:eastAsia="Times New Roman" w:hAnsi="Times New Roman"/>
          <w:sz w:val="22"/>
          <w:szCs w:val="22"/>
          <w:color w:val="auto"/>
        </w:rPr>
        <w:t>refers to Renewable Energy Credits.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“Renewable Power” </w:t>
      </w:r>
      <w:r>
        <w:rPr>
          <w:rFonts w:ascii="Times New Roman" w:cs="Times New Roman" w:eastAsia="Times New Roman" w:hAnsi="Times New Roman"/>
          <w:sz w:val="22"/>
          <w:szCs w:val="22"/>
          <w:color w:val="auto"/>
        </w:rPr>
        <w:t>refers to electricity generated from renewable sources.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“RINs” </w:t>
      </w:r>
      <w:r>
        <w:rPr>
          <w:rFonts w:ascii="Times New Roman" w:cs="Times New Roman" w:eastAsia="Times New Roman" w:hAnsi="Times New Roman"/>
          <w:sz w:val="22"/>
          <w:szCs w:val="22"/>
          <w:color w:val="auto"/>
        </w:rPr>
        <w:t>refers to Renewable Identification Numbers.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“RNG” </w:t>
      </w:r>
      <w:r>
        <w:rPr>
          <w:rFonts w:ascii="Times New Roman" w:cs="Times New Roman" w:eastAsia="Times New Roman" w:hAnsi="Times New Roman"/>
          <w:sz w:val="22"/>
          <w:szCs w:val="22"/>
          <w:color w:val="auto"/>
        </w:rPr>
        <w:t>refers to renewable natural gas.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OPAL Fuels Inc.</w:t>
      </w:r>
    </w:p>
    <w:p>
      <w:pPr>
        <w:spacing w:after="0" w:line="2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Opal Fuels Inc. (Nasdaq: OPAL), is a leading vertically integrated renewable fuels platform involved in the production and distribution of renewable natural gas (RNG) for the heavy-duty truck market. RNG is a proven low-carbon fuel that is rapidly decarbonizing the transportation industry now while also significantly reducing costs for fleet owners. OPAL Fuels captures harmful methane emissions at the source and recycles the trapped energy into a commercially viable, lower-cost alternative to diesel fuel. OPAL Fuels also develops, constructs, and services RNG and hydrogen fueling stations. As a producer and distributor of carbon-reducing fuel for heavy-duty truck fleets for more than a decade, the company delivers best-in-class, complete renewable solutions to customers and production partners. To learn more about OPAL Fuels and how it is leading the effort to capture North America’s harmful methane emissions and decarbonize the transportation industry, please visit www.opalfuels.com and follow the company on LinkedIn and Twitter at @OPALFuels.</w:t>
      </w:r>
    </w:p>
    <w:p>
      <w:pPr>
        <w:sectPr>
          <w:pgSz w:w="11900" w:h="16838" w:orient="portrait"/>
          <w:cols w:equalWidth="0" w:num="1">
            <w:col w:w="11240"/>
          </w:cols>
          <w:pgMar w:left="320" w:top="143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Certain statements in this communication may be considered forward-looking statements. Forward-looking statements are statements that are not historical facts and generally relate to future events or OPAL Fuels’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OPAL Fuels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the proxy statement/prospectus filed on June 27, 2022 in connection with our Registration Statement on Form S-4 (File No. 333-262583) and other filings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OPAL Fuels expressly disclaims any obligations or undertaking to release publicly any updates or revisions to any forward-looking statements contained herein to reflect any change in OPAL Fuels’ expectations with respect thereto or any change in events, conditions or circumstances on which any statement is based.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Disclaimer</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Jason Stewart</w:t>
      </w:r>
    </w:p>
    <w:p>
      <w:pPr>
        <w:spacing w:after="0" w:line="230" w:lineRule="auto"/>
        <w:rPr>
          <w:sz w:val="20"/>
          <w:szCs w:val="20"/>
          <w:color w:val="auto"/>
        </w:rPr>
      </w:pPr>
      <w:r>
        <w:rPr>
          <w:rFonts w:ascii="Times New Roman" w:cs="Times New Roman" w:eastAsia="Times New Roman" w:hAnsi="Times New Roman"/>
          <w:sz w:val="22"/>
          <w:szCs w:val="22"/>
          <w:color w:val="auto"/>
        </w:rPr>
        <w:t>Senior Director Public Relations &amp; Marketing</w:t>
      </w:r>
    </w:p>
    <w:p>
      <w:pPr>
        <w:spacing w:after="0" w:line="231" w:lineRule="auto"/>
        <w:rPr>
          <w:sz w:val="20"/>
          <w:szCs w:val="20"/>
          <w:color w:val="auto"/>
        </w:rPr>
      </w:pPr>
      <w:r>
        <w:rPr>
          <w:rFonts w:ascii="Times New Roman" w:cs="Times New Roman" w:eastAsia="Times New Roman" w:hAnsi="Times New Roman"/>
          <w:sz w:val="22"/>
          <w:szCs w:val="22"/>
          <w:color w:val="auto"/>
        </w:rPr>
        <w:t>914-421-5336</w:t>
      </w:r>
    </w:p>
    <w:p>
      <w:pPr>
        <w:spacing w:after="0"/>
        <w:rPr>
          <w:sz w:val="20"/>
          <w:szCs w:val="20"/>
          <w:color w:val="auto"/>
        </w:rPr>
      </w:pPr>
      <w:r>
        <w:rPr>
          <w:rFonts w:ascii="Times New Roman" w:cs="Times New Roman" w:eastAsia="Times New Roman" w:hAnsi="Times New Roman"/>
          <w:sz w:val="22"/>
          <w:szCs w:val="22"/>
          <w:color w:val="auto"/>
        </w:rPr>
        <w:t>jstewart@opalfuels.com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ICR, Inc.</w:t>
      </w:r>
    </w:p>
    <w:p>
      <w:pPr>
        <w:sectPr>
          <w:pgSz w:w="11900" w:h="16838" w:orient="portrait"/>
          <w:cols w:equalWidth="0" w:num="1">
            <w:col w:w="11240"/>
          </w:cols>
          <w:pgMar w:left="320" w:top="14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OPALFuelsPR@icrinc.com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Todd Firestone</w:t>
      </w:r>
    </w:p>
    <w:p>
      <w:pPr>
        <w:spacing w:after="0"/>
        <w:rPr>
          <w:sz w:val="20"/>
          <w:szCs w:val="20"/>
          <w:color w:val="auto"/>
        </w:rPr>
      </w:pPr>
      <w:r>
        <w:rPr>
          <w:rFonts w:ascii="Times New Roman" w:cs="Times New Roman" w:eastAsia="Times New Roman" w:hAnsi="Times New Roman"/>
          <w:sz w:val="21"/>
          <w:szCs w:val="21"/>
          <w:color w:val="auto"/>
        </w:rPr>
        <w:t>Vice President Investor Relations &amp; Corporate Development</w:t>
      </w:r>
    </w:p>
    <w:p>
      <w:pPr>
        <w:spacing w:after="0" w:line="231" w:lineRule="auto"/>
        <w:rPr>
          <w:sz w:val="20"/>
          <w:szCs w:val="20"/>
          <w:color w:val="auto"/>
        </w:rPr>
      </w:pPr>
      <w:r>
        <w:rPr>
          <w:rFonts w:ascii="Times New Roman" w:cs="Times New Roman" w:eastAsia="Times New Roman" w:hAnsi="Times New Roman"/>
          <w:sz w:val="22"/>
          <w:szCs w:val="22"/>
          <w:color w:val="auto"/>
        </w:rPr>
        <w:t>914-705-4001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investors@opalfuels.com</w:t>
      </w:r>
    </w:p>
    <w:p>
      <w:pPr>
        <w:sectPr>
          <w:pgSz w:w="11900" w:h="16838" w:orient="portrait"/>
          <w:cols w:equalWidth="0" w:num="1">
            <w:col w:w="10139"/>
          </w:cols>
          <w:pgMar w:left="320" w:top="1408" w:right="1440"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lvl>
    <w:lvl w:ilvl="1">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
      <w:numFmt w:val="bullet"/>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2022-08-10T06:10:13Z</dcterms:created>
  <dcterms:modified xsi:type="dcterms:W3CDTF">2022-08-10T06:10:13Z</dcterms:modified>
</cp:coreProperties>
</file>