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2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60"/>
          </w:cols>
          <w:pgMar w:left="320" w:top="230" w:right="5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001-40272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98-1578357</w:t>
      </w:r>
    </w:p>
    <w:p>
      <w:pPr>
        <w:spacing w:after="0" w:line="31" w:lineRule="exact"/>
        <w:rPr>
          <w:sz w:val="24"/>
          <w:szCs w:val="24"/>
          <w:color w:val="auto"/>
        </w:rPr>
      </w:pPr>
    </w:p>
    <w:p>
      <w:pPr>
        <w:sectPr>
          <w:pgSz w:w="11900" w:h="16838" w:orient="portrait"/>
          <w:cols w:equalWidth="0" w:num="3">
            <w:col w:w="4620" w:space="720"/>
            <w:col w:w="2880" w:space="720"/>
            <w:col w:w="2120"/>
          </w:cols>
          <w:pgMar w:left="320" w:top="230" w:right="519" w:bottom="0" w:gutter="0" w:footer="0" w:header="0"/>
          <w:type w:val="continuous"/>
        </w:sectPr>
      </w:pPr>
    </w:p>
    <w:p>
      <w:pPr>
        <w:spacing w:after="0" w:line="12"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600" w:space="720"/>
            <w:col w:w="2620" w:space="720"/>
            <w:col w:w="2400"/>
          </w:cols>
          <w:pgMar w:left="320" w:top="230" w:right="519" w:bottom="0" w:gutter="0" w:footer="0" w:header="0"/>
          <w:type w:val="continuous"/>
        </w:sectPr>
      </w:pPr>
    </w:p>
    <w:p>
      <w:pPr>
        <w:spacing w:after="0" w:line="44"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200 Clarendon Street, 55th Floor</w:t>
      </w:r>
    </w:p>
    <w:p>
      <w:pPr>
        <w:spacing w:after="0" w:line="50"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Boston, MA</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02116</w:t>
      </w:r>
    </w:p>
    <w:p>
      <w:pPr>
        <w:spacing w:after="0" w:line="277" w:lineRule="exact"/>
        <w:rPr>
          <w:sz w:val="24"/>
          <w:szCs w:val="24"/>
          <w:color w:val="auto"/>
        </w:rPr>
      </w:pPr>
    </w:p>
    <w:p>
      <w:pPr>
        <w:sectPr>
          <w:pgSz w:w="11900" w:h="16838" w:orient="portrait"/>
          <w:cols w:equalWidth="0" w:num="2">
            <w:col w:w="7520" w:space="720"/>
            <w:col w:w="2820"/>
          </w:cols>
          <w:pgMar w:left="320" w:top="230" w:right="519" w:bottom="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00" w:space="720"/>
            <w:col w:w="2940"/>
          </w:cols>
          <w:pgMar w:left="320" w:top="230" w:right="519" w:bottom="0" w:gutter="0" w:footer="0" w:header="0"/>
          <w:type w:val="continuous"/>
        </w:sectPr>
      </w:pP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(617) 531-6300</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3"/>
              </w:rPr>
              <w:t>Trading</w:t>
            </w:r>
          </w:p>
        </w:tc>
        <w:tc>
          <w:tcPr>
            <w:tcW w:w="346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320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Symbol(s)</w:t>
            </w:r>
          </w:p>
        </w:tc>
        <w:tc>
          <w:tcPr>
            <w:tcW w:w="3460" w:type="dxa"/>
            <w:vAlign w:val="bottom"/>
            <w:gridSpan w:val="3"/>
          </w:tcPr>
          <w:p>
            <w:pPr>
              <w:jc w:val="center"/>
              <w:ind w:left="937"/>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gridSpan w:val="3"/>
            <w:vMerge w:val="restart"/>
          </w:tcPr>
          <w:p>
            <w:pPr>
              <w:jc w:val="center"/>
              <w:ind w:right="180"/>
              <w:spacing w:after="0" w:line="205" w:lineRule="exact"/>
              <w:rPr>
                <w:sz w:val="20"/>
                <w:szCs w:val="20"/>
                <w:color w:val="auto"/>
              </w:rPr>
            </w:pPr>
            <w:r>
              <w:rPr>
                <w:rFonts w:ascii="Arial" w:cs="Arial" w:eastAsia="Arial" w:hAnsi="Arial"/>
                <w:sz w:val="18"/>
                <w:szCs w:val="18"/>
                <w:b w:val="1"/>
                <w:bCs w:val="1"/>
                <w:color w:val="auto"/>
              </w:rPr>
              <w:t>ACTDU</w:t>
            </w:r>
          </w:p>
        </w:tc>
        <w:tc>
          <w:tcPr>
            <w:tcW w:w="3460" w:type="dxa"/>
            <w:vAlign w:val="bottom"/>
            <w:gridSpan w:val="3"/>
            <w:vMerge w:val="restart"/>
          </w:tcPr>
          <w:p>
            <w:pPr>
              <w:jc w:val="center"/>
              <w:ind w:left="937"/>
              <w:spacing w:after="0" w:line="205"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line="20" w:lineRule="exact"/>
              <w:rPr>
                <w:sz w:val="1"/>
                <w:szCs w:val="1"/>
                <w:color w:val="auto"/>
              </w:rPr>
            </w:pPr>
          </w:p>
        </w:tc>
      </w:tr>
      <w:tr>
        <w:trPr>
          <w:trHeight w:val="165"/>
        </w:trPr>
        <w:tc>
          <w:tcPr>
            <w:tcW w:w="4500" w:type="dxa"/>
            <w:vAlign w:val="bottom"/>
            <w:gridSpan w:val="3"/>
          </w:tcPr>
          <w:p>
            <w:pPr>
              <w:jc w:val="center"/>
              <w:ind w:right="800"/>
              <w:spacing w:after="0" w:line="164" w:lineRule="exact"/>
              <w:rPr>
                <w:sz w:val="20"/>
                <w:szCs w:val="20"/>
                <w:color w:val="auto"/>
              </w:rPr>
            </w:pPr>
            <w:r>
              <w:rPr>
                <w:rFonts w:ascii="Arial" w:cs="Arial" w:eastAsia="Arial" w:hAnsi="Arial"/>
                <w:sz w:val="18"/>
                <w:szCs w:val="18"/>
                <w:b w:val="1"/>
                <w:bCs w:val="1"/>
                <w:color w:val="auto"/>
                <w:w w:val="89"/>
              </w:rPr>
              <w:t>Units, each consisting of one Class A Ordinary</w:t>
            </w:r>
          </w:p>
        </w:tc>
        <w:tc>
          <w:tcPr>
            <w:tcW w:w="2500" w:type="dxa"/>
            <w:vAlign w:val="bottom"/>
            <w:gridSpan w:val="3"/>
            <w:vMerge w:val="continue"/>
          </w:tcPr>
          <w:p>
            <w:pPr>
              <w:spacing w:after="0"/>
              <w:rPr>
                <w:sz w:val="14"/>
                <w:szCs w:val="14"/>
                <w:color w:val="auto"/>
              </w:rPr>
            </w:pPr>
          </w:p>
        </w:tc>
        <w:tc>
          <w:tcPr>
            <w:tcW w:w="3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redeemable warrant</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0"/>
              </w:rPr>
              <w:t>Class A Ordinary Shares included as part of the</w:t>
            </w:r>
          </w:p>
        </w:tc>
        <w:tc>
          <w:tcPr>
            <w:tcW w:w="860" w:type="dxa"/>
            <w:vAlign w:val="bottom"/>
          </w:tcPr>
          <w:p>
            <w:pPr>
              <w:spacing w:after="0"/>
              <w:rPr>
                <w:sz w:val="18"/>
                <w:szCs w:val="18"/>
                <w:color w:val="auto"/>
              </w:rPr>
            </w:pPr>
          </w:p>
        </w:tc>
        <w:tc>
          <w:tcPr>
            <w:tcW w:w="164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ACTD</w:t>
            </w:r>
          </w:p>
        </w:tc>
        <w:tc>
          <w:tcPr>
            <w:tcW w:w="3460" w:type="dxa"/>
            <w:vAlign w:val="bottom"/>
            <w:gridSpan w:val="3"/>
          </w:tcPr>
          <w:p>
            <w:pPr>
              <w:jc w:val="center"/>
              <w:ind w:left="937"/>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88"/>
              </w:rPr>
              <w:t>units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9"/>
              </w:rPr>
              <w:t>Redeemable warrants included as part of the</w:t>
            </w:r>
          </w:p>
        </w:tc>
        <w:tc>
          <w:tcPr>
            <w:tcW w:w="25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ACTDW</w:t>
            </w:r>
          </w:p>
        </w:tc>
        <w:tc>
          <w:tcPr>
            <w:tcW w:w="3460" w:type="dxa"/>
            <w:vAlign w:val="bottom"/>
            <w:gridSpan w:val="3"/>
          </w:tcPr>
          <w:p>
            <w:pPr>
              <w:jc w:val="center"/>
              <w:ind w:left="937"/>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87"/>
              </w:rPr>
              <w:t>$11.50</w:t>
            </w: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60"/>
          </w:cols>
          <w:pgMar w:left="320" w:top="230" w:right="5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August 5, 2021, 31,116,305 Class A ordinary shares, par value $0.0001, and 7,779,076 Class B ordinary shares,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0" w:type="dxa"/>
            <w:vAlign w:val="bottom"/>
            <w:gridSpan w:val="24"/>
            <w:vMerge w:val="restart"/>
          </w:tcPr>
          <w:p>
            <w:pPr>
              <w:ind w:left="3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56"/>
        </w:trPr>
        <w:tc>
          <w:tcPr>
            <w:tcW w:w="10400" w:type="dxa"/>
            <w:vAlign w:val="bottom"/>
            <w:gridSpan w:val="24"/>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92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Balance Sheet as of June 30, 2021 (unaudited)</w:t>
              </w:r>
            </w:hyperlink>
          </w:p>
        </w:tc>
        <w:tc>
          <w:tcPr>
            <w:tcW w:w="524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Operations for the Three Months ended June 30, 2021, and for the period from January 13,</w:t>
              </w:r>
            </w:hyperlink>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2021 (inception) through June 30, 2021</w:t>
              </w:r>
            </w:hyperlink>
          </w:p>
        </w:tc>
        <w:tc>
          <w:tcPr>
            <w:tcW w:w="640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Statement of Changes in Shareholders’ Equity for the period from January 13, 2021 (inception) through</w:t>
              </w:r>
            </w:hyperlink>
          </w:p>
        </w:tc>
        <w:tc>
          <w:tcPr>
            <w:tcW w:w="3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June 30, 2021</w:t>
              </w:r>
            </w:hyperlink>
          </w:p>
        </w:tc>
        <w:tc>
          <w:tcPr>
            <w:tcW w:w="8240" w:type="dxa"/>
            <w:vAlign w:val="bottom"/>
            <w:gridSpan w:val="1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Statement of Cash Flows for the period from January 13, 2021 (inception) through June 30, 2021</w:t>
              </w:r>
            </w:hyperlink>
          </w:p>
        </w:tc>
        <w:tc>
          <w:tcPr>
            <w:tcW w:w="8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4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Controls and Procedures</w:t>
              </w:r>
            </w:hyperlink>
          </w:p>
        </w:tc>
        <w:tc>
          <w:tcPr>
            <w:tcW w:w="2560" w:type="dxa"/>
            <w:vAlign w:val="bottom"/>
            <w:tcBorders>
              <w:top w:val="single" w:sz="8" w:color="0000EE"/>
            </w:tcBorders>
            <w:gridSpan w:val="7"/>
          </w:tcPr>
          <w:p>
            <w:pPr>
              <w:spacing w:after="0"/>
              <w:rPr>
                <w:sz w:val="17"/>
                <w:szCs w:val="17"/>
                <w:color w:val="auto"/>
              </w:rPr>
            </w:pPr>
          </w:p>
        </w:tc>
        <w:tc>
          <w:tcPr>
            <w:tcW w:w="508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400" w:type="dxa"/>
            <w:vAlign w:val="bottom"/>
            <w:gridSpan w:val="24"/>
          </w:tcPr>
          <w:p>
            <w:pPr>
              <w:ind w:left="360"/>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44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10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 from Registered Securities</w:t>
              </w:r>
            </w:hyperlink>
          </w:p>
        </w:tc>
        <w:tc>
          <w:tcPr>
            <w:tcW w:w="31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Defaults Upon Senior Securities</w:t>
              </w:r>
            </w:hyperlink>
          </w:p>
        </w:tc>
        <w:tc>
          <w:tcPr>
            <w:tcW w:w="710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76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4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12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840" w:type="dxa"/>
            <w:vAlign w:val="bottom"/>
            <w:gridSpan w:val="2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24"/>
          </w:tcPr>
          <w:p>
            <w:pPr>
              <w:ind w:left="360"/>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SIGNATURES</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720" w:type="dxa"/>
            <w:vAlign w:val="bottom"/>
            <w:gridSpan w:val="15"/>
          </w:tcPr>
          <w:p>
            <w:pPr>
              <w:jc w:val="right"/>
              <w:ind w:right="17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6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280" w:type="dxa"/>
            <w:vAlign w:val="bottom"/>
          </w:tcPr>
          <w:p>
            <w:pPr>
              <w:jc w:val="center"/>
              <w:ind w:left="150"/>
              <w:spacing w:after="0"/>
              <w:rPr>
                <w:sz w:val="20"/>
                <w:szCs w:val="20"/>
                <w:color w:val="auto"/>
              </w:rPr>
            </w:pPr>
            <w:r>
              <w:rPr>
                <w:rFonts w:ascii="Arial" w:cs="Arial" w:eastAsia="Arial" w:hAnsi="Arial"/>
                <w:sz w:val="18"/>
                <w:szCs w:val="18"/>
                <w:b w:val="1"/>
                <w:bCs w:val="1"/>
                <w:color w:val="auto"/>
              </w:rPr>
              <w:t>PART I—FINANCIAL INFORMATION</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80" w:type="dxa"/>
            <w:vAlign w:val="bottom"/>
          </w:tcPr>
          <w:p>
            <w:pPr>
              <w:jc w:val="center"/>
              <w:ind w:left="150"/>
              <w:spacing w:after="0"/>
              <w:rPr>
                <w:sz w:val="20"/>
                <w:szCs w:val="20"/>
                <w:color w:val="auto"/>
              </w:rPr>
            </w:pPr>
            <w:r>
              <w:rPr>
                <w:rFonts w:ascii="Arial" w:cs="Arial" w:eastAsia="Arial" w:hAnsi="Arial"/>
                <w:sz w:val="18"/>
                <w:szCs w:val="18"/>
                <w:b w:val="1"/>
                <w:bCs w:val="1"/>
                <w:color w:val="auto"/>
              </w:rPr>
              <w:t>ARCLIGHT CLEAN TRANSITION CORP. II</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UNAUDITED CONDENSED BALANCE SHEET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8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JUNE 30, 2021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1,164,577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1,225,548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2,390,125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311,167,507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313,557,632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5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175,056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25,950,160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37,215,923</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27,134,170 shares subject to possible redemption at $10.00 per share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271,341,700</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520" w:type="dxa"/>
            <w:vAlign w:val="bottom"/>
            <w:gridSpan w:val="2"/>
          </w:tcPr>
          <w:p>
            <w:pPr>
              <w:spacing w:after="0" w:line="201" w:lineRule="exact"/>
              <w:rPr>
                <w:sz w:val="20"/>
                <w:szCs w:val="20"/>
                <w:color w:val="auto"/>
              </w:rPr>
            </w:pPr>
            <w:r>
              <w:rPr>
                <w:rFonts w:ascii="Arial" w:cs="Arial" w:eastAsia="Arial" w:hAnsi="Arial"/>
                <w:sz w:val="18"/>
                <w:szCs w:val="18"/>
                <w:color w:val="auto"/>
                <w:w w:val="92"/>
              </w:rPr>
              <w:t>Class A ordinary shares, $0.0001 par value; 500,000,000 shares authorized; 3,982,135 shares issued and outstanding (excluding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20" w:type="dxa"/>
            <w:vAlign w:val="bottom"/>
            <w:gridSpan w:val="2"/>
          </w:tcPr>
          <w:p>
            <w:pPr>
              <w:ind w:left="180"/>
              <w:spacing w:after="0"/>
              <w:rPr>
                <w:sz w:val="20"/>
                <w:szCs w:val="20"/>
                <w:color w:val="auto"/>
              </w:rPr>
            </w:pPr>
            <w:r>
              <w:rPr>
                <w:rFonts w:ascii="Arial" w:cs="Arial" w:eastAsia="Arial" w:hAnsi="Arial"/>
                <w:sz w:val="18"/>
                <w:szCs w:val="18"/>
                <w:color w:val="auto"/>
              </w:rPr>
              <w:t>27,134,170 shares subject to possible redemption)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ordinary shares, $0.0001 par value; 50,000,000 shares authorized; 7,779,076 shares issued and outstanding</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16,934,285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(11,935,452)</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313,557,632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73"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For the three</w:t>
            </w: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January 13, 2021</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394,413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(394,413)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(11,225,560)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(10,954,400)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23"/>
        </w:trPr>
        <w:tc>
          <w:tcPr>
            <w:tcW w:w="8560" w:type="dxa"/>
            <w:vAlign w:val="bottom"/>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(11,221,256)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(11,412,563)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(11,615,669)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(11,935,452)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8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Weighted average shares outstanding of Redeemable Class A common stock subject to redemption, basic</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diluted</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28,282,973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28,282,967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4"/>
              </w:rPr>
              <w:t>Weighted average shares outstanding of Non-Redeemable Class A and Class B common stock, basic and</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10,612,408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9,136,016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JANUARY 13, 2021 (INCEPTION) THROUGH JUNE 30, 2021</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r>
      <w:tr>
        <w:trPr>
          <w:trHeight w:val="155"/>
        </w:trPr>
        <w:tc>
          <w:tcPr>
            <w:tcW w:w="3860" w:type="dxa"/>
            <w:vAlign w:val="bottom"/>
          </w:tcPr>
          <w:p>
            <w:pPr>
              <w:spacing w:after="0"/>
              <w:rPr>
                <w:sz w:val="13"/>
                <w:szCs w:val="13"/>
                <w:color w:val="auto"/>
              </w:rPr>
            </w:pPr>
          </w:p>
        </w:tc>
        <w:tc>
          <w:tcPr>
            <w:tcW w:w="114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93"/>
              </w:rPr>
              <w:t>Class A</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Class B</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Shareholders’</w:t>
            </w:r>
          </w:p>
        </w:tc>
      </w:tr>
      <w:tr>
        <w:trPr>
          <w:trHeight w:val="156"/>
        </w:trPr>
        <w:tc>
          <w:tcPr>
            <w:tcW w:w="3860" w:type="dxa"/>
            <w:vAlign w:val="bottom"/>
          </w:tcPr>
          <w:p>
            <w:pPr>
              <w:spacing w:after="0"/>
              <w:rPr>
                <w:sz w:val="13"/>
                <w:szCs w:val="13"/>
                <w:color w:val="auto"/>
              </w:rPr>
            </w:pPr>
          </w:p>
        </w:tc>
        <w:tc>
          <w:tcPr>
            <w:tcW w:w="114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13, 2021 (inception)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7,906,250</w:t>
            </w:r>
          </w:p>
        </w:tc>
        <w:tc>
          <w:tcPr>
            <w:tcW w:w="14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24,209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Sale of units in initial public offering, less fair value</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public warrants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31,116,305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305,211,708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305,214,820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Offering costs</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(17,138,390)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(17,138,390)</w:t>
            </w: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Sale of private placement warrants to Sponsor less</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private warrants</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175,731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175,731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w w:val="94"/>
              </w:rPr>
              <w:t>Forfeiture of Class B ordinary shares from Sponsor</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(127,174)</w:t>
            </w:r>
          </w:p>
        </w:tc>
        <w:tc>
          <w:tcPr>
            <w:tcW w:w="1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possible redemption</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(28,295,737)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(2,830)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(282,954,540)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(282,957,370)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(319,783)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(319,783)</w:t>
            </w:r>
          </w:p>
        </w:tc>
      </w:tr>
      <w:tr>
        <w:trPr>
          <w:trHeight w:val="27"/>
        </w:trPr>
        <w:tc>
          <w:tcPr>
            <w:tcW w:w="3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2,820,568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86"/>
              </w:rPr>
              <w:t>282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7,779,076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778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5,318,731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(319,783)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5,000,008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Shares subject to possible redemption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1,161,567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116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11,615,554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11,615,670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(11,615,669)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(11,615,669)</w:t>
            </w: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 June 30, 2021 (unaudited)</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3,982,135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6"/>
              </w:rPr>
              <w:t>398</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7,779,076</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778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16,934,285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(11,935,452)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5,000,009</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003" w:right="77"/>
        <w:spacing w:after="0" w:line="266" w:lineRule="auto"/>
        <w:rPr>
          <w:sz w:val="20"/>
          <w:szCs w:val="20"/>
          <w:color w:val="auto"/>
        </w:rPr>
      </w:pPr>
      <w:r>
        <w:rPr>
          <w:rFonts w:ascii="Arial" w:cs="Arial" w:eastAsia="Arial" w:hAnsi="Arial"/>
          <w:sz w:val="18"/>
          <w:szCs w:val="18"/>
          <w:b w:val="1"/>
          <w:bCs w:val="1"/>
          <w:color w:val="auto"/>
        </w:rPr>
        <w:t>ARCLIGHT CLEAN TRANSITION CORP. II UNAUDITED CONDENSED STATEMENT OF CASH FLOWS FOR THE PERIOD FROM JANUARY 13, 2021 (INCEPTION) THROUGH JUNE 30, 2021</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General and administrative expenses paid by related party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General and administrative expenses paid by related party under promissory note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 in fair value of 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Financing costs - warrant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gain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note payable to related party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Proceeds received from initial public offering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Offering costs paid</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 beginning of the period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accounts payable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Offering costs paid by related party under promissory note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Deferred underwriting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Initial value of Class A ordinary shares subject to possible redemption</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 in value of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Forfeiture of Class B ordinary shares from Sponsor</w:t>
      </w:r>
    </w:p>
    <w:p>
      <w:pPr>
        <w:spacing w:after="0" w:line="211" w:lineRule="exact"/>
        <w:rPr>
          <w:sz w:val="20"/>
          <w:szCs w:val="20"/>
          <w:color w:val="auto"/>
        </w:rPr>
      </w:pPr>
    </w:p>
    <w:p>
      <w:pPr>
        <w:jc w:val="center"/>
        <w:ind w:left="2003"/>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81" w:lineRule="exact"/>
        <w:rPr>
          <w:sz w:val="20"/>
          <w:szCs w:val="20"/>
          <w:color w:val="auto"/>
        </w:rPr>
      </w:pPr>
    </w:p>
    <w:p>
      <w:pPr>
        <w:jc w:val="center"/>
        <w:ind w:left="200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(11,935,452)</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26,800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10,954,400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462,620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(4,457)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(1,225,548)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(1,591,581)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1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363" w:lineRule="exact"/>
        <w:rPr>
          <w:sz w:val="20"/>
          <w:szCs w:val="20"/>
          <w:color w:val="auto"/>
        </w:rPr>
      </w:pPr>
    </w:p>
    <w:p>
      <w:pPr>
        <w:ind w:left="103"/>
        <w:spacing w:after="0"/>
        <w:rPr>
          <w:sz w:val="20"/>
          <w:szCs w:val="20"/>
          <w:color w:val="auto"/>
        </w:rPr>
      </w:pPr>
      <w:r>
        <w:rPr>
          <w:rFonts w:ascii="Arial" w:cs="Arial" w:eastAsia="Arial" w:hAnsi="Arial"/>
          <w:sz w:val="16"/>
          <w:szCs w:val="16"/>
          <w:u w:val="single" w:color="auto"/>
          <w:color w:val="auto"/>
        </w:rPr>
        <w:t>(311,163,050)</w:t>
      </w:r>
    </w:p>
    <w:p>
      <w:pPr>
        <w:spacing w:after="0" w:line="59" w:lineRule="exact"/>
        <w:rPr>
          <w:sz w:val="20"/>
          <w:szCs w:val="20"/>
          <w:color w:val="auto"/>
        </w:rPr>
      </w:pPr>
    </w:p>
    <w:p>
      <w:pPr>
        <w:ind w:left="103"/>
        <w:spacing w:after="0"/>
        <w:rPr>
          <w:sz w:val="20"/>
          <w:szCs w:val="20"/>
          <w:color w:val="auto"/>
        </w:rPr>
      </w:pPr>
      <w:r>
        <w:rPr>
          <w:rFonts w:ascii="Arial" w:cs="Arial" w:eastAsia="Arial" w:hAnsi="Arial"/>
          <w:sz w:val="16"/>
          <w:szCs w:val="16"/>
          <w:u w:val="single" w:color="auto"/>
          <w:color w:val="auto"/>
        </w:rPr>
        <w:t>(311,163,050)</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(171,742)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311,163,050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9,223,261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(6,295,461)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223"/>
        <w:spacing w:after="0"/>
        <w:rPr>
          <w:sz w:val="20"/>
          <w:szCs w:val="20"/>
          <w:color w:val="auto"/>
        </w:rPr>
      </w:pPr>
      <w:r>
        <w:rPr>
          <w:rFonts w:ascii="Arial" w:cs="Arial" w:eastAsia="Arial" w:hAnsi="Arial"/>
          <w:sz w:val="16"/>
          <w:szCs w:val="16"/>
          <w:color w:val="auto"/>
        </w:rPr>
        <w:t>313,919,208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1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147" w:lineRule="exact"/>
        <w:rPr>
          <w:sz w:val="20"/>
          <w:szCs w:val="20"/>
          <w:color w:val="auto"/>
        </w:rPr>
      </w:pPr>
    </w:p>
    <w:p>
      <w:pPr>
        <w:ind w:left="403"/>
        <w:spacing w:after="0"/>
        <w:rPr>
          <w:sz w:val="20"/>
          <w:szCs w:val="20"/>
          <w:color w:val="auto"/>
        </w:rPr>
      </w:pPr>
      <w:r>
        <w:rPr>
          <w:rFonts w:ascii="Arial" w:cs="Arial" w:eastAsia="Arial" w:hAnsi="Arial"/>
          <w:sz w:val="16"/>
          <w:szCs w:val="16"/>
          <w:color w:val="auto"/>
        </w:rPr>
        <w:t>1,164,577</w:t>
      </w:r>
    </w:p>
    <w:p>
      <w:pPr>
        <w:spacing w:after="0" w:line="140" w:lineRule="exact"/>
        <w:rPr>
          <w:sz w:val="20"/>
          <w:szCs w:val="20"/>
          <w:color w:val="auto"/>
        </w:rPr>
      </w:pPr>
    </w:p>
    <w:p>
      <w:pPr>
        <w:ind w:left="84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12" w:lineRule="exact"/>
        <w:rPr>
          <w:sz w:val="20"/>
          <w:szCs w:val="20"/>
          <w:color w:val="auto"/>
        </w:rPr>
      </w:pPr>
    </w:p>
    <w:p>
      <w:pPr>
        <w:ind w:left="403" w:hanging="403"/>
        <w:spacing w:after="0"/>
        <w:tabs>
          <w:tab w:leader="none" w:pos="403" w:val="left"/>
        </w:tabs>
        <w:numPr>
          <w:ilvl w:val="0"/>
          <w:numId w:val="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1,164,577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1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394" w:lineRule="exact"/>
        <w:rPr>
          <w:sz w:val="20"/>
          <w:szCs w:val="20"/>
          <w:color w:val="auto"/>
        </w:rPr>
      </w:pPr>
    </w:p>
    <w:p>
      <w:pPr>
        <w:ind w:left="543" w:hanging="543"/>
        <w:spacing w:after="0"/>
        <w:tabs>
          <w:tab w:leader="none" w:pos="543" w:val="left"/>
        </w:tabs>
        <w:numPr>
          <w:ilvl w:val="0"/>
          <w:numId w:val="4"/>
        </w:numPr>
        <w:rPr>
          <w:rFonts w:ascii="Arial" w:cs="Arial" w:eastAsia="Arial" w:hAnsi="Arial"/>
          <w:sz w:val="16"/>
          <w:szCs w:val="16"/>
          <w:color w:val="auto"/>
        </w:rPr>
      </w:pPr>
      <w:r>
        <w:rPr>
          <w:rFonts w:ascii="Arial" w:cs="Arial" w:eastAsia="Arial" w:hAnsi="Arial"/>
          <w:sz w:val="16"/>
          <w:szCs w:val="16"/>
          <w:color w:val="auto"/>
        </w:rPr>
        <w:t>200,000</w:t>
      </w:r>
    </w:p>
    <w:p>
      <w:pPr>
        <w:spacing w:after="0" w:line="46" w:lineRule="exact"/>
        <w:rPr>
          <w:sz w:val="20"/>
          <w:szCs w:val="20"/>
          <w:color w:val="auto"/>
        </w:rPr>
      </w:pPr>
    </w:p>
    <w:p>
      <w:pPr>
        <w:ind w:left="623" w:hanging="623"/>
        <w:spacing w:after="0"/>
        <w:tabs>
          <w:tab w:leader="none" w:pos="623" w:val="left"/>
        </w:tabs>
        <w:numPr>
          <w:ilvl w:val="0"/>
          <w:numId w:val="5"/>
        </w:numPr>
        <w:rPr>
          <w:rFonts w:ascii="Arial" w:cs="Arial" w:eastAsia="Arial" w:hAnsi="Arial"/>
          <w:sz w:val="16"/>
          <w:szCs w:val="16"/>
          <w:color w:val="auto"/>
        </w:rPr>
      </w:pPr>
      <w:r>
        <w:rPr>
          <w:rFonts w:ascii="Arial" w:cs="Arial" w:eastAsia="Arial" w:hAnsi="Arial"/>
          <w:sz w:val="16"/>
          <w:szCs w:val="16"/>
          <w:color w:val="auto"/>
        </w:rPr>
        <w:t>70,000</w:t>
      </w:r>
    </w:p>
    <w:p>
      <w:pPr>
        <w:spacing w:after="0" w:line="32" w:lineRule="exact"/>
        <w:rPr>
          <w:sz w:val="20"/>
          <w:szCs w:val="20"/>
          <w:color w:val="auto"/>
        </w:rPr>
      </w:pPr>
    </w:p>
    <w:p>
      <w:pPr>
        <w:ind w:left="543" w:hanging="543"/>
        <w:spacing w:after="0"/>
        <w:tabs>
          <w:tab w:leader="none" w:pos="543" w:val="left"/>
        </w:tabs>
        <w:numPr>
          <w:ilvl w:val="0"/>
          <w:numId w:val="6"/>
        </w:numPr>
        <w:rPr>
          <w:rFonts w:ascii="Arial" w:cs="Arial" w:eastAsia="Arial" w:hAnsi="Arial"/>
          <w:sz w:val="16"/>
          <w:szCs w:val="16"/>
          <w:color w:val="auto"/>
        </w:rPr>
      </w:pPr>
      <w:r>
        <w:rPr>
          <w:rFonts w:ascii="Arial" w:cs="Arial" w:eastAsia="Arial" w:hAnsi="Arial"/>
          <w:sz w:val="16"/>
          <w:szCs w:val="16"/>
          <w:color w:val="auto"/>
        </w:rPr>
        <w:t>144,842</w:t>
      </w:r>
    </w:p>
    <w:p>
      <w:pPr>
        <w:spacing w:after="0" w:line="32" w:lineRule="exact"/>
        <w:rPr>
          <w:rFonts w:ascii="Arial" w:cs="Arial" w:eastAsia="Arial" w:hAnsi="Arial"/>
          <w:sz w:val="16"/>
          <w:szCs w:val="16"/>
          <w:color w:val="auto"/>
        </w:rPr>
      </w:pPr>
    </w:p>
    <w:p>
      <w:pPr>
        <w:ind w:left="303" w:hanging="303"/>
        <w:spacing w:after="0"/>
        <w:tabs>
          <w:tab w:leader="none" w:pos="303" w:val="left"/>
        </w:tabs>
        <w:numPr>
          <w:ilvl w:val="0"/>
          <w:numId w:val="6"/>
        </w:numPr>
        <w:rPr>
          <w:rFonts w:ascii="Arial" w:cs="Arial" w:eastAsia="Arial" w:hAnsi="Arial"/>
          <w:sz w:val="16"/>
          <w:szCs w:val="16"/>
          <w:color w:val="auto"/>
        </w:rPr>
      </w:pPr>
      <w:r>
        <w:rPr>
          <w:rFonts w:ascii="Arial" w:cs="Arial" w:eastAsia="Arial" w:hAnsi="Arial"/>
          <w:sz w:val="16"/>
          <w:szCs w:val="16"/>
          <w:color w:val="auto"/>
        </w:rPr>
        <w:t>10,890,707</w:t>
      </w:r>
    </w:p>
    <w:p>
      <w:pPr>
        <w:spacing w:after="0" w:line="32" w:lineRule="exact"/>
        <w:rPr>
          <w:rFonts w:ascii="Arial" w:cs="Arial" w:eastAsia="Arial" w:hAnsi="Arial"/>
          <w:sz w:val="16"/>
          <w:szCs w:val="16"/>
          <w:color w:val="auto"/>
        </w:rPr>
      </w:pPr>
    </w:p>
    <w:p>
      <w:pPr>
        <w:ind w:left="223" w:hanging="223"/>
        <w:spacing w:after="0"/>
        <w:tabs>
          <w:tab w:leader="none" w:pos="223" w:val="left"/>
        </w:tabs>
        <w:numPr>
          <w:ilvl w:val="0"/>
          <w:numId w:val="6"/>
        </w:numPr>
        <w:rPr>
          <w:rFonts w:ascii="Arial" w:cs="Arial" w:eastAsia="Arial" w:hAnsi="Arial"/>
          <w:sz w:val="16"/>
          <w:szCs w:val="16"/>
          <w:color w:val="auto"/>
        </w:rPr>
      </w:pPr>
      <w:r>
        <w:rPr>
          <w:rFonts w:ascii="Arial" w:cs="Arial" w:eastAsia="Arial" w:hAnsi="Arial"/>
          <w:sz w:val="16"/>
          <w:szCs w:val="16"/>
          <w:color w:val="auto"/>
        </w:rPr>
        <w:t>282,777,640</w:t>
      </w:r>
    </w:p>
    <w:p>
      <w:pPr>
        <w:spacing w:after="0" w:line="32" w:lineRule="exact"/>
        <w:rPr>
          <w:sz w:val="20"/>
          <w:szCs w:val="20"/>
          <w:color w:val="auto"/>
        </w:rPr>
      </w:pPr>
    </w:p>
    <w:p>
      <w:pPr>
        <w:ind w:left="543" w:hanging="543"/>
        <w:spacing w:after="0"/>
        <w:tabs>
          <w:tab w:leader="none" w:pos="543" w:val="left"/>
        </w:tabs>
        <w:numPr>
          <w:ilvl w:val="0"/>
          <w:numId w:val="7"/>
        </w:numPr>
        <w:rPr>
          <w:rFonts w:ascii="Arial" w:cs="Arial" w:eastAsia="Arial" w:hAnsi="Arial"/>
          <w:sz w:val="16"/>
          <w:szCs w:val="16"/>
          <w:color w:val="auto"/>
        </w:rPr>
      </w:pPr>
      <w:r>
        <w:rPr>
          <w:rFonts w:ascii="Arial" w:cs="Arial" w:eastAsia="Arial" w:hAnsi="Arial"/>
          <w:sz w:val="16"/>
          <w:szCs w:val="16"/>
          <w:color w:val="auto"/>
        </w:rPr>
        <w:t>179,730</w:t>
      </w:r>
    </w:p>
    <w:p>
      <w:pPr>
        <w:spacing w:after="0" w:line="32" w:lineRule="exact"/>
        <w:rPr>
          <w:rFonts w:ascii="Arial" w:cs="Arial" w:eastAsia="Arial" w:hAnsi="Arial"/>
          <w:sz w:val="16"/>
          <w:szCs w:val="16"/>
          <w:color w:val="auto"/>
        </w:rPr>
      </w:pPr>
    </w:p>
    <w:p>
      <w:pPr>
        <w:ind w:left="943" w:hanging="943"/>
        <w:spacing w:after="0"/>
        <w:tabs>
          <w:tab w:leader="none" w:pos="943" w:val="left"/>
        </w:tabs>
        <w:numPr>
          <w:ilvl w:val="0"/>
          <w:numId w:val="7"/>
        </w:numPr>
        <w:rPr>
          <w:rFonts w:ascii="Arial" w:cs="Arial" w:eastAsia="Arial" w:hAnsi="Arial"/>
          <w:sz w:val="16"/>
          <w:szCs w:val="16"/>
          <w:color w:val="auto"/>
        </w:rPr>
      </w:pPr>
      <w:r>
        <w:rPr>
          <w:rFonts w:ascii="Arial" w:cs="Arial" w:eastAsia="Arial" w:hAnsi="Arial"/>
          <w:sz w:val="16"/>
          <w:szCs w:val="16"/>
          <w:color w:val="auto"/>
        </w:rPr>
        <w:t>13</w:t>
      </w:r>
    </w:p>
    <w:p>
      <w:pPr>
        <w:sectPr>
          <w:pgSz w:w="11900" w:h="16838" w:orient="portrait"/>
          <w:cols w:equalWidth="0" w:num="2">
            <w:col w:w="9237" w:space="720"/>
            <w:col w:w="1123"/>
          </w:cols>
          <w:pgMar w:left="320" w:top="48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6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 of June 30, 2021, the Company had not yet commenced operations. All activity for the period from January 13, 2021 (inception) through June 30,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76"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w:t>
      </w:r>
    </w:p>
    <w:p>
      <w:pPr>
        <w:spacing w:after="0" w:line="1" w:lineRule="exact"/>
        <w:rPr>
          <w:sz w:val="20"/>
          <w:szCs w:val="20"/>
          <w:color w:val="auto"/>
        </w:rPr>
      </w:pPr>
    </w:p>
    <w:p>
      <w:pPr>
        <w:ind w:left="120" w:right="460"/>
        <w:spacing w:after="0" w:line="323" w:lineRule="auto"/>
        <w:rPr>
          <w:sz w:val="20"/>
          <w:szCs w:val="20"/>
          <w:color w:val="auto"/>
        </w:rPr>
      </w:pPr>
      <w:r>
        <w:rPr>
          <w:rFonts w:ascii="Arial" w:cs="Arial" w:eastAsia="Arial" w:hAnsi="Arial"/>
          <w:sz w:val="16"/>
          <w:szCs w:val="16"/>
          <w:color w:val="auto"/>
        </w:rPr>
        <w:t>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3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9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5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2021, the Company had approximately $1.2 million in its operating bank account and a working capital of approximately $2.0 million.</w:t>
      </w:r>
    </w:p>
    <w:p>
      <w:pPr>
        <w:spacing w:after="0" w:line="248"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Company’s liquidity needs up to June 30, 2021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To date, there were no amounts outstanding under any Working Capital Loans.</w:t>
      </w:r>
    </w:p>
    <w:p>
      <w:pPr>
        <w:spacing w:after="0" w:line="17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January 13, 2021 (Inception) through June 30, 2021 are not necessarily indicative of the results that may be expected for the period from January 13, 2021 (inception) through December 31, 2021.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shareholder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w:t>
      </w:r>
    </w:p>
    <w:p>
      <w:pPr>
        <w:spacing w:after="0" w:line="1" w:lineRule="exact"/>
        <w:rPr>
          <w:sz w:val="20"/>
          <w:szCs w:val="20"/>
          <w:color w:val="auto"/>
        </w:rPr>
      </w:pPr>
    </w:p>
    <w:p>
      <w:pPr>
        <w:ind w:left="120" w:right="140"/>
        <w:spacing w:after="0" w:line="302" w:lineRule="auto"/>
        <w:rPr>
          <w:sz w:val="20"/>
          <w:szCs w:val="20"/>
          <w:color w:val="auto"/>
        </w:rPr>
      </w:pPr>
      <w:r>
        <w:rPr>
          <w:rFonts w:ascii="Arial" w:cs="Arial" w:eastAsia="Arial" w:hAnsi="Arial"/>
          <w:sz w:val="16"/>
          <w:szCs w:val="16"/>
          <w:color w:val="auto"/>
        </w:rPr>
        <w:t>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5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There were no cash equivalents as of June 30,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condensed balance sheet at fair value at the end of each reporting period. Gains and losses resulting from the change in fair value of these securities is included in net gain on investments held in Trust Account in the accompanying unaudited condensed statements of operations. The estimated fair values of investments held in the Trust Account are determined using available market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June 30, 2021, the Company has not experienced losses on these accounts and management believes the Company is not exposed to significant risks on such accounts.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815-15, “Derivatives and Hedging” (“ASC 815”). The classification of derivative instruments, including whether such instruments should be recorded as liabilities or as equity, is re-assessed at the end of each reporting period.</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unaudited condensed statements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8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right="380"/>
        <w:spacing w:after="0" w:line="257"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unaudited condensed statements of operations. Offering costs associated with the Class A ordinary shares were charged to shareholders’ equity upon the completion of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June 30, 2021, 27,134,170 Class A ordinary shares subject to possible redemption are presented as temporary equity, outside of the shareholders’ equity section of the Company’s balance sheet.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June 30, 2021. The Company is currently not aware of any issues under review that could result in significant payments, accruals or material deviation from its position.</w:t>
      </w:r>
    </w:p>
    <w:p>
      <w:pPr>
        <w:spacing w:after="0" w:line="192"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loss per share is computed by dividing net loss by the weighted average number of shares of ordinary shares outstanding during the period excluding ordinary shares subject to forfeiture. An aggregate of 27,134,170 shares of Class A ordinary shares subject to possible redemption at June 30, 2021 has been excluded from the calculation of basic loss per share ordinary share, since such shares, if redeemed, only participate in their pro rata share of the trust earnings. The Company has not considered the effect of the warrants sold in the Initial Public Offering (including the consummation of the Over-Allotment Units) and Private Placement to purchase an aggregate of 15,446,522 shares of the Company’s ordinary shares in the calculation of diluted loss per share, since the inclusion of such warrants would be anti-dilutive.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Company’s unaudited condensed statements of operations includes a presentation of income (loss) per share for Redeemable Class A ordinary shares in a manner similar to the two-class method of income (loss) per share. Net income per ordinary share, basic and diluted, for Redeemable Class A Ordinary Shares is calculated by dividing the proportionate share of income or loss on marketable securities held by the Trust Account, net of applicable franchise and income taxes, by the weighted average number of Ordinary shares subject to possible redemption outstanding since original issuance.</w:t>
      </w:r>
    </w:p>
    <w:p>
      <w:pPr>
        <w:spacing w:after="0" w:line="157"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Net loss per share, basic and diluted, for Non-Redeemable Class A and Class B Ordinary Shares is calculated by dividing the net loss, adjusted for income or loss on marketable securities attributable to Redeemable Class A Ordinary Shares, by the weighted average number of non-redeemable ordinary share outstanding for the period.</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Non-Redeemable Class A and Class B Ordinary Shares includes Founder Shares and non-redeemable shares of ordinary shares as these shares do not have any redemption features. Non-Redeemable Class A and Class B Ordinary Shares participates in the income or loss on marketable securities based on non-redeemable ordinary shares’ proportionate interest.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basic and diluted loss per common share is calculated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January 13, 2021</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(inception) through</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ended June 30, 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Class A Common stock subject to possible redemption</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rPr>
              <w:t>Numerator: Earnings allocable to Common stock subject to</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investments held in Trust Account</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02"/>
        </w:trPr>
        <w:tc>
          <w:tcPr>
            <w:tcW w:w="5220" w:type="dxa"/>
            <w:vAlign w:val="bottom"/>
          </w:tcPr>
          <w:p>
            <w:pPr>
              <w:ind w:left="360"/>
              <w:spacing w:after="0" w:line="201" w:lineRule="exact"/>
              <w:rPr>
                <w:sz w:val="20"/>
                <w:szCs w:val="20"/>
                <w:color w:val="auto"/>
              </w:rPr>
            </w:pPr>
            <w:r>
              <w:rPr>
                <w:rFonts w:ascii="Arial" w:cs="Arial" w:eastAsia="Arial" w:hAnsi="Arial"/>
                <w:sz w:val="18"/>
                <w:szCs w:val="18"/>
                <w:color w:val="auto"/>
              </w:rPr>
              <w:t>Less: Company’s portion available to be withdrawn to pay</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540"/>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attributable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3,753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3,887</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w w:val="98"/>
              </w:rPr>
              <w:t>Denominator: Weighted average Class A common stock subject to</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28,282,973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28,282,967</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Basic and diluted net income per share</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Non-Redeemable Common Stock</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Numerator: Net Loss minus Net Earnings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(11,615,669)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(11,935,452)</w:t>
            </w:r>
          </w:p>
        </w:tc>
        <w:tc>
          <w:tcPr>
            <w:tcW w:w="0" w:type="dxa"/>
            <w:vAlign w:val="bottom"/>
          </w:tcPr>
          <w:p>
            <w:pPr>
              <w:spacing w:after="0"/>
              <w:rPr>
                <w:sz w:val="1"/>
                <w:szCs w:val="1"/>
                <w:color w:val="auto"/>
              </w:rPr>
            </w:pPr>
          </w:p>
        </w:tc>
      </w:tr>
      <w:tr>
        <w:trPr>
          <w:trHeight w:val="202"/>
        </w:trPr>
        <w:tc>
          <w:tcPr>
            <w:tcW w:w="5220" w:type="dxa"/>
            <w:vAlign w:val="bottom"/>
          </w:tcPr>
          <w:p>
            <w:pPr>
              <w:ind w:left="360"/>
              <w:spacing w:after="0" w:line="201" w:lineRule="exact"/>
              <w:rPr>
                <w:sz w:val="20"/>
                <w:szCs w:val="20"/>
                <w:color w:val="auto"/>
              </w:rPr>
            </w:pPr>
            <w:r>
              <w:rPr>
                <w:rFonts w:ascii="Arial" w:cs="Arial" w:eastAsia="Arial" w:hAnsi="Arial"/>
                <w:sz w:val="18"/>
                <w:szCs w:val="18"/>
                <w:color w:val="auto"/>
                <w:w w:val="99"/>
              </w:rPr>
              <w:t>Less: Net income allocable to Class A common stock subject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40"/>
              <w:spacing w:after="0"/>
              <w:rPr>
                <w:sz w:val="20"/>
                <w:szCs w:val="20"/>
                <w:color w:val="auto"/>
              </w:rPr>
            </w:pPr>
            <w:r>
              <w:rPr>
                <w:rFonts w:ascii="Arial" w:cs="Arial" w:eastAsia="Arial" w:hAnsi="Arial"/>
                <w:sz w:val="18"/>
                <w:szCs w:val="18"/>
                <w:color w:val="auto"/>
              </w:rPr>
              <w:t>to possible redemption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net loss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(11,619,422)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(11,939,339)</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shares outstanding,</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10,612,408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9,136,016</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common stock</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Non-redeemable common</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(1.09)</w:t>
            </w: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stock</w:t>
            </w:r>
          </w:p>
        </w:tc>
        <w:tc>
          <w:tcPr>
            <w:tcW w:w="26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updates,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7).</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04" w:lineRule="exact"/>
        <w:rPr>
          <w:sz w:val="20"/>
          <w:szCs w:val="20"/>
          <w:color w:val="auto"/>
        </w:rPr>
      </w:pPr>
    </w:p>
    <w:p>
      <w:pPr>
        <w:ind w:left="120" w:right="200"/>
        <w:spacing w:after="0" w:line="234" w:lineRule="auto"/>
        <w:rPr>
          <w:sz w:val="20"/>
          <w:szCs w:val="20"/>
          <w:color w:val="auto"/>
        </w:rPr>
      </w:pPr>
      <w:r>
        <w:rPr>
          <w:rFonts w:ascii="Arial" w:cs="Arial" w:eastAsia="Arial" w:hAnsi="Arial"/>
          <w:sz w:val="16"/>
          <w:szCs w:val="16"/>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w:t>
      </w:r>
    </w:p>
    <w:p>
      <w:pPr>
        <w:ind w:left="120" w:right="180"/>
        <w:spacing w:after="0" w:line="212" w:lineRule="auto"/>
        <w:rPr>
          <w:sz w:val="20"/>
          <w:szCs w:val="20"/>
          <w:color w:val="auto"/>
        </w:rPr>
      </w:pPr>
      <w:r>
        <w:rPr>
          <w:rFonts w:ascii="Arial" w:cs="Arial" w:eastAsia="Arial" w:hAnsi="Arial"/>
          <w:sz w:val="18"/>
          <w:szCs w:val="18"/>
          <w:color w:val="auto"/>
        </w:rPr>
        <w:t>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7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On January 20, 2021, the Sponsor agreed to loan the Company up to $300,000 pursuant to a promissory note (the “Note”). The Note was non-interest bearing, unsecured and due upon the closing of the Initial Public Offering. For the period from January 13, 2021 (inception) through June 30, 2021, the Company borrowed approximately $172,000 under the Note and fully repaid the Note on March 26, 2021 (see Note 8).</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June 30, 2021, the Company had no borrowings under the Working Capital Loans.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25, 2021, the Company entered into an agreement that provided that, commencing on the date that the Company’s securities were first listed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Nasdaq through the earlier of consummation of the initial Business Combination and the liquidation, the Company agreed to pay the Sponsor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per month for office space, secretarial and administrative services provided to the Company. The Company incurred $30,000 and $40,000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expenses in connection with such services for the three months ended June 30, 2021 and for the period from January 13, 2021 (inception) ended June 30,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as reflected in the accompanying unaudited condensed statements of operations.</w:t>
      </w:r>
    </w:p>
    <w:p>
      <w:pPr>
        <w:spacing w:after="0" w:line="21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7—Shareholders’ Equity</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 xml:space="preserve">Class A Ordinary Shares </w:t>
      </w:r>
      <w:r>
        <w:rPr>
          <w:rFonts w:ascii="Arial" w:cs="Arial" w:eastAsia="Arial" w:hAnsi="Arial"/>
          <w:sz w:val="17"/>
          <w:szCs w:val="17"/>
          <w:color w:val="auto"/>
        </w:rPr>
        <w:t>— The Company is authorized to issue 500,000,000 Class A ordinary shares with a par value of $0.0001 per share. 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Class A ordinary shares are entitled to one vote for each share. As of June 30, 2021, there were 31,116,305 Class A ordinary shares issued and outstanding, including 27,134,170 Class A ordinary shares subject to possible redemption.</w:t>
      </w:r>
    </w:p>
    <w:p>
      <w:pPr>
        <w:spacing w:after="0" w:line="16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b w:val="1"/>
          <w:bCs w:val="1"/>
          <w:i w:val="1"/>
          <w:iCs w:val="1"/>
          <w:color w:val="auto"/>
        </w:rPr>
        <w:t xml:space="preserve">Class B Ordinary Shares </w:t>
      </w:r>
      <w:r>
        <w:rPr>
          <w:rFonts w:ascii="Arial" w:cs="Arial" w:eastAsia="Arial" w:hAnsi="Arial"/>
          <w:sz w:val="17"/>
          <w:szCs w:val="17"/>
          <w:color w:val="auto"/>
        </w:rPr>
        <w:t>— The Company is authorized to issue 50,000,000 Class B ordinary shares with a par value of $0.0001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are subject to forfeiture, to the Company by the Initial Shareholders for no consideration to the extent that the underwriters’ over-allotment option is not exercised in full or in part, so that the Initial Shareholders will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2021, there were 7,779,076 Class B ordinary shares issued and outstanding.</w:t>
      </w:r>
    </w:p>
    <w:p>
      <w:pPr>
        <w:spacing w:after="0" w:line="18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As of June 30,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preference shares issued or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8—Derivative Warrant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June 30, 2021, the Company had 6,223,261 and 9,223,261 Public Warrants and Private Placement Warrants, respectively, outstanding.</w:t>
      </w:r>
    </w:p>
    <w:p>
      <w:pPr>
        <w:spacing w:after="0" w:line="23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8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76" w:lineRule="exact"/>
        <w:rPr>
          <w:sz w:val="20"/>
          <w:szCs w:val="20"/>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540" w:right="36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$10.00: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76" w:lineRule="exact"/>
        <w:rPr>
          <w:sz w:val="20"/>
          <w:szCs w:val="20"/>
          <w:color w:val="auto"/>
        </w:rPr>
      </w:pPr>
    </w:p>
    <w:p>
      <w:pPr>
        <w:ind w:left="1540" w:hanging="33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right="220" w:hanging="331"/>
        <w:spacing w:after="0" w:line="311"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 and</w:t>
      </w:r>
    </w:p>
    <w:p>
      <w:pPr>
        <w:spacing w:after="0" w:line="54" w:lineRule="exact"/>
        <w:rPr>
          <w:rFonts w:ascii="Arial" w:cs="Arial" w:eastAsia="Arial" w:hAnsi="Arial"/>
          <w:sz w:val="16"/>
          <w:szCs w:val="16"/>
          <w:color w:val="auto"/>
        </w:rPr>
      </w:pPr>
    </w:p>
    <w:p>
      <w:pPr>
        <w:ind w:left="1540" w:right="140" w:hanging="331"/>
        <w:spacing w:after="0" w:line="263"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ind w:left="1540" w:right="100" w:hanging="331"/>
        <w:spacing w:after="0" w:line="259"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9—Fair Value Measurements</w:t>
      </w:r>
    </w:p>
    <w:p>
      <w:pPr>
        <w:spacing w:after="0" w:line="121"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as of June 30, 2021 and indicates the fair value hierarchy of the valuation techniques that the Company utilized to determine such fair value.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June 30, 2021:</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Quoted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Prices</w:t>
            </w:r>
          </w:p>
        </w:tc>
        <w:tc>
          <w:tcPr>
            <w:tcW w:w="162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93"/>
              </w:rPr>
              <w:t>Significant Other</w:t>
            </w:r>
          </w:p>
        </w:tc>
        <w:tc>
          <w:tcPr>
            <w:tcW w:w="166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w w:val="99"/>
              </w:rPr>
              <w:t>Significant Other</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in</w:t>
            </w:r>
          </w:p>
        </w:tc>
        <w:tc>
          <w:tcPr>
            <w:tcW w:w="1620" w:type="dxa"/>
            <w:vAlign w:val="bottom"/>
            <w:gridSpan w:val="3"/>
            <w:vMerge w:val="continue"/>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Active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Observable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8"/>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Inputs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(Level 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311,167,507</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Derivative warrant liabilities—public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10,455,080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liabilities—private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active market in the period ended June 30, 2021.</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Level 1 assets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2021 and for the period from January 13, 2021 (inception) through June 30, 2021, the Company recognized a charge to the unaudited condensed statements of operations resulting from an increase in the fair value of liabilities of approximately $11.2 million and $11.0 million, respectively, presented as change in fair value of derivative warrant liabilities in the accompanying unaudited condensed statements of operations.</w:t>
      </w:r>
    </w:p>
    <w:p>
      <w:pPr>
        <w:spacing w:after="0" w:line="17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22, 2021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Volatility</w:t>
            </w:r>
          </w:p>
        </w:tc>
        <w:tc>
          <w:tcPr>
            <w:tcW w:w="3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options to convert</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6.53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Risk-free rate</w:t>
            </w:r>
          </w:p>
        </w:tc>
        <w:tc>
          <w:tcPr>
            <w:tcW w:w="3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change in the fair value of the Level 3 derivative warrant liabilities for the period from January 13, 2021 (inception) through June 30, 2021 is summarized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January 13, 2021 (inception)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Issuance of Public and Private Warrants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14,995,760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(271,160)</w:t>
            </w: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Derivative warrant liabilities at March 31, 2021</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14,724,600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11,225,560</w:t>
            </w: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Transfer to Level 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(10,455,080)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June 30, 2021</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15,495,080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Management has evaluated subsequent events to determine if events or transactions occurring through the date the financial statement were issued.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References to the “Company,” “our,” “us” or “we” refer to ArcLight Clean Transition Corp. II.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(the “Business Combination”), that we have not yet identified. Our sponsor is ArcLight CTC Holdings II, L.P., a Delaware limited partnership (our “Sponsor”).</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registration statement for our initial public offering (the “Initial Public Offering”) was declared effective on March 22, 2021. On March 25, 2021, we consummated our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and incurring offering costs of approximately $17.6 million, of which approximately $10.9 million was for deferred underwriting commissions.</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9,223,261 warrants (each, a “Private Placement Warrant” and collectively, the “Private Placement Warrants”), at a price of $1.00 per Private Placement Warrant with the Sponsor, generating gross proceeds of approximately $9.2 million.</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8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25, 2023 (the “Combination Period”), we will (i) cease all operations except for the purpose of winding up; (ii) as promptly as reasonably possible but not more than ten business days thereafter, redeem the Public Shares, at a</w:t>
      </w:r>
    </w:p>
    <w:p>
      <w:pPr>
        <w:spacing w:after="0" w:line="184"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6"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entire activity since inception through June 30, 2021 relates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the three months ended June 30, 2021, we had a net loss of approximately $11.6 million from changes in the value of derivative warrant liabilities of approximately $11.2 million and approximately $0.4 million in general and administrative costs.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For the period from January 13, 2021 (inception) through June 30, 2021, we had a net loss of approximately $11.9 million from changes in the value of derivative warrant liabilities of approximately $11.0 million, financing costs of approximately $0.5 million and approximately $0.5 million in general and administrative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2021, we had approximately $1.2 million in our operating bank account and working capital of approximately $2.0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liquidity needs up to June 30, 2021 had been satisfied through a payment of $25,000 from the Sponsor to cover certain expenses on behalf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in exchange for the issuance of the Founder Shares (as defined below), a loan under a promissory note from our Sponsor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$172,000 (the “Note”), and the net proceeds from the consummation of the Private Placement not held in the Trust Account. The Note was repaid in full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March 26, 2021. In addition, in order to finance transaction costs in connection with a Business Combination, our officers, directors and Initial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may, but are not obligated to, provide the Company with Working Capital Loans. To date, there are no amounts outstanding under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Working Capital Loans.</w:t>
      </w:r>
    </w:p>
    <w:p>
      <w:pPr>
        <w:spacing w:after="0" w:line="21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We continue to evaluate the impact of the COVID-19 pandemic and has concluded that the specific impact is not readily determinable as of the date of the condensed balance sheet. The financial statement does not include any adjustments that might result from the outcome of this uncertainty.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its critical accounting policies: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account for our Class A Ordinary shares subject to possible redemption in accordance with the guidance in the Financial Accounting Standards Board’s (“FASB”) Accounting Standards Codification (“ASC”) Topic 480 “Distinguishing Liabilities from Equity”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June 30, 2021, 27,134,170 shares of Class A Ordinary shares subject to possible redemption is presented at redemption value as temporary equity, outside of the shareholders’ equity section of the Company’s balance sheet.</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 The classification of derivative instruments, including whether such instruments should be recorded as liabilities or as equity, is re-assessed at the end of each reporting period.</w:t>
      </w:r>
    </w:p>
    <w:p>
      <w:pPr>
        <w:spacing w:after="0" w:line="16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warrants issued in our Initial Public Offering, the underwriters’ exercise of their overallotment option and Private Placement Warrants are recognized as derivative liabilities in accordance with ASC 815.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unaudited condensed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Net income (loss) per share is computed by dividing net income by the weighted-average number of shares of ordinary shares outstanding during the period. We have not considered the effect of the warrants sold in the Public Offering and Private Placement to purchase an aggregate of 15,446,522 shares in the calculation of diluted loss per share, since the exercise of the warrants would be anti-dilutive.</w:t>
      </w:r>
    </w:p>
    <w:p>
      <w:pPr>
        <w:spacing w:after="0" w:line="165"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unaudited condensed statements of operations includes a presentation of income (loss) per share for Redeemable Class A Ordinary shares in a manner similar to the two-class method of income (loss) per share. Net income per ordinary share, basic and diluted, for Redeemable Class A Ordinary shares is calculated by dividing the proportionate share of income or loss on marketable securities held by the Trust Account, net of applicable franchise and income taxes, by the weighted average number of ordinary shares subject to possible redemption outstanding since original issuance.</w:t>
      </w:r>
    </w:p>
    <w:p>
      <w:pPr>
        <w:spacing w:after="0" w:line="157"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Net loss per share, basic and diluted, for Non-Redeemable Class A and Class B Ordinary shares is calculated by dividing the net loss, adjusted for income or loss on marketable securities attributable to Redeemable Class A Ordinary shares, by the weighted average number of non-redeemable ordinary shares outstanding for the period.</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Non-Redeemable Class A and Class B Ordinary shares includes Founder Shares and non-redeemable shares of ordinary shares as these shares do not have any redemption features. Non-Redeemable Class A and Class B Ordinary shares participates in the income or loss on marketable securities based on non-redeemable ordinary shares’ proportionate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instruments by removing major separation models required under accounting principles generally accepted in the United States.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unaudited condensed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right="40" w:hanging="4"/>
        <w:spacing w:after="0" w:line="255" w:lineRule="auto"/>
        <w:tabs>
          <w:tab w:leader="none" w:pos="4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June 30, 2021, as such term is defined in Rules 13a-15(e) and 15d-15(e) under the Exchange Act. Based on this evaluation, our chief executive officer and chief financial officer have concluded that during the period covered by this report, our disclosure controls and procedures were not effective as of June 30, 2021.</w:t>
      </w:r>
    </w:p>
    <w:p>
      <w:pPr>
        <w:spacing w:after="0" w:line="18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Our internal control over financial reporting did not result in the proper accounting classification of certain of the Warrants we issued in March 2021 which, due to its impact on our financial statements, we determined to be a material weakness. This mistake in classification was brought to our attention only when the SEC issued a Staff Statement on Accounting and Reporting Considerations for Warrants Issued by Special Purpose Acquisition Companies (“SPACs”) dated April 12, 2021 (the “SEC Statement”). The SEC Statement addresses certain accounting and reporting considerations related to warrants of a kind similar to those we issued at the time of our initial public offering in March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from January 13, 2021 (inception) through June 30, 2021, covered by this Quarterly Report on Form 10-Q that has materially affected, or is reasonably likely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materially affect, our internal control over financial reporting, other than the remediation steps taken to address the material weakness.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prospectus for the Initial Public Offering as filed with the SEC on March 22, 2021.</w:t>
      </w:r>
    </w:p>
    <w:p>
      <w:pPr>
        <w:spacing w:after="0" w:line="274" w:lineRule="exact"/>
        <w:rPr>
          <w:sz w:val="20"/>
          <w:szCs w:val="20"/>
          <w:color w:val="auto"/>
        </w:rPr>
      </w:pPr>
    </w:p>
    <w:p>
      <w:pPr>
        <w:ind w:left="120" w:right="3760"/>
        <w:spacing w:after="0" w:line="37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from Registered Securities </w:t>
      </w:r>
      <w:r>
        <w:rPr>
          <w:rFonts w:ascii="Arial" w:cs="Arial" w:eastAsia="Arial" w:hAnsi="Arial"/>
          <w:sz w:val="18"/>
          <w:szCs w:val="18"/>
          <w:i w:val="1"/>
          <w:iCs w:val="1"/>
          <w:color w:val="auto"/>
        </w:rPr>
        <w:t>Unregistered Sales</w:t>
      </w:r>
    </w:p>
    <w:p>
      <w:pPr>
        <w:spacing w:after="0" w:line="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January 3, 2021, our Sponsor paid an aggregate of $25,000 for certain expenses on our behalf in exchange for issuance of 7,187,500 Class B ordinary shares (the “Founder Shares”). On February 2, 2021, our Sponsor transferred 35,000 Founder Shares to each of Arno Harris, Ja-Chin Audrey Lee, Brian Goncher and Steven Berkenfeld, our independent director nominees. On March 22, 2021, we effected a share capitalization resulting in an aggregate of 7,906,250 Founder Shares issued and outstanding. Up to 1,031,250 Founder Shares were subject to forfeiture by the Sponsor, to the extent that the option to purchase additional units was not exercised in full by the underwriters, so that the Founder Shares would represent 20% of the Company’s issued and outstanding shares after the Initial Public Offering. The underwriters partially exercised their over-allotment option on March 22, 2021, with the remaining portion of the over-allotment option expiring at the conclusion of the 45-day option period. As a result, an aggregate of 127,174 Founder Shares were forfeited by the Sponsor upon the expiration of the over-allotment option.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Initial Public Offering and the underwriters of their over-allotment option, we incurred offering costs of approximately</w:t>
      </w:r>
    </w:p>
    <w:p>
      <w:pPr>
        <w:spacing w:after="0" w:line="35"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$15.9 million (including deferred underwriting commissions of approximately $9.8 million).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$277.5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9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7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7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3"/>
                <w:szCs w:val="23"/>
                <w:color w:val="auto"/>
              </w:rPr>
            </w:pPr>
          </w:p>
        </w:tc>
        <w:tc>
          <w:tcPr>
            <w:tcW w:w="9740" w:type="dxa"/>
            <w:vAlign w:val="bottom"/>
            <w:gridSpan w:val="8"/>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Certification of Chief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Adopted Pursuant to Section 302 of the Sarbanes-Oxley Act of 2002.</w:t>
              </w:r>
            </w:hyperlink>
          </w:p>
        </w:tc>
        <w:tc>
          <w:tcPr>
            <w:tcW w:w="436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3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Chief Financial Officer Pursuant to Rules 13a-14(a) and 15d-14(a) under the Securities Exchange Act of 1934, as</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40" w:type="dxa"/>
            <w:vAlign w:val="bottom"/>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of Chief Executive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2002.</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9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40" w:type="dxa"/>
            <w:vAlign w:val="bottom"/>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gridSpan w:val="4"/>
          </w:tcPr>
          <w:p>
            <w:pPr>
              <w:ind w:left="43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86" w:right="6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5th day of August,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80"/>
          </w:cols>
          <w:pgMar w:left="320" w:top="486" w:right="11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F. Erhard, certify that:</w:t>
      </w:r>
    </w:p>
    <w:p>
      <w:pPr>
        <w:spacing w:after="0" w:line="131"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2021 of ArcLight Clean Transition Corp. II;</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264" w:val="left"/>
          <w:tab w:leader="none" w:pos="5824"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John F. Erhard</w:t>
      </w:r>
    </w:p>
    <w:p>
      <w:pPr>
        <w:spacing w:after="0" w:line="23"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121"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Marco F. Gatti, certify that:</w:t>
      </w:r>
    </w:p>
    <w:p>
      <w:pPr>
        <w:spacing w:after="0" w:line="13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2021 of ArcLight Clean Transition Corp. II;</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264" w:val="left"/>
          <w:tab w:leader="none" w:pos="5824"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Marco F. Gatti</w:t>
      </w:r>
    </w:p>
    <w:p>
      <w:pPr>
        <w:spacing w:after="0" w:line="23"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121"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In connection with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John F. Erhard, President, Chief Executive Officer and Director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5,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40"/>
        <w:spacing w:after="0" w:line="311" w:lineRule="auto"/>
        <w:rPr>
          <w:sz w:val="20"/>
          <w:szCs w:val="20"/>
          <w:color w:val="auto"/>
        </w:rPr>
      </w:pPr>
      <w:r>
        <w:rPr>
          <w:rFonts w:ascii="Arial" w:cs="Arial" w:eastAsia="Arial" w:hAnsi="Arial"/>
          <w:sz w:val="16"/>
          <w:szCs w:val="16"/>
          <w:color w:val="auto"/>
        </w:rPr>
        <w:t>In connection with the Quarterly Report of ArcLight Clean Transition Corp. II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three months ended June 30,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Marco F. Gatti, Chief Financial Officer of the Company, certify, pursuant to 18 U.S.C. Section 1350, as adopted pursuant to Section 906 of the Sarbanes-Oxley Act of 2002, that, to my knowledge:</w:t>
      </w:r>
    </w:p>
    <w:p>
      <w:pPr>
        <w:spacing w:after="0" w:line="54"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5,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Roman"/>
      <w:start w:val="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2021-08-05T16:45:44Z</dcterms:created>
  <dcterms:modified xsi:type="dcterms:W3CDTF">2021-08-05T16:45:44Z</dcterms:modified>
</cp:coreProperties>
</file>