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Filed by ArcLight Clean Transition Corp. II pursuant to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Rule 425 under the Securities Act of 1933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and deemed filed pursuant to Rule 14a-12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b w:val="1"/>
          <w:bCs w:val="1"/>
          <w:color w:val="auto"/>
        </w:rPr>
        <w:t>under the Securities Exchange Act of 1934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Subject Company: ArcLight Clean Transition Corp. II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Commission File No. 001-40272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-713105</wp:posOffset>
            </wp:positionH>
            <wp:positionV relativeFrom="paragraph">
              <wp:posOffset>140970</wp:posOffset>
            </wp:positionV>
            <wp:extent cx="7203440" cy="56832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40"/>
          </w:cols>
          <w:pgMar w:left="1440" w:top="240" w:right="31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70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70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70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70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9087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9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8325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8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70611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70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984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71373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71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200660</wp:posOffset>
            </wp:positionH>
            <wp:positionV relativeFrom="page">
              <wp:posOffset>407670</wp:posOffset>
            </wp:positionV>
            <wp:extent cx="7203440" cy="56984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3440" cy="569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2022-05-09T06:09:01Z</dcterms:created>
  <dcterms:modified xsi:type="dcterms:W3CDTF">2022-05-09T06:09:01Z</dcterms:modified>
</cp:coreProperties>
</file>