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40"/>
        <w:spacing w:after="0"/>
        <w:rPr>
          <w:sz w:val="20"/>
          <w:szCs w:val="20"/>
          <w:color w:val="auto"/>
        </w:rPr>
      </w:pPr>
      <w:r>
        <w:rPr>
          <w:rFonts w:ascii="Arial" w:cs="Arial" w:eastAsia="Arial" w:hAnsi="Arial"/>
          <w:sz w:val="18"/>
          <w:szCs w:val="18"/>
          <w:b w:val="1"/>
          <w:bCs w:val="1"/>
          <w:color w:val="auto"/>
        </w:rPr>
        <w:t>Filed by ArcLight Clean Transition Corp. II pursuant to</w:t>
      </w:r>
    </w:p>
    <w:p>
      <w:pPr>
        <w:spacing w:after="0" w:line="27" w:lineRule="exact"/>
        <w:rPr>
          <w:sz w:val="24"/>
          <w:szCs w:val="24"/>
          <w:color w:val="auto"/>
        </w:rPr>
      </w:pPr>
    </w:p>
    <w:p>
      <w:pPr>
        <w:ind w:left="5940"/>
        <w:spacing w:after="0"/>
        <w:rPr>
          <w:sz w:val="20"/>
          <w:szCs w:val="20"/>
          <w:color w:val="auto"/>
        </w:rPr>
      </w:pPr>
      <w:r>
        <w:rPr>
          <w:rFonts w:ascii="Arial" w:cs="Arial" w:eastAsia="Arial" w:hAnsi="Arial"/>
          <w:sz w:val="18"/>
          <w:szCs w:val="18"/>
          <w:b w:val="1"/>
          <w:bCs w:val="1"/>
          <w:color w:val="auto"/>
        </w:rPr>
        <w:t>Rule 425 under the Securities Act of 1933</w:t>
      </w:r>
    </w:p>
    <w:p>
      <w:pPr>
        <w:spacing w:after="0" w:line="9" w:lineRule="exact"/>
        <w:rPr>
          <w:sz w:val="24"/>
          <w:szCs w:val="24"/>
          <w:color w:val="auto"/>
        </w:rPr>
      </w:pPr>
    </w:p>
    <w:p>
      <w:pPr>
        <w:ind w:left="5940"/>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ind w:left="59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ind w:left="5940"/>
        <w:spacing w:after="0"/>
        <w:rPr>
          <w:sz w:val="20"/>
          <w:szCs w:val="20"/>
          <w:color w:val="auto"/>
        </w:rPr>
      </w:pPr>
      <w:r>
        <w:rPr>
          <w:rFonts w:ascii="Arial" w:cs="Arial" w:eastAsia="Arial" w:hAnsi="Arial"/>
          <w:sz w:val="18"/>
          <w:szCs w:val="18"/>
          <w:b w:val="1"/>
          <w:bCs w:val="1"/>
          <w:color w:val="auto"/>
        </w:rPr>
        <w:t>Subject Company: ArcLight Clean Transition Corp. II</w:t>
      </w:r>
    </w:p>
    <w:p>
      <w:pPr>
        <w:spacing w:after="0" w:line="9" w:lineRule="exact"/>
        <w:rPr>
          <w:sz w:val="24"/>
          <w:szCs w:val="24"/>
          <w:color w:val="auto"/>
        </w:rPr>
      </w:pPr>
    </w:p>
    <w:p>
      <w:pPr>
        <w:ind w:left="5940"/>
        <w:spacing w:after="0"/>
        <w:rPr>
          <w:sz w:val="20"/>
          <w:szCs w:val="20"/>
          <w:color w:val="auto"/>
        </w:rPr>
      </w:pPr>
      <w:r>
        <w:rPr>
          <w:rFonts w:ascii="Arial" w:cs="Arial" w:eastAsia="Arial" w:hAnsi="Arial"/>
          <w:sz w:val="18"/>
          <w:szCs w:val="18"/>
          <w:b w:val="1"/>
          <w:bCs w:val="1"/>
          <w:color w:val="auto"/>
        </w:rPr>
        <w:t>Commission File No. 001-40272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705610" cy="419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0561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OPAL Fuels LLC Announces Joint Venture with GFL</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Environmental Inc. to Develop New RNG Facilities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New projects to produce 3 million MMBtu of pipeline quality RNG annually</w:t>
      </w:r>
    </w:p>
    <w:p>
      <w:pPr>
        <w:spacing w:after="0" w:line="225" w:lineRule="exact"/>
        <w:rPr>
          <w:sz w:val="24"/>
          <w:szCs w:val="24"/>
          <w:color w:val="auto"/>
        </w:rPr>
      </w:pPr>
    </w:p>
    <w:p>
      <w:pPr>
        <w:ind w:right="200"/>
        <w:spacing w:after="0" w:line="286" w:lineRule="auto"/>
        <w:rPr>
          <w:sz w:val="20"/>
          <w:szCs w:val="20"/>
          <w:color w:val="auto"/>
        </w:rPr>
      </w:pPr>
      <w:r>
        <w:rPr>
          <w:rFonts w:ascii="Arial" w:cs="Arial" w:eastAsia="Arial" w:hAnsi="Arial"/>
          <w:sz w:val="17"/>
          <w:szCs w:val="17"/>
          <w:color w:val="auto"/>
        </w:rPr>
        <w:t xml:space="preserve">WHITE PLAINS, N.Y. – (December 14, 2021) – </w:t>
      </w:r>
      <w:r>
        <w:rPr>
          <w:rFonts w:ascii="Arial" w:cs="Arial" w:eastAsia="Arial" w:hAnsi="Arial"/>
          <w:sz w:val="17"/>
          <w:szCs w:val="17"/>
          <w:u w:val="single" w:color="auto"/>
          <w:color w:val="auto"/>
        </w:rPr>
        <w:t>OPAL Fuels LLC</w:t>
      </w:r>
      <w:r>
        <w:rPr>
          <w:rFonts w:ascii="Arial" w:cs="Arial" w:eastAsia="Arial" w:hAnsi="Arial"/>
          <w:sz w:val="17"/>
          <w:szCs w:val="17"/>
          <w:color w:val="auto"/>
        </w:rPr>
        <w:t xml:space="preserve">, a leading vertically integrated producer and distributor of renewable natural gas (RNG), today announced a 50/50 joint venture with </w:t>
      </w:r>
      <w:r>
        <w:rPr>
          <w:rFonts w:ascii="Arial" w:cs="Arial" w:eastAsia="Arial" w:hAnsi="Arial"/>
          <w:sz w:val="17"/>
          <w:szCs w:val="17"/>
          <w:u w:val="single" w:color="auto"/>
          <w:color w:val="auto"/>
        </w:rPr>
        <w:t>GFL Renewables LLC, an affiliate of GFL Environmental Inc.</w:t>
      </w:r>
      <w:r>
        <w:rPr>
          <w:rFonts w:ascii="Arial" w:cs="Arial" w:eastAsia="Arial" w:hAnsi="Arial"/>
          <w:sz w:val="17"/>
          <w:szCs w:val="17"/>
          <w:color w:val="auto"/>
        </w:rPr>
        <w:t xml:space="preserve"> (NYSE: GFL) (“GFL”), the fourth largest diversified environmental services company in North America, to develop new RNG production facilities in the United States.</w:t>
      </w:r>
    </w:p>
    <w:p>
      <w:pPr>
        <w:spacing w:after="0" w:line="165"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JV agreement will include the development, construction, and operation of two new RNG production facilities, which will capture methane emissions from landfill facilities owned and operated by GFL. These methane emissions will then be converted into clean, renewable energy for use as a transportation fuel for heavy-duty trucking fleets.</w:t>
      </w:r>
    </w:p>
    <w:p>
      <w:pPr>
        <w:spacing w:after="0" w:line="184"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Adam Comora, co-CEO of OPAL Fuels said, “OPAL Fuels is extremely excited to be a part of this joint venture with industry leader GFL on these RNG facilities. This is truly a win-win scenario as we are able to close the loop on methane emissions from GFL’s landfill facilities from its capture, processing, delivery and utilization as RNG in their fleet to replace diesel.” Comora continued, “We look forward to other potential development opportunities with GFL to assist them in unlocking value within their business and advancing their sustainability goals.”</w:t>
      </w:r>
    </w:p>
    <w:p>
      <w:pPr>
        <w:spacing w:after="0" w:line="171"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Patrick Dovigi, Chairman, President and CEO of GFL Environmental noted, “The development of these new RNG facilities is the first step in our stated goal of unlocking the value of RNG within our business operations while also significantly advancing our own internal sustainability goals. We are excited to enter into this joint venture with OPAL Fuels.”</w:t>
      </w:r>
    </w:p>
    <w:p>
      <w:pPr>
        <w:sectPr>
          <w:pgSz w:w="11900" w:h="16838" w:orient="portrait"/>
          <w:cols w:equalWidth="0" w:num="1">
            <w:col w:w="11000"/>
          </w:cols>
          <w:pgMar w:left="440" w:top="229" w:right="459" w:bottom="1440" w:gutter="0" w:footer="0" w:header="0"/>
        </w:sectPr>
      </w:pPr>
    </w:p>
    <w:bookmarkStart w:id="1" w:name="page2"/>
    <w:bookmarkEnd w:id="1"/>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first new project, located in Michigan, is expected to produce 2 million MMBtu of pipeline quality RNG each year. This will be one of the largest RNG projects in the country based on volume of landfill gas. The project is expected to begin commercial operations in early 2023. The second project, located in North Carolina, is expected to produce more than 1 million MMBtu of RNG annually with anticipated commercial operations beginning in mid-2023. For these projects, OPAL Fuels will be responsible for overseeing the development, construction, and operation of these facilities as well as marketing the RNG. OPAL Fuels also currently operates an RNG facility located at a GFL landfill site in Pennsylvania that produces approximately 890,000 MMBtu of RNG per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OPAL Fuels LLC</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OPAL Fuels LLC, a F</w:t>
      </w:r>
      <w:r>
        <w:rPr>
          <w:rFonts w:ascii="Arial" w:cs="Arial" w:eastAsia="Arial" w:hAnsi="Arial"/>
          <w:sz w:val="14"/>
          <w:szCs w:val="14"/>
          <w:color w:val="auto"/>
        </w:rPr>
        <w:t>ORTISTAR</w:t>
      </w:r>
      <w:r>
        <w:rPr>
          <w:rFonts w:ascii="Arial" w:cs="Arial" w:eastAsia="Arial" w:hAnsi="Arial"/>
          <w:sz w:val="18"/>
          <w:szCs w:val="18"/>
          <w:color w:val="auto"/>
        </w:rPr>
        <w:t xml:space="preserve"> portfolio company, is a leading vertically integrated renewable fuels platform involved in the production and distribution of renewable natural gas (RNG) for the heavy-duty truck market. RNG is a proven ultra-low carbon fuel that is rapidly decarbonizing the transportation industry now while also significantly reducing costs for fleet owners. OPAL Fuels captures harmful methane emissions at the source and recycles the trapped energy into a commercially viable, low-cost alternative to diesel fuel. OPAL Fuels also develops and constructs RNG fueling stations. As a producer and distributor of carbon-reducing fuel for heavy-duty truck fleets for over 15 years, the company delivers best-in-class, complete renewable solutions to customers and production partners. To learn more about OPAL Fuels and how it is leading the effort to capture North America’s harmful methane emissions and decarbonize the transportation industry, please visit </w:t>
      </w:r>
      <w:r>
        <w:rPr>
          <w:rFonts w:ascii="Arial" w:cs="Arial" w:eastAsia="Arial" w:hAnsi="Arial"/>
          <w:sz w:val="18"/>
          <w:szCs w:val="18"/>
          <w:u w:val="single" w:color="auto"/>
          <w:color w:val="auto"/>
        </w:rPr>
        <w:t>www.opalfuels.com</w:t>
      </w:r>
      <w:r>
        <w:rPr>
          <w:rFonts w:ascii="Arial" w:cs="Arial" w:eastAsia="Arial" w:hAnsi="Arial"/>
          <w:sz w:val="18"/>
          <w:szCs w:val="18"/>
          <w:color w:val="auto"/>
        </w:rPr>
        <w:t xml:space="preserve"> and follow the company on LinkedIn and Twitter at @OPALFuels.</w:t>
      </w:r>
    </w:p>
    <w:p>
      <w:pPr>
        <w:spacing w:after="0" w:line="19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OPAL Fuels also previously announced an agreement for a business combination with ArcLight Clean Transition Corp. II (Nasdaq: ACTD), which is expected to result in OPAL Fuels becoming a public company listed on the Nasdaq Stock Exchange in second quarter of 2022, subject to customary closing conditions.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Certain statements in this communication may be considered forward-looking statements. Forward-looking statements are statements that are not historical facts and generally relate to future events or ArcLight’s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w:t>
      </w:r>
    </w:p>
    <w:p>
      <w:pPr>
        <w:sectPr>
          <w:pgSz w:w="11900" w:h="16838" w:orient="portrait"/>
          <w:cols w:equalWidth="0" w:num="1">
            <w:col w:w="11000"/>
          </w:cols>
          <w:pgMar w:left="440" w:top="274" w:right="459" w:bottom="1440" w:gutter="0" w:footer="0" w:header="0"/>
        </w:sectPr>
      </w:pPr>
    </w:p>
    <w:bookmarkStart w:id="2" w:name="page3"/>
    <w:bookmarkEnd w:id="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 and the Company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ArcLight’s final prospectus relating to its initial public offering, dated September 22, 2020, and other filings with the Securities and Exchange Commission (SEC), including the registration statement on Form S-4 to be filed by ArcLight in connection with the transaction, as well as (1) the inability to complete the proposed transaction; (2) factors associated with companies, such as the Company,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the Company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the Company expressly disclaim any obligations or undertaking to release publicly any updates or revisions to any forward-looking statements contained herein to reflect any change in ArcLight’s or the Company’s expectations with respect thereto or any change in events, conditions or circumstances on which any statement is based.</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A full description of the terms of the transaction will be provided in a registration statement on Form S-4 to be filed with the SEC by ArcLight that will include a prospectus with respect to the combined company’s securities to be issued in connection with the business combination and a proxy statement with respect to the shareholders meeting of ArcLight to vote on the business combination. </w:t>
      </w:r>
      <w:r>
        <w:rPr>
          <w:rFonts w:ascii="Arial" w:cs="Arial" w:eastAsia="Arial" w:hAnsi="Arial"/>
          <w:sz w:val="16"/>
          <w:szCs w:val="16"/>
          <w:b w:val="1"/>
          <w:bCs w:val="1"/>
          <w:color w:val="auto"/>
        </w:rPr>
        <w:t>ArcLight urges its investors, shareholders and other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interested persons to read, when available, the preliminary proxy statement/prospectus as well as other documents filed with the SEC because these documents will contain important information about ArcLight, the Company and the transaction. </w:t>
      </w:r>
      <w:r>
        <w:rPr>
          <w:rFonts w:ascii="Arial" w:cs="Arial" w:eastAsia="Arial" w:hAnsi="Arial"/>
          <w:sz w:val="16"/>
          <w:szCs w:val="16"/>
          <w:color w:val="auto"/>
        </w:rPr>
        <w:t>After the registration statement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declared effective, the definitive proxy statement/prospectus to be included in the registration statement will be mailed to</w:t>
      </w:r>
    </w:p>
    <w:p>
      <w:pPr>
        <w:sectPr>
          <w:pgSz w:w="11900" w:h="16838" w:orient="portrait"/>
          <w:cols w:equalWidth="0" w:num="1">
            <w:col w:w="11000"/>
          </w:cols>
          <w:pgMar w:left="440" w:top="274" w:right="459" w:bottom="1440" w:gutter="0" w:footer="0" w:header="0"/>
        </w:sectPr>
      </w:pPr>
    </w:p>
    <w:bookmarkStart w:id="3" w:name="page4"/>
    <w:bookmarkEnd w:id="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shareholders of ArcLight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ArcLight Clean Transition Corp. II, 200 Clarendon Street, 55th Floor, Boston, Massachusetts 02116. The preliminary and definitive proxy statement/prospectus to be included in the registration statement, once available, can also be obtained, without charge, at the SEC’s website (www.sec.gov).</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ArcLight and the Company and their respective directors and officers may be deemed to be participants in the solicitation of proxies from ArcLight’s shareholders in connection with the proposed transaction. Information about ArcLight’s directors and executive officers and their ownership of ArcLight’s securities is set forth in ArcLight’s filings with the SEC. To the extent that holdings of ArcLight’s securities have changed since the amounts printed in ArcLight’s Registration Statement on Form S-1,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statement/consent solicitation statement/prospectus regarding the proposed transaction when it becomes available. You may obtain free copies of these documents as described in the preceding paragraph.</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ArcLight, the Company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Jason Stewart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Public Relations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914-421-5336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jstewart@opalfuels.com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OPALFuelsIR@icrinc.com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2021-12-14T15:07:31Z</dcterms:created>
  <dcterms:modified xsi:type="dcterms:W3CDTF">2021-12-14T15:07:31Z</dcterms:modified>
</cp:coreProperties>
</file>