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 Suite 1450</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br/>
        <w:t>Office of Energy &amp; Transportation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Claudia Rodriguez</w:t>
      </w:r>
    </w:p>
    <w:p>
      <w:pPr>
        <w:pStyle w:val="TextBody"/>
        <w:bidi w:val="0"/>
        <w:ind w:left="0" w:right="0" w:firstLine="108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320"/>
        <w:gridCol w:w="3065"/>
      </w:tblGrid>
      <w:tr>
        <w:trPr/>
        <w:tc>
          <w:tcPr>
            <w:tcW w:w="320" w:type="dxa"/>
            <w:tcBorders/>
            <w:vAlign w:val="center"/>
          </w:tcPr>
          <w:p>
            <w:pPr>
              <w:pStyle w:val="TableContents"/>
              <w:bidi w:val="0"/>
              <w:spacing w:before="0" w:after="283"/>
              <w:jc w:val="left"/>
              <w:rPr>
                <w:b/>
                <w:sz w:val="20"/>
              </w:rPr>
            </w:pPr>
            <w:r>
              <w:rPr>
                <w:b/>
                <w:sz w:val="20"/>
              </w:rPr>
              <w:t>Re:</w:t>
            </w:r>
          </w:p>
        </w:tc>
        <w:tc>
          <w:tcPr>
            <w:tcW w:w="3065" w:type="dxa"/>
            <w:tcBorders/>
            <w:vAlign w:val="center"/>
          </w:tcPr>
          <w:p>
            <w:pPr>
              <w:pStyle w:val="TableContents"/>
              <w:bidi w:val="0"/>
              <w:spacing w:before="0" w:after="283"/>
              <w:jc w:val="left"/>
              <w:rPr>
                <w:b/>
                <w:sz w:val="20"/>
              </w:rPr>
            </w:pPr>
            <w:r>
              <w:rPr>
                <w:b/>
                <w:sz w:val="20"/>
              </w:rPr>
              <w:t>OPAL Fuels Inc.</w:t>
            </w:r>
          </w:p>
        </w:tc>
      </w:tr>
      <w:tr>
        <w:trPr/>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b/>
                <w:sz w:val="20"/>
              </w:rPr>
            </w:pPr>
            <w:r>
              <w:rPr>
                <w:b/>
                <w:sz w:val="20"/>
              </w:rPr>
              <w:t>Registration Statement on Form S-3</w:t>
            </w:r>
          </w:p>
        </w:tc>
      </w:tr>
      <w:tr>
        <w:trPr/>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b/>
                <w:sz w:val="20"/>
              </w:rPr>
            </w:pPr>
            <w:r>
              <w:rPr>
                <w:b/>
                <w:sz w:val="20"/>
              </w:rPr>
              <w:t>File No. 333-273584</w:t>
            </w:r>
          </w:p>
        </w:tc>
      </w:tr>
    </w:tbl>
    <w:p>
      <w:pPr>
        <w:pStyle w:val="TextBody"/>
        <w:bidi w:val="0"/>
        <w:ind w:left="1440" w:right="0" w:hanging="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461 of the General Rules and Regulations under the Securities Act of 1933, as amended (the “Act”), OPAL Fuels Inc. (the “Company”) respectfully requests that the effective date of the registration statement referred to above be accelerated so that it will become effective at 3:00 p.m., Eastern Time, on Wednesday, September 6, 2023 or as soon thereafter as possible.  </w:t>
      </w:r>
      <w:r>
        <w:rPr>
          <w:rFonts w:ascii="Times New Roman;Times;Serif" w:hAnsi="Times New Roman;Times;Serif"/>
          <w:b w:val="false"/>
          <w:i w:val="false"/>
          <w:caps w:val="false"/>
          <w:smallCaps w:val="false"/>
          <w:sz w:val="20"/>
          <w:shd w:fill="FFFFFF" w:val="clear"/>
        </w:rPr>
        <w:t>In making this acceleration request, the Company acknowledges that it is aware of its responsibilities under the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notify Edward Welch of Sheppard Mullin Richter &amp; Hampton LLP, counsel to the Company, at (212) 634-3085 as soon as possible as to the time the Registration Statement has been declared effective pursuant to this acceleration request.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ind w:left="0" w:right="0" w:firstLine="9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0" w:right="0" w:firstLine="90"/>
        <w:jc w:val="center"/>
        <w:rPr>
          <w:caps w:val="false"/>
          <w:smallCaps w:val="false"/>
        </w:rPr>
      </w:pPr>
      <w:r>
        <w:rPr>
          <w:caps w:val="false"/>
          <w:smallCaps w:val="false"/>
        </w:rPr>
        <w:t> </w:t>
      </w:r>
    </w:p>
    <w:p>
      <w:pPr>
        <w:pStyle w:val="TextBody"/>
        <w:bidi w:val="0"/>
        <w:ind w:left="0" w:right="0" w:firstLine="504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545"/>
        <w:gridCol w:w="1385"/>
      </w:tblGrid>
      <w:tr>
        <w:trPr/>
        <w:tc>
          <w:tcPr>
            <w:tcW w:w="75" w:type="dxa"/>
            <w:tcBorders/>
            <w:vAlign w:val="center"/>
          </w:tcPr>
          <w:p>
            <w:pPr>
              <w:pStyle w:val="TableContents"/>
              <w:bidi w:val="0"/>
              <w:spacing w:before="0" w:after="283"/>
              <w:jc w:val="left"/>
              <w:rPr/>
            </w:pPr>
            <w:r>
              <w:rPr/>
              <w:t> </w:t>
            </w:r>
          </w:p>
        </w:tc>
        <w:tc>
          <w:tcPr>
            <w:tcW w:w="1930"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9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0" w:type="dxa"/>
            <w:gridSpan w:val="2"/>
            <w:tcBorders/>
            <w:vAlign w:val="center"/>
          </w:tcPr>
          <w:p>
            <w:pPr>
              <w:pStyle w:val="TableContents"/>
              <w:bidi w:val="0"/>
              <w:spacing w:before="0" w:after="283"/>
              <w:jc w:val="left"/>
              <w:rPr>
                <w:sz w:val="20"/>
              </w:rPr>
            </w:pPr>
            <w:r>
              <w:rPr>
                <w:sz w:val="20"/>
              </w:rPr>
              <w:t>OPAL FUELS INC.</w:t>
            </w:r>
          </w:p>
        </w:tc>
      </w:tr>
      <w:tr>
        <w:trPr/>
        <w:tc>
          <w:tcPr>
            <w:tcW w:w="75" w:type="dxa"/>
            <w:tcBorders/>
            <w:vAlign w:val="center"/>
          </w:tcPr>
          <w:p>
            <w:pPr>
              <w:pStyle w:val="TableContents"/>
              <w:bidi w:val="0"/>
              <w:spacing w:before="0" w:after="283"/>
              <w:jc w:val="left"/>
              <w:rPr/>
            </w:pPr>
            <w:r>
              <w:rPr/>
              <w:t> </w:t>
            </w:r>
          </w:p>
        </w:tc>
        <w:tc>
          <w:tcPr>
            <w:tcW w:w="19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John Coghlin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385" w:type="dxa"/>
            <w:tcBorders/>
            <w:vAlign w:val="center"/>
          </w:tcPr>
          <w:p>
            <w:pPr>
              <w:pStyle w:val="TableContents"/>
              <w:bidi w:val="0"/>
              <w:spacing w:before="0" w:after="283"/>
              <w:jc w:val="left"/>
              <w:rPr>
                <w:sz w:val="20"/>
              </w:rPr>
            </w:pPr>
            <w:r>
              <w:rPr>
                <w:sz w:val="20"/>
              </w:rPr>
              <w:t>John Coghlin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385" w:type="dxa"/>
            <w:tcBorders/>
            <w:vAlign w:val="center"/>
          </w:tcPr>
          <w:p>
            <w:pPr>
              <w:pStyle w:val="TableContents"/>
              <w:bidi w:val="0"/>
              <w:spacing w:before="0" w:after="283"/>
              <w:jc w:val="left"/>
              <w:rPr>
                <w:sz w:val="20"/>
              </w:rPr>
            </w:pPr>
            <w:r>
              <w:rPr>
                <w:sz w:val="20"/>
              </w:rPr>
              <w:t>General Counsel</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Edward Welch, Sheppard Mullin Richter &amp; Hampton LLP</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207</Words>
  <Characters>1124</Characters>
  <CharactersWithSpaces>1344</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