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ArcLight Clean Transition Corp. II</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ordinary shares</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G0R21B104</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ind w:left="644" w:right="7960" w:hanging="397"/>
        <w:spacing w:after="0" w:line="430" w:lineRule="auto"/>
        <w:tabs>
          <w:tab w:leader="none" w:pos="654"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 ArcLight CTC Holdings II, L.P.</w:t>
      </w:r>
    </w:p>
    <w:p>
      <w:pPr>
        <w:spacing w:after="0" w:line="1" w:lineRule="exact"/>
        <w:rPr>
          <w:rFonts w:ascii="Arial" w:cs="Arial" w:eastAsia="Arial" w:hAnsi="Arial"/>
          <w:sz w:val="17"/>
          <w:szCs w:val="17"/>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374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74640"/>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64" w:hanging="417"/>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40" w:lineRule="exact"/>
        <w:rPr>
          <w:rFonts w:ascii="Arial" w:cs="Arial" w:eastAsia="Arial" w:hAnsi="Arial"/>
          <w:sz w:val="18"/>
          <w:szCs w:val="18"/>
          <w:color w:val="auto"/>
        </w:rPr>
      </w:pPr>
    </w:p>
    <w:p>
      <w:pPr>
        <w:ind w:left="1744" w:hanging="435"/>
        <w:spacing w:after="0"/>
        <w:tabs>
          <w:tab w:leader="none" w:pos="1744"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6"/>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16,862,337</w:t>
            </w: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38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744"/>
        <w:spacing w:after="0"/>
        <w:rPr>
          <w:sz w:val="20"/>
          <w:szCs w:val="20"/>
          <w:color w:val="auto"/>
        </w:rPr>
      </w:pPr>
      <w:r>
        <w:rPr>
          <w:rFonts w:ascii="Arial" w:cs="Arial" w:eastAsia="Arial" w:hAnsi="Arial"/>
          <w:sz w:val="18"/>
          <w:szCs w:val="18"/>
          <w:b w:val="1"/>
          <w:bCs w:val="1"/>
          <w:color w:val="auto"/>
        </w:rPr>
        <w:t>16,862,337</w:t>
      </w:r>
      <w:r>
        <w:rPr>
          <w:rFonts w:ascii="Arial" w:cs="Arial" w:eastAsia="Arial" w:hAnsi="Arial"/>
          <w:sz w:val="15"/>
          <w:szCs w:val="15"/>
          <w:b w:val="1"/>
          <w:bCs w:val="1"/>
          <w:color w:val="auto"/>
        </w:rPr>
        <w:t>(1)</w:t>
      </w:r>
    </w:p>
    <w:p>
      <w:pPr>
        <w:spacing w:after="0" w:line="40" w:lineRule="exact"/>
        <w:rPr>
          <w:sz w:val="20"/>
          <w:szCs w:val="20"/>
          <w:color w:val="auto"/>
        </w:rPr>
      </w:pPr>
    </w:p>
    <w:p>
      <w:pPr>
        <w:ind w:left="644" w:hanging="397"/>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b w:val="1"/>
          <w:bCs w:val="1"/>
          <w:color w:val="auto"/>
        </w:rPr>
        <w:t>16,862,337</w:t>
      </w:r>
      <w:r>
        <w:rPr>
          <w:rFonts w:ascii="Arial" w:cs="Arial" w:eastAsia="Arial" w:hAnsi="Arial"/>
          <w:sz w:val="15"/>
          <w:szCs w:val="15"/>
          <w:b w:val="1"/>
          <w:bCs w:val="1"/>
          <w:color w:val="auto"/>
        </w:rPr>
        <w:t>(1)</w:t>
      </w:r>
    </w:p>
    <w:p>
      <w:pPr>
        <w:spacing w:after="0" w:line="40" w:lineRule="exact"/>
        <w:rPr>
          <w:rFonts w:ascii="Arial" w:cs="Arial" w:eastAsia="Arial" w:hAnsi="Arial"/>
          <w:sz w:val="18"/>
          <w:szCs w:val="18"/>
          <w:color w:val="auto"/>
        </w:rPr>
      </w:pPr>
    </w:p>
    <w:p>
      <w:pPr>
        <w:ind w:left="664" w:hanging="50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0"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b w:val="1"/>
          <w:bCs w:val="1"/>
          <w:color w:val="auto"/>
        </w:rPr>
        <w:t>35.15%</w:t>
      </w:r>
      <w:r>
        <w:rPr>
          <w:rFonts w:ascii="Arial" w:cs="Arial" w:eastAsia="Arial" w:hAnsi="Arial"/>
          <w:sz w:val="15"/>
          <w:szCs w:val="15"/>
          <w:b w:val="1"/>
          <w:bCs w:val="1"/>
          <w:color w:val="auto"/>
        </w:rPr>
        <w:t>(2)</w:t>
      </w:r>
    </w:p>
    <w:p>
      <w:pPr>
        <w:spacing w:after="0" w:line="40" w:lineRule="exact"/>
        <w:rPr>
          <w:rFonts w:ascii="Arial" w:cs="Arial" w:eastAsia="Arial" w:hAnsi="Arial"/>
          <w:sz w:val="18"/>
          <w:szCs w:val="18"/>
          <w:color w:val="auto"/>
        </w:rPr>
      </w:pPr>
    </w:p>
    <w:p>
      <w:pPr>
        <w:ind w:left="644" w:hanging="487"/>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Remarks:</w:t>
      </w:r>
    </w:p>
    <w:p>
      <w:pPr>
        <w:spacing w:after="0" w:line="131" w:lineRule="exact"/>
        <w:rPr>
          <w:sz w:val="20"/>
          <w:szCs w:val="20"/>
          <w:color w:val="auto"/>
        </w:rPr>
      </w:pPr>
    </w:p>
    <w:p>
      <w:pPr>
        <w:ind w:left="424" w:right="200" w:hanging="424"/>
        <w:spacing w:after="0" w:line="286"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16,862,337 Class A ordinary shares acquirable in respect of (i) 7,639,076 Class B ordinary shares, par value $0.0001 per share (“Class B Shares”), convertible one-for-one into the Issuer’s Class A ordinary shares at the time of the Issuer’s initial business combination, or earlier at the option of the holder and (ii) 9,223,261 private placement warrants to acquire Class A ordinary shares upon payment of $11.50 per share (“Private Placement Warrants”), commencing 30 days after completion of the Issuer’s initial business combination.</w:t>
      </w:r>
    </w:p>
    <w:p>
      <w:pPr>
        <w:spacing w:after="0" w:line="1" w:lineRule="exact"/>
        <w:rPr>
          <w:rFonts w:ascii="Arial" w:cs="Arial" w:eastAsia="Arial" w:hAnsi="Arial"/>
          <w:sz w:val="16"/>
          <w:szCs w:val="16"/>
          <w:color w:val="auto"/>
        </w:rPr>
      </w:pPr>
    </w:p>
    <w:p>
      <w:pPr>
        <w:jc w:val="both"/>
        <w:ind w:left="424" w:right="120" w:hanging="424"/>
        <w:spacing w:after="0" w:line="323"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Calculated based on (i) 31,116,305 Class A ordinary shares outstanding as of November 5, 2021 as reported on the Issuer’s Form 10-Q, filed on November 5, 2021, and (ii) 16,862,337 Class A ordinary shares issuable in connection with the Class B Shares and Private Placement Warrants.</w:t>
      </w:r>
    </w:p>
    <w:p>
      <w:pPr>
        <w:sectPr>
          <w:pgSz w:w="11900" w:h="16838" w:orient="portrait"/>
          <w:cols w:equalWidth="0" w:num="1">
            <w:col w:w="10904"/>
          </w:cols>
          <w:pgMar w:left="436" w:top="287" w:right="559" w:bottom="1440" w:gutter="0" w:footer="0" w:header="0"/>
        </w:sectPr>
      </w:pPr>
    </w:p>
    <w:bookmarkStart w:id="2" w:name="page3"/>
    <w:bookmarkEnd w:id="2"/>
    <w:p>
      <w:pPr>
        <w:ind w:left="744" w:right="8080" w:hanging="497"/>
        <w:spacing w:after="0" w:line="406" w:lineRule="auto"/>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 Daniel R. Revers</w:t>
      </w:r>
    </w:p>
    <w:p>
      <w:pPr>
        <w:spacing w:after="0" w:line="1" w:lineRule="exact"/>
        <w:rPr>
          <w:rFonts w:ascii="Arial" w:cs="Arial" w:eastAsia="Arial" w:hAnsi="Arial"/>
          <w:sz w:val="18"/>
          <w:szCs w:val="18"/>
          <w:color w:val="auto"/>
        </w:rPr>
      </w:pPr>
    </w:p>
    <w:p>
      <w:pPr>
        <w:ind w:left="744" w:hanging="497"/>
        <w:spacing w:after="0"/>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374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74640"/>
                    </a:xfrm>
                    <a:prstGeom prst="rect">
                      <a:avLst/>
                    </a:prstGeom>
                    <a:noFill/>
                  </pic:spPr>
                </pic:pic>
              </a:graphicData>
            </a:graphic>
          </wp:anchor>
        </w:drawing>
      </w:r>
    </w:p>
    <w:p>
      <w:pPr>
        <w:spacing w:after="0" w:line="199" w:lineRule="exact"/>
        <w:rPr>
          <w:sz w:val="20"/>
          <w:szCs w:val="20"/>
          <w:color w:val="auto"/>
        </w:rPr>
      </w:pPr>
    </w:p>
    <w:p>
      <w:pPr>
        <w:ind w:left="744"/>
        <w:spacing w:after="0" w:line="207" w:lineRule="exact"/>
        <w:tabs>
          <w:tab w:leader="none" w:pos="15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744" w:hanging="497"/>
        <w:spacing w:after="0"/>
        <w:tabs>
          <w:tab w:leader="none" w:pos="744"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b w:val="1"/>
          <w:bCs w:val="1"/>
          <w:color w:val="auto"/>
        </w:rPr>
        <w:t>United States of America</w:t>
      </w:r>
    </w:p>
    <w:p>
      <w:pPr>
        <w:spacing w:after="0" w:line="40" w:lineRule="exact"/>
        <w:rPr>
          <w:rFonts w:ascii="Arial" w:cs="Arial" w:eastAsia="Arial" w:hAnsi="Arial"/>
          <w:sz w:val="18"/>
          <w:szCs w:val="18"/>
          <w:color w:val="auto"/>
        </w:rPr>
      </w:pPr>
    </w:p>
    <w:p>
      <w:pPr>
        <w:ind w:left="1844" w:hanging="521"/>
        <w:spacing w:after="0"/>
        <w:tabs>
          <w:tab w:leader="none" w:pos="1844"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92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16,862,337</w:t>
            </w: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480" w:type="dxa"/>
            <w:vAlign w:val="bottom"/>
          </w:tcPr>
          <w:p>
            <w:pPr>
              <w:jc w:val="right"/>
              <w:ind w:right="70"/>
              <w:spacing w:after="0" w:line="182" w:lineRule="exact"/>
              <w:rPr>
                <w:sz w:val="20"/>
                <w:szCs w:val="20"/>
                <w:color w:val="auto"/>
              </w:rPr>
            </w:pPr>
            <w:r>
              <w:rPr>
                <w:rFonts w:ascii="Arial" w:cs="Arial" w:eastAsia="Arial" w:hAnsi="Arial"/>
                <w:sz w:val="18"/>
                <w:szCs w:val="18"/>
                <w:color w:val="auto"/>
              </w:rPr>
              <w:t>19.</w:t>
            </w:r>
          </w:p>
        </w:tc>
        <w:tc>
          <w:tcPr>
            <w:tcW w:w="92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20.</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844"/>
        <w:spacing w:after="0"/>
        <w:rPr>
          <w:sz w:val="20"/>
          <w:szCs w:val="20"/>
          <w:color w:val="auto"/>
        </w:rPr>
      </w:pPr>
      <w:r>
        <w:rPr>
          <w:rFonts w:ascii="Arial" w:cs="Arial" w:eastAsia="Arial" w:hAnsi="Arial"/>
          <w:sz w:val="18"/>
          <w:szCs w:val="18"/>
          <w:b w:val="1"/>
          <w:bCs w:val="1"/>
          <w:color w:val="auto"/>
        </w:rPr>
        <w:t>16,862,337</w:t>
      </w:r>
      <w:r>
        <w:rPr>
          <w:rFonts w:ascii="Arial" w:cs="Arial" w:eastAsia="Arial" w:hAnsi="Arial"/>
          <w:sz w:val="15"/>
          <w:szCs w:val="15"/>
          <w:b w:val="1"/>
          <w:bCs w:val="1"/>
          <w:color w:val="auto"/>
        </w:rPr>
        <w:t>(1)</w:t>
      </w:r>
    </w:p>
    <w:p>
      <w:pPr>
        <w:spacing w:after="0" w:line="40" w:lineRule="exact"/>
        <w:rPr>
          <w:sz w:val="20"/>
          <w:szCs w:val="20"/>
          <w:color w:val="auto"/>
        </w:rPr>
      </w:pPr>
    </w:p>
    <w:p>
      <w:pPr>
        <w:ind w:left="744" w:hanging="497"/>
        <w:spacing w:after="0"/>
        <w:tabs>
          <w:tab w:leader="none" w:pos="7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b w:val="1"/>
          <w:bCs w:val="1"/>
          <w:color w:val="auto"/>
        </w:rPr>
        <w:t>16,862,337</w:t>
      </w:r>
      <w:r>
        <w:rPr>
          <w:rFonts w:ascii="Arial" w:cs="Arial" w:eastAsia="Arial" w:hAnsi="Arial"/>
          <w:sz w:val="15"/>
          <w:szCs w:val="15"/>
          <w:b w:val="1"/>
          <w:bCs w:val="1"/>
          <w:color w:val="auto"/>
        </w:rPr>
        <w:t>(1)</w:t>
      </w:r>
    </w:p>
    <w:p>
      <w:pPr>
        <w:spacing w:after="0" w:line="40" w:lineRule="exact"/>
        <w:rPr>
          <w:rFonts w:ascii="Arial" w:cs="Arial" w:eastAsia="Arial" w:hAnsi="Arial"/>
          <w:sz w:val="18"/>
          <w:szCs w:val="18"/>
          <w:color w:val="auto"/>
        </w:rPr>
      </w:pPr>
    </w:p>
    <w:p>
      <w:pPr>
        <w:ind w:left="744" w:hanging="587"/>
        <w:spacing w:after="0"/>
        <w:tabs>
          <w:tab w:leader="none" w:pos="7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0"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b w:val="1"/>
          <w:bCs w:val="1"/>
          <w:color w:val="auto"/>
        </w:rPr>
        <w:t>35.15%</w:t>
      </w:r>
      <w:r>
        <w:rPr>
          <w:rFonts w:ascii="Arial" w:cs="Arial" w:eastAsia="Arial" w:hAnsi="Arial"/>
          <w:sz w:val="15"/>
          <w:szCs w:val="15"/>
          <w:b w:val="1"/>
          <w:bCs w:val="1"/>
          <w:color w:val="auto"/>
        </w:rPr>
        <w:t>(2)</w:t>
      </w:r>
    </w:p>
    <w:p>
      <w:pPr>
        <w:spacing w:after="0" w:line="40" w:lineRule="exact"/>
        <w:rPr>
          <w:rFonts w:ascii="Arial" w:cs="Arial" w:eastAsia="Arial" w:hAnsi="Arial"/>
          <w:sz w:val="18"/>
          <w:szCs w:val="18"/>
          <w:color w:val="auto"/>
        </w:rPr>
      </w:pPr>
    </w:p>
    <w:p>
      <w:pPr>
        <w:ind w:left="744" w:hanging="587"/>
        <w:spacing w:after="0"/>
        <w:tabs>
          <w:tab w:leader="none" w:pos="7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Remarks:</w:t>
      </w:r>
    </w:p>
    <w:p>
      <w:pPr>
        <w:spacing w:after="0" w:line="131" w:lineRule="exact"/>
        <w:rPr>
          <w:sz w:val="20"/>
          <w:szCs w:val="20"/>
          <w:color w:val="auto"/>
        </w:rPr>
      </w:pPr>
    </w:p>
    <w:p>
      <w:pPr>
        <w:ind w:left="424" w:right="200" w:hanging="424"/>
        <w:spacing w:after="0" w:line="286"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16,862,337 Class A ordinary shares acquirable in respect of (i) 7,639,076 Class B ordinary shares, par value $0.0001 per share (“Class B Shares”), convertible one-for-one into the Issuer’s Class A ordinary shares at the time of the Issuer’s initial business combination, or earlier at the option of the holder and (ii) 9,223,261 private placement warrants to acquire Class A ordinary shares upon payment of $11.50 per share (“Private Placement Warrants”), commencing 30 days after completion of the Issuer’s initial business combination.</w:t>
      </w:r>
    </w:p>
    <w:p>
      <w:pPr>
        <w:spacing w:after="0" w:line="1" w:lineRule="exact"/>
        <w:rPr>
          <w:rFonts w:ascii="Arial" w:cs="Arial" w:eastAsia="Arial" w:hAnsi="Arial"/>
          <w:sz w:val="16"/>
          <w:szCs w:val="16"/>
          <w:color w:val="auto"/>
        </w:rPr>
      </w:pPr>
    </w:p>
    <w:p>
      <w:pPr>
        <w:jc w:val="both"/>
        <w:ind w:left="424" w:right="120" w:hanging="424"/>
        <w:spacing w:after="0" w:line="323"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based on (i) 31,116,305 Class A ordinary shares outstanding as of November 5, 2021 as reported on the Issuer’s Form 10-Q, filed on November 5, 2021, and (ii) 16,862,337 Class A ordinary shares issuable in connection with the Class B Shares and Private Placement Warrants.</w:t>
      </w:r>
    </w:p>
    <w:p>
      <w:pPr>
        <w:sectPr>
          <w:pgSz w:w="11900" w:h="16838" w:orient="portrait"/>
          <w:cols w:equalWidth="0" w:num="1">
            <w:col w:w="10904"/>
          </w:cols>
          <w:pgMar w:left="436" w:top="287" w:right="55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ArcLight Clean Transition Corp. II (the “Issuer”)</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the Issuer’s Principal Executive Offices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ArcLight Clean Transition Corp. II</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02116</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Names of Persons Filing</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statement is filed by ArcLight CTC Holdings II, L.P. and Daniel R. Revers, referred to herein as the “</w:t>
      </w:r>
      <w:r>
        <w:rPr>
          <w:rFonts w:ascii="Arial" w:cs="Arial" w:eastAsia="Arial" w:hAnsi="Arial"/>
          <w:sz w:val="16"/>
          <w:szCs w:val="16"/>
          <w:u w:val="single" w:color="auto"/>
          <w:color w:val="auto"/>
        </w:rPr>
        <w:t>Reporting Persons</w:t>
      </w:r>
      <w:r>
        <w:rPr>
          <w:rFonts w:ascii="Arial" w:cs="Arial" w:eastAsia="Arial" w:hAnsi="Arial"/>
          <w:sz w:val="16"/>
          <w:szCs w:val="16"/>
          <w:color w:val="auto"/>
        </w:rPr>
        <w:t>.”</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the Principal Business Office, or if none, Residence: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ArcLight Clean Transition Corp.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02116</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responses to Item 4 on each cover page.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ordinary shares, par value $0.0001</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G0R21B104</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1420" w:hanging="439"/>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rFonts w:ascii="Arial" w:cs="Arial" w:eastAsia="Arial" w:hAnsi="Arial"/>
          <w:sz w:val="18"/>
          <w:szCs w:val="18"/>
          <w:b w:val="1"/>
          <w:bCs w:val="1"/>
          <w:color w:val="auto"/>
        </w:rPr>
      </w:pPr>
    </w:p>
    <w:p>
      <w:pPr>
        <w:ind w:left="1420"/>
        <w:spacing w:after="0"/>
        <w:rPr>
          <w:rFonts w:ascii="Arial" w:cs="Arial" w:eastAsia="Arial" w:hAnsi="Arial"/>
          <w:sz w:val="18"/>
          <w:szCs w:val="18"/>
          <w:b w:val="1"/>
          <w:bCs w:val="1"/>
          <w:color w:val="auto"/>
        </w:rPr>
      </w:pPr>
      <w:r>
        <w:rPr>
          <w:rFonts w:ascii="Arial" w:cs="Arial" w:eastAsia="Arial" w:hAnsi="Arial"/>
          <w:sz w:val="18"/>
          <w:szCs w:val="18"/>
          <w:color w:val="auto"/>
        </w:rPr>
        <w:t>See response to Item 9 on each cover page.</w:t>
      </w:r>
    </w:p>
    <w:p>
      <w:pPr>
        <w:spacing w:after="0" w:line="126" w:lineRule="exact"/>
        <w:rPr>
          <w:rFonts w:ascii="Arial" w:cs="Arial" w:eastAsia="Arial" w:hAnsi="Arial"/>
          <w:sz w:val="18"/>
          <w:szCs w:val="18"/>
          <w:b w:val="1"/>
          <w:bCs w:val="1"/>
          <w:color w:val="auto"/>
        </w:rPr>
      </w:pPr>
    </w:p>
    <w:p>
      <w:pPr>
        <w:ind w:left="1420" w:hanging="439"/>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b w:val="1"/>
          <w:bCs w:val="1"/>
          <w:color w:val="auto"/>
        </w:rPr>
      </w:pPr>
    </w:p>
    <w:p>
      <w:pPr>
        <w:ind w:left="1420"/>
        <w:spacing w:after="0"/>
        <w:rPr>
          <w:rFonts w:ascii="Arial" w:cs="Arial" w:eastAsia="Arial" w:hAnsi="Arial"/>
          <w:sz w:val="18"/>
          <w:szCs w:val="18"/>
          <w:b w:val="1"/>
          <w:bCs w:val="1"/>
          <w:color w:val="auto"/>
        </w:rPr>
      </w:pPr>
      <w:r>
        <w:rPr>
          <w:rFonts w:ascii="Arial" w:cs="Arial" w:eastAsia="Arial" w:hAnsi="Arial"/>
          <w:sz w:val="18"/>
          <w:szCs w:val="18"/>
          <w:color w:val="auto"/>
        </w:rPr>
        <w:t>See response to Item 11 on each cover page.</w:t>
      </w:r>
    </w:p>
    <w:p>
      <w:pPr>
        <w:spacing w:after="0" w:line="126" w:lineRule="exact"/>
        <w:rPr>
          <w:rFonts w:ascii="Arial" w:cs="Arial" w:eastAsia="Arial" w:hAnsi="Arial"/>
          <w:sz w:val="18"/>
          <w:szCs w:val="18"/>
          <w:b w:val="1"/>
          <w:bCs w:val="1"/>
          <w:color w:val="auto"/>
        </w:rPr>
      </w:pPr>
    </w:p>
    <w:p>
      <w:pPr>
        <w:ind w:left="1420" w:hanging="439"/>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Reporting Person has:</w:t>
      </w:r>
    </w:p>
    <w:p>
      <w:pPr>
        <w:spacing w:after="0" w:line="130" w:lineRule="exact"/>
        <w:rPr>
          <w:rFonts w:ascii="Arial" w:cs="Arial" w:eastAsia="Arial" w:hAnsi="Arial"/>
          <w:sz w:val="18"/>
          <w:szCs w:val="18"/>
          <w:b w:val="1"/>
          <w:bCs w:val="1"/>
          <w:color w:val="auto"/>
        </w:rPr>
      </w:pPr>
    </w:p>
    <w:p>
      <w:pPr>
        <w:ind w:left="1980" w:right="4940" w:hanging="553"/>
        <w:spacing w:after="0" w:line="460" w:lineRule="auto"/>
        <w:tabs>
          <w:tab w:leader="none" w:pos="1968" w:val="left"/>
        </w:tabs>
        <w:numPr>
          <w:ilvl w:val="1"/>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Sole power to vote or to direct the vote: </w:t>
      </w:r>
      <w:r>
        <w:rPr>
          <w:rFonts w:ascii="Arial" w:cs="Arial" w:eastAsia="Arial" w:hAnsi="Arial"/>
          <w:sz w:val="15"/>
          <w:szCs w:val="15"/>
          <w:color w:val="auto"/>
        </w:rPr>
        <w:t>See responses to Item 5 on each cover page.</w:t>
      </w:r>
    </w:p>
    <w:p>
      <w:pPr>
        <w:jc w:val="both"/>
        <w:ind w:left="1980" w:right="4900" w:hanging="553"/>
        <w:spacing w:after="0" w:line="460" w:lineRule="auto"/>
        <w:tabs>
          <w:tab w:leader="none" w:pos="1968" w:val="left"/>
        </w:tabs>
        <w:numPr>
          <w:ilvl w:val="1"/>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Shared power to vote or to direct the vote: </w:t>
      </w:r>
      <w:r>
        <w:rPr>
          <w:rFonts w:ascii="Arial" w:cs="Arial" w:eastAsia="Arial" w:hAnsi="Arial"/>
          <w:sz w:val="15"/>
          <w:szCs w:val="15"/>
          <w:color w:val="auto"/>
        </w:rPr>
        <w:t>See responses to Item 6 on each cover page.</w:t>
      </w:r>
    </w:p>
    <w:p>
      <w:pPr>
        <w:ind w:left="1980" w:right="4180" w:hanging="553"/>
        <w:spacing w:after="0" w:line="488" w:lineRule="auto"/>
        <w:tabs>
          <w:tab w:leader="none" w:pos="1968" w:val="left"/>
        </w:tabs>
        <w:numPr>
          <w:ilvl w:val="1"/>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See responses to Item 7 on each cover page.</w:t>
      </w:r>
    </w:p>
    <w:p>
      <w:pPr>
        <w:sectPr>
          <w:pgSz w:w="11900" w:h="16838" w:orient="portrait"/>
          <w:cols w:equalWidth="0" w:num="1">
            <w:col w:w="10100"/>
          </w:cols>
          <w:pgMar w:left="440" w:top="270" w:right="1359" w:bottom="1440" w:gutter="0" w:footer="0" w:header="0"/>
        </w:sectPr>
      </w:pPr>
    </w:p>
    <w:bookmarkStart w:id="4" w:name="page5"/>
    <w:bookmarkEnd w:id="4"/>
    <w:p>
      <w:pPr>
        <w:ind w:left="1980" w:right="4720" w:hanging="553"/>
        <w:spacing w:after="0" w:line="425" w:lineRule="auto"/>
        <w:tabs>
          <w:tab w:leader="none" w:pos="1968"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Shared power to dispose or to direct the disposition of: </w:t>
      </w:r>
      <w:r>
        <w:rPr>
          <w:rFonts w:ascii="Arial" w:cs="Arial" w:eastAsia="Arial" w:hAnsi="Arial"/>
          <w:sz w:val="16"/>
          <w:szCs w:val="16"/>
          <w:color w:val="auto"/>
        </w:rPr>
        <w:t>See responses to Item 8 on each cover page.</w:t>
      </w:r>
    </w:p>
    <w:p>
      <w:pPr>
        <w:ind w:left="19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securities reported herein are held directly by ArcLight CTC Holdings II, L.P. (the “Sponsor”). Daniel R. Revers has voting and investment discretion with respect to the securities held by the the Sponsor. The filing of this Statement shall not be construed as an admission that the Reporting Persons are, for the purpose of Section 13(d) or 13(g) of the Exchange Act, the beneficial owner of any securities covered by this Statement.</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56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880"/>
          </w:cols>
          <w:pgMar w:left="440" w:top="270" w:right="579" w:bottom="1440" w:gutter="0" w:footer="0" w:header="0"/>
        </w:sectPr>
      </w:pPr>
    </w:p>
    <w:bookmarkStart w:id="5" w:name="page6"/>
    <w:bookmarkEnd w:id="5"/>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11,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CTC Holdings II, L.P.</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By: ACTC Holdings GP II, LLC, its General Partner</w:t>
      </w:r>
    </w:p>
    <w:p>
      <w:pPr>
        <w:spacing w:after="0" w:line="25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Daniel R. Revers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Name:Daniel R. Revers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Title:President</w:t>
      </w:r>
    </w:p>
    <w:p>
      <w:pPr>
        <w:spacing w:after="0" w:line="200" w:lineRule="exact"/>
        <w:rPr>
          <w:sz w:val="20"/>
          <w:szCs w:val="20"/>
          <w:color w:val="auto"/>
        </w:rPr>
      </w:pPr>
    </w:p>
    <w:p>
      <w:pPr>
        <w:spacing w:after="0" w:line="25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Daniel R. Revers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Daniel R. Revers</w:t>
      </w:r>
    </w:p>
    <w:p>
      <w:pPr>
        <w:sectPr>
          <w:pgSz w:w="11900" w:h="16838" w:orient="portrait"/>
          <w:cols w:equalWidth="0" w:num="1">
            <w:col w:w="10680"/>
          </w:cols>
          <w:pgMar w:left="440" w:top="270" w:right="779" w:bottom="1440" w:gutter="0" w:footer="0" w:header="0"/>
        </w:sectPr>
      </w:pPr>
    </w:p>
    <w:bookmarkStart w:id="6" w:name="page7"/>
    <w:bookmarkEnd w:id="6"/>
    <w:p>
      <w:pPr>
        <w:ind w:left="4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LIST</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Joint Filing Agreement, dated as of February 11, 2022.</w:t>
      </w:r>
    </w:p>
    <w:p>
      <w:pPr>
        <w:sectPr>
          <w:pgSz w:w="11900" w:h="16838" w:orient="portrait"/>
          <w:cols w:equalWidth="0" w:num="1">
            <w:col w:w="10019"/>
          </w:cols>
          <w:pgMar w:left="440" w:top="274" w:right="1440" w:bottom="1440" w:gutter="0" w:footer="0" w:header="0"/>
        </w:sectPr>
      </w:pPr>
    </w:p>
    <w:bookmarkStart w:id="7" w:name="page8"/>
    <w:bookmarkEnd w:id="7"/>
    <w:p>
      <w:pPr>
        <w:jc w:val="center"/>
        <w:ind w:right="-15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ordinary shares, $0.0001 par value per share of ArcLight Clean Transition Corp. II (this “Agreement”), is being filed, and all amendments thereto will be filed, on behalf of each of the persons and entities named below that is named as a reporting person in such filing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11,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CTC Holdings II,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By: ACTC Holdings GP II, LLC, its General Partner</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Daniel R. Revers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Daniel R. Revers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Daniel R. Revers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Daniel R. Revers</w:t>
      </w:r>
    </w:p>
    <w:sectPr>
      <w:pgSz w:w="11900" w:h="16838" w:orient="portrait"/>
      <w:cols w:equalWidth="0" w:num="1">
        <w:col w:w="10840"/>
      </w:cols>
      <w:pgMar w:left="4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3"/>
    </w:lvl>
    <w:lvl w:ilvl="1">
      <w:lvlJc w:val="left"/>
      <w:lvlText w:val="%2."/>
      <w:numFmt w:val="decimal"/>
      <w:start w:val="5"/>
    </w:lvl>
  </w:abstractNum>
  <w:abstractNum w:abstractNumId="5">
    <w:nsid w:val="4DB127F8"/>
    <w:multiLevelType w:val="hybridMultilevel"/>
    <w:lvl w:ilvl="0">
      <w:lvlJc w:val="left"/>
      <w:lvlText w:val="%1."/>
      <w:numFmt w:val="decimal"/>
      <w:start w:val="9"/>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3"/>
    </w:lvl>
  </w:abstractNum>
  <w:abstractNum w:abstractNumId="8">
    <w:nsid w:val="1190CDE7"/>
    <w:multiLevelType w:val="hybridMultilevel"/>
    <w:lvl w:ilvl="0">
      <w:lvlJc w:val="left"/>
      <w:lvlText w:val="%1."/>
      <w:numFmt w:val="decimal"/>
      <w:start w:val="15"/>
    </w:lvl>
    <w:lvl w:ilvl="1">
      <w:lvlJc w:val="left"/>
      <w:lvlText w:val="%2."/>
      <w:numFmt w:val="decimal"/>
      <w:start w:val="17"/>
    </w:lvl>
  </w:abstractNum>
  <w:abstractNum w:abstractNumId="9">
    <w:nsid w:val="66EF438D"/>
    <w:multiLevelType w:val="hybridMultilevel"/>
    <w:lvl w:ilvl="0">
      <w:lvlJc w:val="left"/>
      <w:lvlText w:val="%1"/>
      <w:numFmt w:val="decimal"/>
      <w:start w:val="1"/>
    </w:lvl>
    <w:lvl w:ilvl="1">
      <w:lvlJc w:val="left"/>
      <w:lvlText w:val="%2."/>
      <w:numFmt w:val="decimal"/>
      <w:start w:val="21"/>
    </w:lvl>
  </w:abstractNum>
  <w:abstractNum w:abstractNumId="10">
    <w:nsid w:val="140E0F76"/>
    <w:multiLevelType w:val="hybridMultilevel"/>
    <w:lvl w:ilvl="0">
      <w:lvlJc w:val="left"/>
      <w:lvlText w:val="%1."/>
      <w:numFmt w:val="decimal"/>
      <w:start w:val="22"/>
    </w:lvl>
    <w:lvl w:ilvl="1">
      <w:lvlJc w:val="left"/>
      <w:lvlText w:val="%2"/>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2022-02-14T05:29:07Z</dcterms:created>
  <dcterms:modified xsi:type="dcterms:W3CDTF">2022-02-14T05:29:07Z</dcterms:modified>
</cp:coreProperties>
</file>