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4"/>
          <w:szCs w:val="24"/>
          <w:b w:val="1"/>
          <w:bCs w:val="1"/>
          <w:color w:val="auto"/>
        </w:rPr>
        <w:drawing>
          <wp:anchor simplePos="0" relativeHeight="251657728" behindDoc="1" locked="0" layoutInCell="0" allowOverlap="1">
            <wp:simplePos x="0" y="0"/>
            <wp:positionH relativeFrom="page">
              <wp:posOffset>190500</wp:posOffset>
            </wp:positionH>
            <wp:positionV relativeFrom="page">
              <wp:posOffset>553085</wp:posOffset>
            </wp:positionV>
            <wp:extent cx="7167880" cy="12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7880" cy="12700"/>
                    </a:xfrm>
                    <a:prstGeom prst="rect">
                      <a:avLst/>
                    </a:prstGeom>
                    <a:noFill/>
                  </pic:spPr>
                </pic:pic>
              </a:graphicData>
            </a:graphic>
          </wp:anchor>
        </w:drawing>
        <w:t>UNITED STATES</w:t>
      </w:r>
    </w:p>
    <w:p>
      <w:pPr>
        <w:spacing w:after="0" w:line="4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1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4"/>
          <w:szCs w:val="24"/>
          <w:b w:val="1"/>
          <w:bCs w:val="1"/>
          <w:color w:val="auto"/>
        </w:rPr>
        <w:t>FORM 10-Q</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(Mark One)</w:t>
      </w:r>
    </w:p>
    <w:p>
      <w:pPr>
        <w:spacing w:after="0" w:line="153" w:lineRule="exact"/>
        <w:rPr>
          <w:sz w:val="24"/>
          <w:szCs w:val="24"/>
          <w:color w:val="auto"/>
        </w:rPr>
      </w:pPr>
    </w:p>
    <w:p>
      <w:pPr>
        <w:ind w:left="4300" w:right="3920" w:hanging="4287"/>
        <w:spacing w:after="0" w:line="445" w:lineRule="auto"/>
        <w:tabs>
          <w:tab w:leader="none" w:pos="593"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b w:val="1"/>
          <w:bCs w:val="1"/>
          <w:color w:val="auto"/>
        </w:rPr>
        <w:t>QUARTERLY REPORT PURSUANT TO SECTION 13 OR 15(d) OF THE SECURITIES EXCHANGE ACT OF 1934 For the quarterly period ended March 31, 2024</w:t>
      </w:r>
    </w:p>
    <w:p>
      <w:pPr>
        <w:spacing w:after="0" w:line="3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or</w:t>
      </w:r>
    </w:p>
    <w:p>
      <w:pPr>
        <w:spacing w:after="0" w:line="336" w:lineRule="exact"/>
        <w:rPr>
          <w:sz w:val="24"/>
          <w:szCs w:val="24"/>
          <w:color w:val="auto"/>
        </w:rPr>
      </w:pPr>
    </w:p>
    <w:p>
      <w:pPr>
        <w:ind w:left="3760" w:right="3780" w:hanging="3747"/>
        <w:spacing w:after="0" w:line="445" w:lineRule="auto"/>
        <w:tabs>
          <w:tab w:leader="none" w:pos="594" w:val="left"/>
        </w:tabs>
        <w:numPr>
          <w:ilvl w:val="0"/>
          <w:numId w:val="2"/>
        </w:numPr>
        <w:rPr>
          <w:rFonts w:ascii="MS PGothic" w:cs="MS PGothic" w:eastAsia="MS PGothic" w:hAnsi="MS PGothic"/>
          <w:sz w:val="13"/>
          <w:szCs w:val="13"/>
          <w:color w:val="auto"/>
        </w:rPr>
      </w:pPr>
      <w:r>
        <w:rPr>
          <w:rFonts w:ascii="Times New Roman" w:cs="Times New Roman" w:eastAsia="Times New Roman" w:hAnsi="Times New Roman"/>
          <w:sz w:val="13"/>
          <w:szCs w:val="13"/>
          <w:b w:val="1"/>
          <w:bCs w:val="1"/>
          <w:color w:val="auto"/>
        </w:rPr>
        <w:t>TRANSITION REPORT PURSUANT TO SECTION 13 OR 15(d) OF THE SECURITIES EXCHANGE ACT OF 1934 For the transition period from _______________ to ____________</w:t>
      </w:r>
    </w:p>
    <w:p>
      <w:pPr>
        <w:spacing w:after="0" w:line="36" w:lineRule="exact"/>
        <w:rPr>
          <w:sz w:val="24"/>
          <w:szCs w:val="24"/>
          <w:color w:val="auto"/>
        </w:rPr>
      </w:pPr>
    </w:p>
    <w:tbl>
      <w:tblPr>
        <w:tblLayout w:type="fixed"/>
        <w:tblInd w:w="10" w:type="dxa"/>
        <w:tblCellMar>
          <w:top w:w="0" w:type="dxa"/>
          <w:left w:w="0" w:type="dxa"/>
          <w:bottom w:w="0" w:type="dxa"/>
          <w:right w:w="0" w:type="dxa"/>
        </w:tblCellMar>
      </w:tblPr>
      <w:tr>
        <w:trPr>
          <w:trHeight w:val="177"/>
        </w:trPr>
        <w:tc>
          <w:tcPr>
            <w:tcW w:w="3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1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Commission File Number: 001-40272</w:t>
            </w:r>
          </w:p>
        </w:tc>
        <w:tc>
          <w:tcPr>
            <w:tcW w:w="3960" w:type="dxa"/>
            <w:vAlign w:val="bottom"/>
          </w:tcPr>
          <w:p>
            <w:pPr>
              <w:spacing w:after="0"/>
              <w:rPr>
                <w:sz w:val="15"/>
                <w:szCs w:val="15"/>
                <w:color w:val="auto"/>
              </w:rPr>
            </w:pPr>
          </w:p>
        </w:tc>
      </w:tr>
      <w:tr>
        <w:trPr>
          <w:trHeight w:val="398"/>
        </w:trPr>
        <w:tc>
          <w:tcPr>
            <w:tcW w:w="3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120" w:type="dxa"/>
            <w:vAlign w:val="bottom"/>
            <w:gridSpan w:val="2"/>
          </w:tcPr>
          <w:p>
            <w:pPr>
              <w:jc w:val="center"/>
              <w:ind w:right="280"/>
              <w:spacing w:after="0"/>
              <w:rPr>
                <w:sz w:val="20"/>
                <w:szCs w:val="20"/>
                <w:color w:val="auto"/>
              </w:rPr>
            </w:pPr>
            <w:r>
              <w:rPr>
                <w:rFonts w:ascii="Times New Roman" w:cs="Times New Roman" w:eastAsia="Times New Roman" w:hAnsi="Times New Roman"/>
                <w:sz w:val="19"/>
                <w:szCs w:val="19"/>
                <w:b w:val="1"/>
                <w:bCs w:val="1"/>
                <w:color w:val="auto"/>
                <w:w w:val="98"/>
              </w:rPr>
              <w:t>OPAL FUELS INC.</w:t>
            </w:r>
          </w:p>
        </w:tc>
        <w:tc>
          <w:tcPr>
            <w:tcW w:w="3960" w:type="dxa"/>
            <w:vAlign w:val="bottom"/>
          </w:tcPr>
          <w:p>
            <w:pPr>
              <w:spacing w:after="0"/>
              <w:rPr>
                <w:sz w:val="24"/>
                <w:szCs w:val="24"/>
                <w:color w:val="auto"/>
              </w:rPr>
            </w:pPr>
          </w:p>
        </w:tc>
      </w:tr>
      <w:tr>
        <w:trPr>
          <w:trHeight w:val="173"/>
        </w:trPr>
        <w:tc>
          <w:tcPr>
            <w:tcW w:w="3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1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color w:val="auto"/>
              </w:rPr>
              <w:t>(Exact name of registrant as specified in its charter)</w:t>
            </w:r>
          </w:p>
        </w:tc>
        <w:tc>
          <w:tcPr>
            <w:tcW w:w="3960" w:type="dxa"/>
            <w:vAlign w:val="bottom"/>
          </w:tcPr>
          <w:p>
            <w:pPr>
              <w:spacing w:after="0"/>
              <w:rPr>
                <w:sz w:val="15"/>
                <w:szCs w:val="15"/>
                <w:color w:val="auto"/>
              </w:rPr>
            </w:pPr>
          </w:p>
        </w:tc>
      </w:tr>
      <w:tr>
        <w:trPr>
          <w:trHeight w:val="290"/>
        </w:trPr>
        <w:tc>
          <w:tcPr>
            <w:tcW w:w="4220" w:type="dxa"/>
            <w:vAlign w:val="bottom"/>
            <w:gridSpan w:val="2"/>
          </w:tcPr>
          <w:p>
            <w:pPr>
              <w:jc w:val="center"/>
              <w:ind w:left="933"/>
              <w:spacing w:after="0"/>
              <w:rPr>
                <w:sz w:val="20"/>
                <w:szCs w:val="20"/>
                <w:color w:val="auto"/>
              </w:rPr>
            </w:pPr>
            <w:r>
              <w:rPr>
                <w:rFonts w:ascii="Times New Roman" w:cs="Times New Roman" w:eastAsia="Times New Roman" w:hAnsi="Times New Roman"/>
                <w:sz w:val="13"/>
                <w:szCs w:val="13"/>
                <w:b w:val="1"/>
                <w:bCs w:val="1"/>
                <w:color w:val="auto"/>
              </w:rPr>
              <w:t>Delaware</w:t>
            </w:r>
          </w:p>
        </w:tc>
        <w:tc>
          <w:tcPr>
            <w:tcW w:w="2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960" w:type="dxa"/>
            <w:vAlign w:val="bottom"/>
          </w:tcPr>
          <w:p>
            <w:pPr>
              <w:jc w:val="right"/>
              <w:ind w:right="2233"/>
              <w:spacing w:after="0"/>
              <w:rPr>
                <w:sz w:val="20"/>
                <w:szCs w:val="20"/>
                <w:color w:val="auto"/>
              </w:rPr>
            </w:pPr>
            <w:r>
              <w:rPr>
                <w:rFonts w:ascii="Times New Roman" w:cs="Times New Roman" w:eastAsia="Times New Roman" w:hAnsi="Times New Roman"/>
                <w:sz w:val="13"/>
                <w:szCs w:val="13"/>
                <w:b w:val="1"/>
                <w:bCs w:val="1"/>
                <w:color w:val="auto"/>
              </w:rPr>
              <w:t>98-1578357</w:t>
            </w:r>
          </w:p>
        </w:tc>
      </w:tr>
      <w:tr>
        <w:trPr>
          <w:trHeight w:val="230"/>
        </w:trPr>
        <w:tc>
          <w:tcPr>
            <w:tcW w:w="4220" w:type="dxa"/>
            <w:vAlign w:val="bottom"/>
            <w:gridSpan w:val="2"/>
          </w:tcPr>
          <w:p>
            <w:pPr>
              <w:jc w:val="center"/>
              <w:ind w:left="933"/>
              <w:spacing w:after="0"/>
              <w:rPr>
                <w:sz w:val="20"/>
                <w:szCs w:val="20"/>
                <w:color w:val="auto"/>
              </w:rPr>
            </w:pPr>
            <w:r>
              <w:rPr>
                <w:rFonts w:ascii="Times New Roman" w:cs="Times New Roman" w:eastAsia="Times New Roman" w:hAnsi="Times New Roman"/>
                <w:sz w:val="13"/>
                <w:szCs w:val="13"/>
                <w:color w:val="auto"/>
              </w:rPr>
              <w:t>(State or other jurisdiction of incorporation or organization)</w:t>
            </w:r>
          </w:p>
        </w:tc>
        <w:tc>
          <w:tcPr>
            <w:tcW w:w="2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960" w:type="dxa"/>
            <w:vAlign w:val="bottom"/>
          </w:tcPr>
          <w:p>
            <w:pPr>
              <w:jc w:val="right"/>
              <w:ind w:right="1593"/>
              <w:spacing w:after="0"/>
              <w:rPr>
                <w:sz w:val="20"/>
                <w:szCs w:val="20"/>
                <w:color w:val="auto"/>
              </w:rPr>
            </w:pPr>
            <w:r>
              <w:rPr>
                <w:rFonts w:ascii="Times New Roman" w:cs="Times New Roman" w:eastAsia="Times New Roman" w:hAnsi="Times New Roman"/>
                <w:sz w:val="13"/>
                <w:szCs w:val="13"/>
                <w:color w:val="auto"/>
              </w:rPr>
              <w:t>(I.R.S. Employer Identification No.)</w:t>
            </w:r>
          </w:p>
        </w:tc>
      </w:tr>
      <w:tr>
        <w:trPr>
          <w:trHeight w:val="280"/>
        </w:trPr>
        <w:tc>
          <w:tcPr>
            <w:tcW w:w="4220" w:type="dxa"/>
            <w:vAlign w:val="bottom"/>
            <w:gridSpan w:val="2"/>
          </w:tcPr>
          <w:p>
            <w:pPr>
              <w:jc w:val="center"/>
              <w:ind w:left="933"/>
              <w:spacing w:after="0"/>
              <w:rPr>
                <w:sz w:val="20"/>
                <w:szCs w:val="20"/>
                <w:color w:val="auto"/>
              </w:rPr>
            </w:pPr>
            <w:r>
              <w:rPr>
                <w:rFonts w:ascii="Times New Roman" w:cs="Times New Roman" w:eastAsia="Times New Roman" w:hAnsi="Times New Roman"/>
                <w:sz w:val="13"/>
                <w:szCs w:val="13"/>
                <w:b w:val="1"/>
                <w:bCs w:val="1"/>
                <w:color w:val="auto"/>
              </w:rPr>
              <w:t>One North Lexington Avenue, Suite 1450</w:t>
            </w:r>
          </w:p>
        </w:tc>
        <w:tc>
          <w:tcPr>
            <w:tcW w:w="2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960" w:type="dxa"/>
            <w:vAlign w:val="bottom"/>
          </w:tcPr>
          <w:p>
            <w:pPr>
              <w:spacing w:after="0"/>
              <w:rPr>
                <w:sz w:val="24"/>
                <w:szCs w:val="24"/>
                <w:color w:val="auto"/>
              </w:rPr>
            </w:pPr>
          </w:p>
        </w:tc>
      </w:tr>
      <w:tr>
        <w:trPr>
          <w:trHeight w:val="290"/>
        </w:trPr>
        <w:tc>
          <w:tcPr>
            <w:tcW w:w="4220" w:type="dxa"/>
            <w:vAlign w:val="bottom"/>
            <w:gridSpan w:val="2"/>
          </w:tcPr>
          <w:p>
            <w:pPr>
              <w:jc w:val="center"/>
              <w:ind w:left="913"/>
              <w:spacing w:after="0"/>
              <w:rPr>
                <w:sz w:val="20"/>
                <w:szCs w:val="20"/>
                <w:color w:val="auto"/>
              </w:rPr>
            </w:pPr>
            <w:r>
              <w:rPr>
                <w:rFonts w:ascii="Times New Roman" w:cs="Times New Roman" w:eastAsia="Times New Roman" w:hAnsi="Times New Roman"/>
                <w:sz w:val="13"/>
                <w:szCs w:val="13"/>
                <w:b w:val="1"/>
                <w:bCs w:val="1"/>
                <w:color w:val="auto"/>
              </w:rPr>
              <w:t>White Plains, New York</w:t>
            </w:r>
          </w:p>
        </w:tc>
        <w:tc>
          <w:tcPr>
            <w:tcW w:w="2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960" w:type="dxa"/>
            <w:vAlign w:val="bottom"/>
          </w:tcPr>
          <w:p>
            <w:pPr>
              <w:jc w:val="right"/>
              <w:ind w:right="2393"/>
              <w:spacing w:after="0"/>
              <w:rPr>
                <w:sz w:val="20"/>
                <w:szCs w:val="20"/>
                <w:color w:val="auto"/>
              </w:rPr>
            </w:pPr>
            <w:r>
              <w:rPr>
                <w:rFonts w:ascii="Times New Roman" w:cs="Times New Roman" w:eastAsia="Times New Roman" w:hAnsi="Times New Roman"/>
                <w:sz w:val="13"/>
                <w:szCs w:val="13"/>
                <w:b w:val="1"/>
                <w:bCs w:val="1"/>
                <w:color w:val="auto"/>
              </w:rPr>
              <w:t>10601</w:t>
            </w:r>
          </w:p>
        </w:tc>
      </w:tr>
      <w:tr>
        <w:trPr>
          <w:trHeight w:val="220"/>
        </w:trPr>
        <w:tc>
          <w:tcPr>
            <w:tcW w:w="4220" w:type="dxa"/>
            <w:vAlign w:val="bottom"/>
            <w:gridSpan w:val="2"/>
          </w:tcPr>
          <w:p>
            <w:pPr>
              <w:jc w:val="center"/>
              <w:ind w:left="913"/>
              <w:spacing w:after="0"/>
              <w:rPr>
                <w:sz w:val="20"/>
                <w:szCs w:val="20"/>
                <w:color w:val="auto"/>
              </w:rPr>
            </w:pPr>
            <w:r>
              <w:rPr>
                <w:rFonts w:ascii="Times New Roman" w:cs="Times New Roman" w:eastAsia="Times New Roman" w:hAnsi="Times New Roman"/>
                <w:sz w:val="13"/>
                <w:szCs w:val="13"/>
                <w:color w:val="auto"/>
              </w:rPr>
              <w:t>(Address of principal executive offices)</w:t>
            </w:r>
          </w:p>
        </w:tc>
        <w:tc>
          <w:tcPr>
            <w:tcW w:w="2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960" w:type="dxa"/>
            <w:vAlign w:val="bottom"/>
          </w:tcPr>
          <w:p>
            <w:pPr>
              <w:jc w:val="right"/>
              <w:ind w:right="2253"/>
              <w:spacing w:after="0"/>
              <w:rPr>
                <w:sz w:val="20"/>
                <w:szCs w:val="20"/>
                <w:color w:val="auto"/>
              </w:rPr>
            </w:pPr>
            <w:r>
              <w:rPr>
                <w:rFonts w:ascii="Times New Roman" w:cs="Times New Roman" w:eastAsia="Times New Roman" w:hAnsi="Times New Roman"/>
                <w:sz w:val="13"/>
                <w:szCs w:val="13"/>
                <w:color w:val="auto"/>
              </w:rPr>
              <w:t>(Zip Code)</w:t>
            </w:r>
          </w:p>
        </w:tc>
      </w:tr>
      <w:tr>
        <w:trPr>
          <w:trHeight w:val="237"/>
        </w:trPr>
        <w:tc>
          <w:tcPr>
            <w:tcW w:w="3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00" w:type="dxa"/>
            <w:vAlign w:val="bottom"/>
          </w:tcPr>
          <w:p>
            <w:pPr>
              <w:jc w:val="center"/>
              <w:ind w:left="670"/>
              <w:spacing w:after="0"/>
              <w:rPr>
                <w:sz w:val="20"/>
                <w:szCs w:val="20"/>
                <w:color w:val="auto"/>
              </w:rPr>
            </w:pPr>
            <w:r>
              <w:rPr>
                <w:rFonts w:ascii="Times New Roman" w:cs="Times New Roman" w:eastAsia="Times New Roman" w:hAnsi="Times New Roman"/>
                <w:sz w:val="13"/>
                <w:szCs w:val="13"/>
                <w:b w:val="1"/>
                <w:bCs w:val="1"/>
                <w:color w:val="auto"/>
              </w:rPr>
              <w:t>(914) 705-4000</w:t>
            </w:r>
          </w:p>
        </w:tc>
        <w:tc>
          <w:tcPr>
            <w:tcW w:w="1020" w:type="dxa"/>
            <w:vAlign w:val="bottom"/>
          </w:tcPr>
          <w:p>
            <w:pPr>
              <w:spacing w:after="0"/>
              <w:rPr>
                <w:sz w:val="20"/>
                <w:szCs w:val="20"/>
                <w:color w:val="auto"/>
              </w:rPr>
            </w:pPr>
          </w:p>
        </w:tc>
        <w:tc>
          <w:tcPr>
            <w:tcW w:w="3960" w:type="dxa"/>
            <w:vAlign w:val="bottom"/>
          </w:tcPr>
          <w:p>
            <w:pPr>
              <w:spacing w:after="0"/>
              <w:rPr>
                <w:sz w:val="20"/>
                <w:szCs w:val="20"/>
                <w:color w:val="auto"/>
              </w:rPr>
            </w:pPr>
          </w:p>
        </w:tc>
      </w:tr>
      <w:tr>
        <w:trPr>
          <w:trHeight w:val="173"/>
        </w:trPr>
        <w:tc>
          <w:tcPr>
            <w:tcW w:w="3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1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color w:val="auto"/>
              </w:rPr>
              <w:t>(Registrant's telephone number, including area code)</w:t>
            </w:r>
          </w:p>
        </w:tc>
        <w:tc>
          <w:tcPr>
            <w:tcW w:w="3960" w:type="dxa"/>
            <w:vAlign w:val="bottom"/>
          </w:tcPr>
          <w:p>
            <w:pPr>
              <w:spacing w:after="0"/>
              <w:rPr>
                <w:sz w:val="15"/>
                <w:szCs w:val="15"/>
                <w:color w:val="auto"/>
              </w:rPr>
            </w:pPr>
          </w:p>
        </w:tc>
      </w:tr>
      <w:tr>
        <w:trPr>
          <w:trHeight w:val="307"/>
        </w:trPr>
        <w:tc>
          <w:tcPr>
            <w:tcW w:w="3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1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Not Applicable</w:t>
            </w:r>
          </w:p>
        </w:tc>
        <w:tc>
          <w:tcPr>
            <w:tcW w:w="3960" w:type="dxa"/>
            <w:vAlign w:val="bottom"/>
          </w:tcPr>
          <w:p>
            <w:pPr>
              <w:spacing w:after="0"/>
              <w:rPr>
                <w:sz w:val="24"/>
                <w:szCs w:val="24"/>
                <w:color w:val="auto"/>
              </w:rPr>
            </w:pPr>
          </w:p>
        </w:tc>
      </w:tr>
      <w:tr>
        <w:trPr>
          <w:trHeight w:val="173"/>
        </w:trPr>
        <w:tc>
          <w:tcPr>
            <w:tcW w:w="11300" w:type="dxa"/>
            <w:vAlign w:val="bottom"/>
            <w:gridSpan w:val="5"/>
          </w:tcPr>
          <w:p>
            <w:pPr>
              <w:jc w:val="center"/>
              <w:spacing w:after="0"/>
              <w:rPr>
                <w:sz w:val="20"/>
                <w:szCs w:val="20"/>
                <w:color w:val="auto"/>
              </w:rPr>
            </w:pPr>
            <w:r>
              <w:rPr>
                <w:rFonts w:ascii="Times New Roman" w:cs="Times New Roman" w:eastAsia="Times New Roman" w:hAnsi="Times New Roman"/>
                <w:sz w:val="13"/>
                <w:szCs w:val="13"/>
                <w:color w:val="auto"/>
              </w:rPr>
              <w:t>(Former name, former address and former fiscal year, if changed since last report)</w:t>
            </w:r>
          </w:p>
        </w:tc>
      </w:tr>
      <w:tr>
        <w:trPr>
          <w:trHeight w:val="340"/>
        </w:trPr>
        <w:tc>
          <w:tcPr>
            <w:tcW w:w="42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tc>
        <w:tc>
          <w:tcPr>
            <w:tcW w:w="2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960" w:type="dxa"/>
            <w:vAlign w:val="bottom"/>
          </w:tcPr>
          <w:p>
            <w:pPr>
              <w:spacing w:after="0"/>
              <w:rPr>
                <w:sz w:val="24"/>
                <w:szCs w:val="24"/>
                <w:color w:val="auto"/>
              </w:rPr>
            </w:pPr>
          </w:p>
        </w:tc>
      </w:tr>
      <w:tr>
        <w:trPr>
          <w:trHeight w:val="90"/>
        </w:trPr>
        <w:tc>
          <w:tcPr>
            <w:tcW w:w="39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210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3960" w:type="dxa"/>
            <w:vAlign w:val="bottom"/>
            <w:tcBorders>
              <w:bottom w:val="single" w:sz="8" w:color="auto"/>
            </w:tcBorders>
          </w:tcPr>
          <w:p>
            <w:pPr>
              <w:spacing w:after="0"/>
              <w:rPr>
                <w:sz w:val="7"/>
                <w:szCs w:val="7"/>
                <w:color w:val="auto"/>
              </w:rPr>
            </w:pPr>
          </w:p>
        </w:tc>
      </w:tr>
      <w:tr>
        <w:trPr>
          <w:trHeight w:val="160"/>
        </w:trPr>
        <w:tc>
          <w:tcPr>
            <w:tcW w:w="39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Title of each class</w:t>
            </w:r>
          </w:p>
        </w:tc>
        <w:tc>
          <w:tcPr>
            <w:tcW w:w="300" w:type="dxa"/>
            <w:vAlign w:val="bottom"/>
            <w:tcBorders>
              <w:bottom w:val="single" w:sz="8" w:color="auto"/>
            </w:tcBorders>
          </w:tcPr>
          <w:p>
            <w:pPr>
              <w:spacing w:after="0"/>
              <w:rPr>
                <w:sz w:val="13"/>
                <w:szCs w:val="13"/>
                <w:color w:val="auto"/>
              </w:rPr>
            </w:pPr>
          </w:p>
        </w:tc>
        <w:tc>
          <w:tcPr>
            <w:tcW w:w="2100" w:type="dxa"/>
            <w:vAlign w:val="bottom"/>
            <w:tcBorders>
              <w:bottom w:val="single" w:sz="8" w:color="auto"/>
              <w:right w:val="single" w:sz="8" w:color="auto"/>
            </w:tcBorders>
          </w:tcPr>
          <w:p>
            <w:pPr>
              <w:jc w:val="center"/>
              <w:ind w:right="250"/>
              <w:spacing w:after="0"/>
              <w:rPr>
                <w:sz w:val="20"/>
                <w:szCs w:val="20"/>
                <w:color w:val="auto"/>
              </w:rPr>
            </w:pPr>
            <w:r>
              <w:rPr>
                <w:rFonts w:ascii="Times New Roman" w:cs="Times New Roman" w:eastAsia="Times New Roman" w:hAnsi="Times New Roman"/>
                <w:sz w:val="13"/>
                <w:szCs w:val="13"/>
                <w:color w:val="auto"/>
              </w:rPr>
              <w:t>Trading Symbol(s)</w:t>
            </w:r>
          </w:p>
        </w:tc>
        <w:tc>
          <w:tcPr>
            <w:tcW w:w="1020" w:type="dxa"/>
            <w:vAlign w:val="bottom"/>
            <w:tcBorders>
              <w:bottom w:val="single" w:sz="8" w:color="auto"/>
            </w:tcBorders>
          </w:tcPr>
          <w:p>
            <w:pPr>
              <w:spacing w:after="0"/>
              <w:rPr>
                <w:sz w:val="13"/>
                <w:szCs w:val="13"/>
                <w:color w:val="auto"/>
              </w:rPr>
            </w:pPr>
          </w:p>
        </w:tc>
        <w:tc>
          <w:tcPr>
            <w:tcW w:w="3960" w:type="dxa"/>
            <w:vAlign w:val="bottom"/>
            <w:tcBorders>
              <w:bottom w:val="single" w:sz="8" w:color="auto"/>
              <w:right w:val="single" w:sz="8" w:color="auto"/>
            </w:tcBorders>
          </w:tcPr>
          <w:p>
            <w:pPr>
              <w:jc w:val="right"/>
              <w:ind w:right="1253"/>
              <w:spacing w:after="0"/>
              <w:rPr>
                <w:sz w:val="20"/>
                <w:szCs w:val="20"/>
                <w:color w:val="auto"/>
              </w:rPr>
            </w:pPr>
            <w:r>
              <w:rPr>
                <w:rFonts w:ascii="Times New Roman" w:cs="Times New Roman" w:eastAsia="Times New Roman" w:hAnsi="Times New Roman"/>
                <w:sz w:val="13"/>
                <w:szCs w:val="13"/>
                <w:color w:val="auto"/>
              </w:rPr>
              <w:t>Name of each exchange on which registered</w:t>
            </w:r>
          </w:p>
        </w:tc>
      </w:tr>
      <w:tr>
        <w:trPr>
          <w:trHeight w:val="175"/>
        </w:trPr>
        <w:tc>
          <w:tcPr>
            <w:tcW w:w="39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Class A Common Stock, par value $0.0001 per share</w:t>
            </w:r>
          </w:p>
        </w:tc>
        <w:tc>
          <w:tcPr>
            <w:tcW w:w="300" w:type="dxa"/>
            <w:vAlign w:val="bottom"/>
            <w:tcBorders>
              <w:bottom w:val="single" w:sz="8" w:color="auto"/>
            </w:tcBorders>
          </w:tcPr>
          <w:p>
            <w:pPr>
              <w:spacing w:after="0"/>
              <w:rPr>
                <w:sz w:val="15"/>
                <w:szCs w:val="15"/>
                <w:color w:val="auto"/>
              </w:rPr>
            </w:pPr>
          </w:p>
        </w:tc>
        <w:tc>
          <w:tcPr>
            <w:tcW w:w="2100" w:type="dxa"/>
            <w:vAlign w:val="bottom"/>
            <w:tcBorders>
              <w:bottom w:val="single" w:sz="8" w:color="auto"/>
              <w:right w:val="single" w:sz="8" w:color="auto"/>
            </w:tcBorders>
          </w:tcPr>
          <w:p>
            <w:pPr>
              <w:jc w:val="center"/>
              <w:ind w:right="250"/>
              <w:spacing w:after="0"/>
              <w:rPr>
                <w:sz w:val="20"/>
                <w:szCs w:val="20"/>
                <w:color w:val="auto"/>
              </w:rPr>
            </w:pPr>
            <w:r>
              <w:rPr>
                <w:rFonts w:ascii="Times New Roman" w:cs="Times New Roman" w:eastAsia="Times New Roman" w:hAnsi="Times New Roman"/>
                <w:sz w:val="13"/>
                <w:szCs w:val="13"/>
                <w:color w:val="auto"/>
              </w:rPr>
              <w:t>OPAL</w:t>
            </w:r>
          </w:p>
        </w:tc>
        <w:tc>
          <w:tcPr>
            <w:tcW w:w="1020" w:type="dxa"/>
            <w:vAlign w:val="bottom"/>
            <w:tcBorders>
              <w:bottom w:val="single" w:sz="8" w:color="auto"/>
            </w:tcBorders>
          </w:tcPr>
          <w:p>
            <w:pPr>
              <w:spacing w:after="0"/>
              <w:rPr>
                <w:sz w:val="15"/>
                <w:szCs w:val="15"/>
                <w:color w:val="auto"/>
              </w:rPr>
            </w:pPr>
          </w:p>
        </w:tc>
        <w:tc>
          <w:tcPr>
            <w:tcW w:w="3960" w:type="dxa"/>
            <w:vAlign w:val="bottom"/>
            <w:tcBorders>
              <w:bottom w:val="single" w:sz="8" w:color="auto"/>
              <w:right w:val="single" w:sz="8" w:color="auto"/>
            </w:tcBorders>
          </w:tcPr>
          <w:p>
            <w:pPr>
              <w:jc w:val="right"/>
              <w:ind w:right="1593"/>
              <w:spacing w:after="0"/>
              <w:rPr>
                <w:sz w:val="20"/>
                <w:szCs w:val="20"/>
                <w:color w:val="auto"/>
              </w:rPr>
            </w:pPr>
            <w:r>
              <w:rPr>
                <w:rFonts w:ascii="Times New Roman" w:cs="Times New Roman" w:eastAsia="Times New Roman" w:hAnsi="Times New Roman"/>
                <w:sz w:val="13"/>
                <w:szCs w:val="13"/>
                <w:color w:val="auto"/>
              </w:rPr>
              <w:t>The Nasdaq Stock Market LLC</w:t>
            </w:r>
          </w:p>
        </w:tc>
      </w:tr>
    </w:tbl>
    <w:p>
      <w:pPr>
        <w:spacing w:after="0" w:line="227" w:lineRule="exact"/>
        <w:rPr>
          <w:sz w:val="24"/>
          <w:szCs w:val="24"/>
          <w:color w:val="auto"/>
        </w:rPr>
      </w:pPr>
    </w:p>
    <w:p>
      <w:pPr>
        <w:ind w:right="360"/>
        <w:spacing w:after="0" w:line="17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48" w:lineRule="exact"/>
        <w:rPr>
          <w:sz w:val="24"/>
          <w:szCs w:val="24"/>
          <w:color w:val="auto"/>
        </w:rPr>
      </w:pPr>
    </w:p>
    <w:p>
      <w:pPr>
        <w:ind w:right="20"/>
        <w:spacing w:after="0" w:line="17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48" w:lineRule="exact"/>
        <w:rPr>
          <w:sz w:val="24"/>
          <w:szCs w:val="24"/>
          <w:color w:val="auto"/>
        </w:rPr>
      </w:pPr>
    </w:p>
    <w:p>
      <w:pPr>
        <w:ind w:right="20"/>
        <w:spacing w:after="0" w:line="294"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700" w:type="dxa"/>
            <w:vAlign w:val="bottom"/>
          </w:tcPr>
          <w:p>
            <w:pPr>
              <w:jc w:val="center"/>
              <w:ind w:right="93"/>
              <w:spacing w:after="0"/>
              <w:rPr>
                <w:sz w:val="20"/>
                <w:szCs w:val="20"/>
                <w:color w:val="auto"/>
              </w:rPr>
            </w:pPr>
            <w:r>
              <w:rPr>
                <w:rFonts w:ascii="Times New Roman" w:cs="Times New Roman" w:eastAsia="Times New Roman" w:hAnsi="Times New Roman"/>
                <w:sz w:val="13"/>
                <w:szCs w:val="13"/>
                <w:color w:val="auto"/>
              </w:rPr>
              <w:t>Large accelerated filer</w:t>
            </w:r>
          </w:p>
        </w:tc>
        <w:tc>
          <w:tcPr>
            <w:tcW w:w="1540" w:type="dxa"/>
            <w:vAlign w:val="bottom"/>
          </w:tcPr>
          <w:p>
            <w:pPr>
              <w:ind w:left="820"/>
              <w:spacing w:after="0" w:line="131" w:lineRule="exact"/>
              <w:rPr>
                <w:sz w:val="20"/>
                <w:szCs w:val="20"/>
                <w:color w:val="auto"/>
              </w:rPr>
            </w:pPr>
            <w:r>
              <w:rPr>
                <w:rFonts w:ascii="MS PGothic" w:cs="MS PGothic" w:eastAsia="MS PGothic" w:hAnsi="MS PGothic"/>
                <w:sz w:val="13"/>
                <w:szCs w:val="13"/>
                <w:color w:val="auto"/>
              </w:rPr>
              <w:t>☐</w:t>
            </w:r>
          </w:p>
        </w:tc>
        <w:tc>
          <w:tcPr>
            <w:tcW w:w="3020" w:type="dxa"/>
            <w:vAlign w:val="bottom"/>
          </w:tcPr>
          <w:p>
            <w:pPr>
              <w:ind w:left="620"/>
              <w:spacing w:after="0"/>
              <w:rPr>
                <w:sz w:val="20"/>
                <w:szCs w:val="20"/>
                <w:color w:val="auto"/>
              </w:rPr>
            </w:pPr>
            <w:r>
              <w:rPr>
                <w:rFonts w:ascii="Times New Roman" w:cs="Times New Roman" w:eastAsia="Times New Roman" w:hAnsi="Times New Roman"/>
                <w:sz w:val="13"/>
                <w:szCs w:val="13"/>
                <w:color w:val="auto"/>
              </w:rPr>
              <w:t>Accelerated filer</w:t>
            </w:r>
          </w:p>
        </w:tc>
        <w:tc>
          <w:tcPr>
            <w:tcW w:w="4020" w:type="dxa"/>
            <w:vAlign w:val="bottom"/>
          </w:tcPr>
          <w:p>
            <w:pPr>
              <w:ind w:left="920"/>
              <w:spacing w:after="0" w:line="131" w:lineRule="exact"/>
              <w:rPr>
                <w:sz w:val="20"/>
                <w:szCs w:val="20"/>
                <w:color w:val="auto"/>
              </w:rPr>
            </w:pPr>
            <w:r>
              <w:rPr>
                <w:rFonts w:ascii="MS PGothic" w:cs="MS PGothic" w:eastAsia="MS PGothic" w:hAnsi="MS PGothic"/>
                <w:sz w:val="13"/>
                <w:szCs w:val="13"/>
                <w:color w:val="auto"/>
              </w:rPr>
              <w:t>☒</w:t>
            </w:r>
          </w:p>
        </w:tc>
      </w:tr>
      <w:tr>
        <w:trPr>
          <w:trHeight w:val="230"/>
        </w:trPr>
        <w:tc>
          <w:tcPr>
            <w:tcW w:w="2700" w:type="dxa"/>
            <w:vAlign w:val="bottom"/>
          </w:tcPr>
          <w:p>
            <w:pPr>
              <w:jc w:val="center"/>
              <w:ind w:right="113"/>
              <w:spacing w:after="0"/>
              <w:rPr>
                <w:sz w:val="20"/>
                <w:szCs w:val="20"/>
                <w:color w:val="auto"/>
              </w:rPr>
            </w:pPr>
            <w:r>
              <w:rPr>
                <w:rFonts w:ascii="Times New Roman" w:cs="Times New Roman" w:eastAsia="Times New Roman" w:hAnsi="Times New Roman"/>
                <w:sz w:val="13"/>
                <w:szCs w:val="13"/>
                <w:color w:val="auto"/>
              </w:rPr>
              <w:t>Non-accelerated filer</w:t>
            </w:r>
          </w:p>
        </w:tc>
        <w:tc>
          <w:tcPr>
            <w:tcW w:w="1540" w:type="dxa"/>
            <w:vAlign w:val="bottom"/>
          </w:tcPr>
          <w:p>
            <w:pPr>
              <w:ind w:left="820"/>
              <w:spacing w:after="0" w:line="131" w:lineRule="exact"/>
              <w:rPr>
                <w:sz w:val="20"/>
                <w:szCs w:val="20"/>
                <w:color w:val="auto"/>
              </w:rPr>
            </w:pPr>
            <w:r>
              <w:rPr>
                <w:rFonts w:ascii="MS PGothic" w:cs="MS PGothic" w:eastAsia="MS PGothic" w:hAnsi="MS PGothic"/>
                <w:sz w:val="13"/>
                <w:szCs w:val="13"/>
                <w:color w:val="auto"/>
              </w:rPr>
              <w:t>☐</w:t>
            </w:r>
          </w:p>
        </w:tc>
        <w:tc>
          <w:tcPr>
            <w:tcW w:w="3020" w:type="dxa"/>
            <w:vAlign w:val="bottom"/>
          </w:tcPr>
          <w:p>
            <w:pPr>
              <w:ind w:left="62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4020" w:type="dxa"/>
            <w:vAlign w:val="bottom"/>
          </w:tcPr>
          <w:p>
            <w:pPr>
              <w:ind w:left="920"/>
              <w:spacing w:after="0" w:line="131" w:lineRule="exact"/>
              <w:rPr>
                <w:sz w:val="20"/>
                <w:szCs w:val="20"/>
                <w:color w:val="auto"/>
              </w:rPr>
            </w:pPr>
            <w:r>
              <w:rPr>
                <w:rFonts w:ascii="MS PGothic" w:cs="MS PGothic" w:eastAsia="MS PGothic" w:hAnsi="MS PGothic"/>
                <w:sz w:val="13"/>
                <w:szCs w:val="13"/>
                <w:color w:val="auto"/>
              </w:rPr>
              <w:t>☒</w:t>
            </w:r>
          </w:p>
        </w:tc>
      </w:tr>
      <w:tr>
        <w:trPr>
          <w:trHeight w:val="234"/>
        </w:trPr>
        <w:tc>
          <w:tcPr>
            <w:tcW w:w="27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020" w:type="dxa"/>
            <w:vAlign w:val="bottom"/>
          </w:tcPr>
          <w:p>
            <w:pPr>
              <w:ind w:left="620"/>
              <w:spacing w:after="0"/>
              <w:rPr>
                <w:sz w:val="20"/>
                <w:szCs w:val="20"/>
                <w:color w:val="auto"/>
              </w:rPr>
            </w:pPr>
            <w:r>
              <w:rPr>
                <w:rFonts w:ascii="Times New Roman" w:cs="Times New Roman" w:eastAsia="Times New Roman" w:hAnsi="Times New Roman"/>
                <w:sz w:val="13"/>
                <w:szCs w:val="13"/>
                <w:color w:val="auto"/>
              </w:rPr>
              <w:t>Emerging growth company</w:t>
            </w:r>
          </w:p>
        </w:tc>
        <w:tc>
          <w:tcPr>
            <w:tcW w:w="4020" w:type="dxa"/>
            <w:vAlign w:val="bottom"/>
          </w:tcPr>
          <w:p>
            <w:pPr>
              <w:ind w:left="920"/>
              <w:spacing w:after="0" w:line="131" w:lineRule="exact"/>
              <w:rPr>
                <w:sz w:val="20"/>
                <w:szCs w:val="20"/>
                <w:color w:val="auto"/>
              </w:rPr>
            </w:pPr>
            <w:r>
              <w:rPr>
                <w:rFonts w:ascii="MS PGothic" w:cs="MS PGothic" w:eastAsia="MS PGothic" w:hAnsi="MS PGothic"/>
                <w:sz w:val="13"/>
                <w:szCs w:val="13"/>
                <w:color w:val="auto"/>
              </w:rPr>
              <w:t>☒</w:t>
            </w:r>
          </w:p>
        </w:tc>
      </w:tr>
      <w:tr>
        <w:trPr>
          <w:trHeight w:val="831"/>
        </w:trPr>
        <w:tc>
          <w:tcPr>
            <w:tcW w:w="270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3020" w:type="dxa"/>
            <w:vAlign w:val="bottom"/>
            <w:tcBorders>
              <w:bottom w:val="single" w:sz="8" w:color="9A9A9A"/>
            </w:tcBorders>
          </w:tcPr>
          <w:p>
            <w:pPr>
              <w:spacing w:after="0"/>
              <w:rPr>
                <w:sz w:val="24"/>
                <w:szCs w:val="24"/>
                <w:color w:val="auto"/>
              </w:rPr>
            </w:pPr>
          </w:p>
        </w:tc>
        <w:tc>
          <w:tcPr>
            <w:tcW w:w="40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7148830</wp:posOffset>
            </wp:positionH>
            <wp:positionV relativeFrom="paragraph">
              <wp:posOffset>-24765</wp:posOffset>
            </wp:positionV>
            <wp:extent cx="31750"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1750" cy="3810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-24765</wp:posOffset>
            </wp:positionV>
            <wp:extent cx="31750"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750" cy="38100"/>
                    </a:xfrm>
                    <a:prstGeom prst="rect">
                      <a:avLst/>
                    </a:prstGeom>
                    <a:noFill/>
                  </pic:spPr>
                </pic:pic>
              </a:graphicData>
            </a:graphic>
          </wp:anchor>
        </w:drawing>
      </w:r>
    </w:p>
    <w:p>
      <w:pPr>
        <w:sectPr>
          <w:pgSz w:w="11900" w:h="16838" w:orient="portrait"/>
          <w:cols w:equalWidth="0" w:num="1">
            <w:col w:w="11300"/>
          </w:cols>
          <w:pgMar w:left="300" w:top="1104" w:right="299" w:bottom="1440" w:gutter="0" w:footer="0" w:header="0"/>
        </w:sectPr>
      </w:pPr>
    </w:p>
    <w:bookmarkStart w:id="1" w:name="page2"/>
    <w:bookmarkEnd w:id="1"/>
    <w:p>
      <w:pPr>
        <w:ind w:right="360"/>
        <w:spacing w:after="0" w:line="267" w:lineRule="auto"/>
        <w:rPr>
          <w:sz w:val="20"/>
          <w:szCs w:val="20"/>
          <w:color w:val="auto"/>
        </w:rPr>
      </w:pPr>
      <w:r>
        <w:rPr>
          <w:rFonts w:ascii="Times New Roman" w:cs="Times New Roman" w:eastAsia="Times New Roman" w:hAnsi="Times New Roman"/>
          <w:sz w:val="13"/>
          <w:szCs w:val="13"/>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jc w:val="right"/>
        <w:spacing w:after="0" w:line="131" w:lineRule="exact"/>
        <w:rPr>
          <w:sz w:val="20"/>
          <w:szCs w:val="20"/>
          <w:color w:val="auto"/>
        </w:rPr>
      </w:pPr>
      <w:r>
        <w:rPr>
          <w:rFonts w:ascii="MS PGothic" w:cs="MS PGothic" w:eastAsia="MS PGothic" w:hAnsi="MS PGothic"/>
          <w:sz w:val="13"/>
          <w:szCs w:val="13"/>
          <w:color w:val="auto"/>
        </w:rPr>
        <w:t>☐</w:t>
      </w:r>
    </w:p>
    <w:p>
      <w:pPr>
        <w:spacing w:after="0" w:line="56" w:lineRule="exact"/>
        <w:rPr>
          <w:sz w:val="20"/>
          <w:szCs w:val="20"/>
          <w:color w:val="auto"/>
        </w:rPr>
      </w:pPr>
    </w:p>
    <w:p>
      <w:pPr>
        <w:spacing w:after="0" w:line="150" w:lineRule="exact"/>
        <w:tabs>
          <w:tab w:leader="none" w:pos="6200" w:val="left"/>
          <w:tab w:leader="none" w:pos="6780" w:val="left"/>
        </w:tabs>
        <w:rPr>
          <w:sz w:val="20"/>
          <w:szCs w:val="20"/>
          <w:color w:val="auto"/>
        </w:rPr>
      </w:pPr>
      <w:r>
        <w:rPr>
          <w:rFonts w:ascii="Times New Roman" w:cs="Times New Roman" w:eastAsia="Times New Roman" w:hAnsi="Times New Roman"/>
          <w:sz w:val="13"/>
          <w:szCs w:val="13"/>
          <w:color w:val="auto"/>
        </w:rPr>
        <w:t>Indicate by check mark whether the registrant is a shell company (as defined in Rule 12b-2 of the Exchange Act).</w:t>
        <w:tab/>
        <w:t xml:space="preserve">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ab/>
        <w:t xml:space="preserve">No </w:t>
      </w:r>
      <w:r>
        <w:rPr>
          <w:rFonts w:ascii="MS PGothic" w:cs="MS PGothic" w:eastAsia="MS PGothic" w:hAnsi="MS PGothic"/>
          <w:sz w:val="13"/>
          <w:szCs w:val="13"/>
          <w:color w:val="auto"/>
        </w:rPr>
        <w:t>☒</w:t>
      </w:r>
    </w:p>
    <w:p>
      <w:pPr>
        <w:spacing w:after="0" w:line="354"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3"/>
          <w:szCs w:val="13"/>
          <w:color w:val="auto"/>
        </w:rPr>
        <w:t>As of May 9, 2024</w:t>
      </w:r>
      <w:r>
        <w:rPr>
          <w:rFonts w:ascii="Times New Roman" w:cs="Times New Roman" w:eastAsia="Times New Roman" w:hAnsi="Times New Roman"/>
          <w:sz w:val="16"/>
          <w:szCs w:val="16"/>
          <w:color w:val="auto"/>
        </w:rPr>
        <w:t>,</w:t>
      </w:r>
      <w:r>
        <w:rPr>
          <w:rFonts w:ascii="Times New Roman" w:cs="Times New Roman" w:eastAsia="Times New Roman" w:hAnsi="Times New Roman"/>
          <w:sz w:val="13"/>
          <w:szCs w:val="13"/>
          <w:color w:val="auto"/>
        </w:rPr>
        <w:t xml:space="preserve"> a total of 28,386,505 shares of Class A common stock, par value $0.0001 per share, and 71,500,000 shares of Class B common stock, par value of $0.0001 per share and 72,899,037 shares of Class D common stock, par value $0.0001 per share were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705485</wp:posOffset>
            </wp:positionV>
            <wp:extent cx="7193280"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93280" cy="381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139700</wp:posOffset>
            </wp:positionV>
            <wp:extent cx="7167880" cy="127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7880" cy="12700"/>
                    </a:xfrm>
                    <a:prstGeom prst="rect">
                      <a:avLst/>
                    </a:prstGeom>
                    <a:noFill/>
                  </pic:spPr>
                </pic:pic>
              </a:graphicData>
            </a:graphic>
          </wp:anchor>
        </w:drawing>
      </w:r>
    </w:p>
    <w:p>
      <w:pPr>
        <w:sectPr>
          <w:pgSz w:w="11900" w:h="16838" w:orient="portrait"/>
          <w:cols w:equalWidth="0" w:num="1">
            <w:col w:w="11280"/>
          </w:cols>
          <w:pgMar w:left="300" w:top="697" w:right="3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3"/>
          <w:szCs w:val="13"/>
          <w:b w:val="1"/>
          <w:bCs w:val="1"/>
          <w:color w:val="auto"/>
        </w:rPr>
        <w:t>CAUTIONARY NOTE REGARDING FORWARD-LOOKING STATEMENTS</w:t>
      </w:r>
    </w:p>
    <w:p>
      <w:pPr>
        <w:spacing w:after="0" w:line="185" w:lineRule="exact"/>
        <w:rPr>
          <w:sz w:val="20"/>
          <w:szCs w:val="20"/>
          <w:color w:val="auto"/>
        </w:rPr>
      </w:pPr>
    </w:p>
    <w:p>
      <w:pPr>
        <w:jc w:val="both"/>
        <w:ind w:firstLine="480"/>
        <w:spacing w:after="0" w:line="258" w:lineRule="auto"/>
        <w:rPr>
          <w:sz w:val="20"/>
          <w:szCs w:val="20"/>
          <w:color w:val="auto"/>
        </w:rPr>
      </w:pPr>
      <w:r>
        <w:rPr>
          <w:rFonts w:ascii="Times New Roman" w:cs="Times New Roman" w:eastAsia="Times New Roman" w:hAnsi="Times New Roman"/>
          <w:sz w:val="13"/>
          <w:szCs w:val="13"/>
          <w:color w:val="auto"/>
        </w:rPr>
        <w:t>This Quarterly Report on Form 10-Q contains forward-looking statements within the meaning of the Private Securities Litigation Reform Act of 1995, that involve risks and uncertainties. All statements other than statements of historical facts contained in this Quarterly Report on Form 10-Q, including statements regarding our future results of operations or financial condition, business strategy and plans and objectives of management for future operations, are forward-looking statements. Words such as “anticipates,” “believes,” “estimates,” “expects,” “forecasts,” “future,” “goal,” “intends,” “may,” “objective,” “outlook,” “plans,” “projected,” “propose,” “seeks,” “target,” “will,” “would” and variations of these words or similar expressions (or the negative versions of such words or expressions) are intended to identify forward-looking statements. These forward-looking statements are not guarantees of future performance, conditions or results, and involve a number of known and unknown risks, uncertainties, assumptions and other important factors, many of which are outside our control, that could cause actual results or outcomes to differ materially from those discussed in the forward-looking statements. Important factors, among others, that may affect actual results or outcomes include:</w:t>
      </w:r>
    </w:p>
    <w:p>
      <w:pPr>
        <w:spacing w:after="0" w:line="5" w:lineRule="exact"/>
        <w:rPr>
          <w:sz w:val="20"/>
          <w:szCs w:val="20"/>
          <w:color w:val="auto"/>
        </w:rPr>
      </w:pPr>
    </w:p>
    <w:p>
      <w:pPr>
        <w:ind w:left="480" w:hanging="240"/>
        <w:spacing w:after="0"/>
        <w:tabs>
          <w:tab w:leader="none" w:pos="480" w:val="left"/>
        </w:tabs>
        <w:numPr>
          <w:ilvl w:val="0"/>
          <w:numId w:val="3"/>
        </w:numPr>
        <w:rPr>
          <w:rFonts w:ascii="Arial" w:cs="Arial" w:eastAsia="Arial" w:hAnsi="Arial"/>
          <w:sz w:val="16"/>
          <w:szCs w:val="16"/>
          <w:color w:val="auto"/>
        </w:rPr>
      </w:pPr>
      <w:r>
        <w:rPr>
          <w:rFonts w:ascii="Times New Roman" w:cs="Times New Roman" w:eastAsia="Times New Roman" w:hAnsi="Times New Roman"/>
          <w:sz w:val="13"/>
          <w:szCs w:val="13"/>
          <w:color w:val="auto"/>
        </w:rPr>
        <w:t>our ability to grow and manage growth profitably, and maintain relationships with customers and suppliers;</w:t>
      </w:r>
    </w:p>
    <w:p>
      <w:pPr>
        <w:spacing w:after="0" w:line="10" w:lineRule="exact"/>
        <w:rPr>
          <w:rFonts w:ascii="Arial" w:cs="Arial" w:eastAsia="Arial" w:hAnsi="Arial"/>
          <w:sz w:val="16"/>
          <w:szCs w:val="16"/>
          <w:color w:val="auto"/>
        </w:rPr>
      </w:pPr>
    </w:p>
    <w:p>
      <w:pPr>
        <w:ind w:left="520" w:hanging="280"/>
        <w:spacing w:after="0"/>
        <w:tabs>
          <w:tab w:leader="none" w:pos="5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success in retaining or recruiting, our principal officers, key employees or directors;</w:t>
      </w:r>
    </w:p>
    <w:p>
      <w:pPr>
        <w:spacing w:after="0" w:line="10" w:lineRule="exact"/>
        <w:rPr>
          <w:rFonts w:ascii="Times New Roman" w:cs="Times New Roman" w:eastAsia="Times New Roman" w:hAnsi="Times New Roman"/>
          <w:sz w:val="13"/>
          <w:szCs w:val="13"/>
          <w:color w:val="auto"/>
        </w:rPr>
      </w:pPr>
    </w:p>
    <w:p>
      <w:pPr>
        <w:ind w:left="480" w:hanging="240"/>
        <w:spacing w:after="0" w:line="221" w:lineRule="auto"/>
        <w:tabs>
          <w:tab w:leader="none" w:pos="4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3"/>
          <w:szCs w:val="13"/>
          <w:color w:val="auto"/>
        </w:rPr>
        <w:t>intense competition and competitive pressures from other companies in the industry in which we operate;</w:t>
      </w:r>
    </w:p>
    <w:p>
      <w:pPr>
        <w:spacing w:after="0" w:line="8" w:lineRule="exact"/>
        <w:rPr>
          <w:rFonts w:ascii="Times New Roman" w:cs="Times New Roman" w:eastAsia="Times New Roman" w:hAnsi="Times New Roman"/>
          <w:sz w:val="16"/>
          <w:szCs w:val="16"/>
          <w:color w:val="auto"/>
        </w:rPr>
      </w:pPr>
    </w:p>
    <w:p>
      <w:pPr>
        <w:ind w:left="480" w:right="20" w:hanging="240"/>
        <w:spacing w:after="0" w:line="246" w:lineRule="auto"/>
        <w:tabs>
          <w:tab w:leader="none" w:pos="477" w:val="left"/>
        </w:tabs>
        <w:numPr>
          <w:ilvl w:val="0"/>
          <w:numId w:val="3"/>
        </w:numPr>
        <w:rPr>
          <w:rFonts w:ascii="Arial" w:cs="Arial" w:eastAsia="Arial" w:hAnsi="Arial"/>
          <w:sz w:val="16"/>
          <w:szCs w:val="16"/>
          <w:color w:val="auto"/>
        </w:rPr>
      </w:pPr>
      <w:r>
        <w:rPr>
          <w:rFonts w:ascii="Times New Roman" w:cs="Times New Roman" w:eastAsia="Times New Roman" w:hAnsi="Times New Roman"/>
          <w:sz w:val="13"/>
          <w:szCs w:val="13"/>
          <w:color w:val="auto"/>
        </w:rPr>
        <w:t>increased costs of, or delays in obtaining, key components or labor for the construction and completion of landfill gas ("LFG") and livestock waste projects that generate electricity and renewable natural gas (“RNG”), compressed natural gas (“CNG”) and hydrogen dispensing stations;</w:t>
      </w:r>
    </w:p>
    <w:p>
      <w:pPr>
        <w:ind w:left="480" w:hanging="240"/>
        <w:spacing w:after="0" w:line="221" w:lineRule="auto"/>
        <w:tabs>
          <w:tab w:leader="none" w:pos="480" w:val="left"/>
        </w:tabs>
        <w:numPr>
          <w:ilvl w:val="0"/>
          <w:numId w:val="3"/>
        </w:numPr>
        <w:rPr>
          <w:rFonts w:ascii="Arial" w:cs="Arial" w:eastAsia="Arial" w:hAnsi="Arial"/>
          <w:sz w:val="16"/>
          <w:szCs w:val="16"/>
          <w:color w:val="auto"/>
        </w:rPr>
      </w:pPr>
      <w:r>
        <w:rPr>
          <w:rFonts w:ascii="Times New Roman" w:cs="Times New Roman" w:eastAsia="Times New Roman" w:hAnsi="Times New Roman"/>
          <w:sz w:val="13"/>
          <w:szCs w:val="13"/>
          <w:color w:val="auto"/>
        </w:rPr>
        <w:t>factors relating to our business, operations and financial performance, including market conditions and global and economic factors beyond our control;</w:t>
      </w:r>
    </w:p>
    <w:p>
      <w:pPr>
        <w:spacing w:after="0" w:line="10" w:lineRule="exact"/>
        <w:rPr>
          <w:rFonts w:ascii="Arial" w:cs="Arial" w:eastAsia="Arial" w:hAnsi="Arial"/>
          <w:sz w:val="16"/>
          <w:szCs w:val="16"/>
          <w:color w:val="auto"/>
        </w:rPr>
      </w:pPr>
    </w:p>
    <w:p>
      <w:pPr>
        <w:ind w:left="480" w:hanging="240"/>
        <w:spacing w:after="0" w:line="234" w:lineRule="auto"/>
        <w:tabs>
          <w:tab w:leader="none" w:pos="4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3"/>
          <w:szCs w:val="13"/>
          <w:color w:val="auto"/>
        </w:rPr>
        <w:t>the reduction or elimination of government economic incentives to the renewable energy market;</w:t>
      </w:r>
    </w:p>
    <w:p>
      <w:pPr>
        <w:spacing w:after="0" w:line="8" w:lineRule="exact"/>
        <w:rPr>
          <w:rFonts w:ascii="Times New Roman" w:cs="Times New Roman" w:eastAsia="Times New Roman" w:hAnsi="Times New Roman"/>
          <w:sz w:val="16"/>
          <w:szCs w:val="16"/>
          <w:color w:val="auto"/>
        </w:rPr>
      </w:pPr>
    </w:p>
    <w:p>
      <w:pPr>
        <w:ind w:left="480" w:right="20" w:hanging="240"/>
        <w:spacing w:after="0" w:line="244" w:lineRule="auto"/>
        <w:tabs>
          <w:tab w:leader="none" w:pos="477" w:val="left"/>
        </w:tabs>
        <w:numPr>
          <w:ilvl w:val="0"/>
          <w:numId w:val="3"/>
        </w:numPr>
        <w:rPr>
          <w:rFonts w:ascii="Arial" w:cs="Arial" w:eastAsia="Arial" w:hAnsi="Arial"/>
          <w:sz w:val="16"/>
          <w:szCs w:val="16"/>
          <w:color w:val="auto"/>
        </w:rPr>
      </w:pPr>
      <w:r>
        <w:rPr>
          <w:rFonts w:ascii="Times New Roman" w:cs="Times New Roman" w:eastAsia="Times New Roman" w:hAnsi="Times New Roman"/>
          <w:sz w:val="13"/>
          <w:szCs w:val="13"/>
          <w:color w:val="auto"/>
        </w:rPr>
        <w:t>factors associated with companies that are engaged in the production and integration of RNG, including (i) anticipated trends, growth rates and challenges in those businesses and in the markets in which they operate, (ii) contractual arrangements with, and the cooperation of, owners and operators of the landfill and livestock biogas conversion project facilities, on which we operate our LFG and livestock waste projects that generate electricity and (iii) RNG prices for Environmental Attributes (as defined below), low carbon fuel standard ("LCFS") credits and other incentives;</w:t>
      </w:r>
    </w:p>
    <w:p>
      <w:pPr>
        <w:spacing w:after="0" w:line="1" w:lineRule="exact"/>
        <w:rPr>
          <w:rFonts w:ascii="Arial" w:cs="Arial" w:eastAsia="Arial" w:hAnsi="Arial"/>
          <w:sz w:val="16"/>
          <w:szCs w:val="16"/>
          <w:color w:val="auto"/>
        </w:rPr>
      </w:pPr>
    </w:p>
    <w:p>
      <w:pPr>
        <w:ind w:left="480" w:hanging="240"/>
        <w:spacing w:after="0" w:line="221" w:lineRule="auto"/>
        <w:tabs>
          <w:tab w:leader="none" w:pos="480" w:val="left"/>
        </w:tabs>
        <w:numPr>
          <w:ilvl w:val="0"/>
          <w:numId w:val="3"/>
        </w:numPr>
        <w:rPr>
          <w:rFonts w:ascii="Arial" w:cs="Arial" w:eastAsia="Arial" w:hAnsi="Arial"/>
          <w:sz w:val="16"/>
          <w:szCs w:val="16"/>
          <w:color w:val="auto"/>
        </w:rPr>
      </w:pPr>
      <w:r>
        <w:rPr>
          <w:rFonts w:ascii="Times New Roman" w:cs="Times New Roman" w:eastAsia="Times New Roman" w:hAnsi="Times New Roman"/>
          <w:sz w:val="13"/>
          <w:szCs w:val="13"/>
          <w:color w:val="auto"/>
        </w:rPr>
        <w:t>the ability to identify, acquire, develop and operate renewable projects and fueling stations ("Fueling Stations");</w:t>
      </w:r>
    </w:p>
    <w:p>
      <w:pPr>
        <w:spacing w:after="0" w:line="10" w:lineRule="exact"/>
        <w:rPr>
          <w:rFonts w:ascii="Arial" w:cs="Arial" w:eastAsia="Arial" w:hAnsi="Arial"/>
          <w:sz w:val="16"/>
          <w:szCs w:val="16"/>
          <w:color w:val="auto"/>
        </w:rPr>
      </w:pPr>
    </w:p>
    <w:p>
      <w:pPr>
        <w:ind w:left="480" w:hanging="240"/>
        <w:spacing w:after="0" w:line="221" w:lineRule="auto"/>
        <w:tabs>
          <w:tab w:leader="none" w:pos="480" w:val="left"/>
        </w:tabs>
        <w:numPr>
          <w:ilvl w:val="0"/>
          <w:numId w:val="3"/>
        </w:numPr>
        <w:rPr>
          <w:rFonts w:ascii="Arial" w:cs="Arial" w:eastAsia="Arial" w:hAnsi="Arial"/>
          <w:sz w:val="16"/>
          <w:szCs w:val="16"/>
          <w:color w:val="auto"/>
        </w:rPr>
      </w:pPr>
      <w:r>
        <w:rPr>
          <w:rFonts w:ascii="Times New Roman" w:cs="Times New Roman" w:eastAsia="Times New Roman" w:hAnsi="Times New Roman"/>
          <w:sz w:val="13"/>
          <w:szCs w:val="13"/>
          <w:color w:val="auto"/>
        </w:rPr>
        <w:t>our ability to issue equity or equity-linked securities or obtain or amend debt financing;</w:t>
      </w:r>
    </w:p>
    <w:p>
      <w:pPr>
        <w:spacing w:after="0" w:line="10" w:lineRule="exact"/>
        <w:rPr>
          <w:rFonts w:ascii="Arial" w:cs="Arial" w:eastAsia="Arial" w:hAnsi="Arial"/>
          <w:sz w:val="16"/>
          <w:szCs w:val="16"/>
          <w:color w:val="auto"/>
        </w:rPr>
      </w:pPr>
    </w:p>
    <w:p>
      <w:pPr>
        <w:ind w:left="480" w:hanging="240"/>
        <w:spacing w:after="0" w:line="234" w:lineRule="auto"/>
        <w:tabs>
          <w:tab w:leader="none" w:pos="480" w:val="left"/>
        </w:tabs>
        <w:numPr>
          <w:ilvl w:val="0"/>
          <w:numId w:val="3"/>
        </w:numPr>
        <w:rPr>
          <w:rFonts w:ascii="Arial" w:cs="Arial" w:eastAsia="Arial" w:hAnsi="Arial"/>
          <w:sz w:val="16"/>
          <w:szCs w:val="16"/>
          <w:color w:val="auto"/>
        </w:rPr>
      </w:pPr>
      <w:r>
        <w:rPr>
          <w:rFonts w:ascii="Times New Roman" w:cs="Times New Roman" w:eastAsia="Times New Roman" w:hAnsi="Times New Roman"/>
          <w:sz w:val="13"/>
          <w:szCs w:val="13"/>
          <w:color w:val="auto"/>
        </w:rPr>
        <w:t>the demand for renewable energy not being sustained;</w:t>
      </w:r>
    </w:p>
    <w:p>
      <w:pPr>
        <w:spacing w:after="0" w:line="10" w:lineRule="exact"/>
        <w:rPr>
          <w:rFonts w:ascii="Arial" w:cs="Arial" w:eastAsia="Arial" w:hAnsi="Arial"/>
          <w:sz w:val="16"/>
          <w:szCs w:val="16"/>
          <w:color w:val="auto"/>
        </w:rPr>
      </w:pPr>
    </w:p>
    <w:p>
      <w:pPr>
        <w:ind w:left="480" w:hanging="240"/>
        <w:spacing w:after="0" w:line="221" w:lineRule="auto"/>
        <w:tabs>
          <w:tab w:leader="none" w:pos="480" w:val="left"/>
        </w:tabs>
        <w:numPr>
          <w:ilvl w:val="0"/>
          <w:numId w:val="3"/>
        </w:numPr>
        <w:rPr>
          <w:rFonts w:ascii="Arial" w:cs="Arial" w:eastAsia="Arial" w:hAnsi="Arial"/>
          <w:sz w:val="16"/>
          <w:szCs w:val="16"/>
          <w:color w:val="auto"/>
        </w:rPr>
      </w:pPr>
      <w:r>
        <w:rPr>
          <w:rFonts w:ascii="Times New Roman" w:cs="Times New Roman" w:eastAsia="Times New Roman" w:hAnsi="Times New Roman"/>
          <w:sz w:val="13"/>
          <w:szCs w:val="13"/>
          <w:color w:val="auto"/>
        </w:rPr>
        <w:t>impacts of climate change, changing weather patterns and conditions and natural disasters; and</w:t>
      </w:r>
    </w:p>
    <w:p>
      <w:pPr>
        <w:spacing w:after="0" w:line="10" w:lineRule="exact"/>
        <w:rPr>
          <w:rFonts w:ascii="Arial" w:cs="Arial" w:eastAsia="Arial" w:hAnsi="Arial"/>
          <w:sz w:val="16"/>
          <w:szCs w:val="16"/>
          <w:color w:val="auto"/>
        </w:rPr>
      </w:pPr>
    </w:p>
    <w:p>
      <w:pPr>
        <w:ind w:left="480" w:hanging="240"/>
        <w:spacing w:after="0" w:line="234" w:lineRule="auto"/>
        <w:tabs>
          <w:tab w:leader="none" w:pos="4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3"/>
          <w:szCs w:val="13"/>
          <w:color w:val="auto"/>
        </w:rPr>
        <w:t>the effect of legal, tax and regulatory changes.</w:t>
      </w:r>
    </w:p>
    <w:p>
      <w:pPr>
        <w:spacing w:after="0" w:line="2" w:lineRule="exact"/>
        <w:rPr>
          <w:sz w:val="20"/>
          <w:szCs w:val="20"/>
          <w:color w:val="auto"/>
        </w:rPr>
      </w:pPr>
    </w:p>
    <w:p>
      <w:pPr>
        <w:jc w:val="both"/>
        <w:ind w:firstLine="480"/>
        <w:spacing w:after="0" w:line="250" w:lineRule="auto"/>
        <w:rPr>
          <w:sz w:val="20"/>
          <w:szCs w:val="20"/>
          <w:color w:val="auto"/>
        </w:rPr>
      </w:pPr>
      <w:r>
        <w:rPr>
          <w:rFonts w:ascii="Times New Roman" w:cs="Times New Roman" w:eastAsia="Times New Roman" w:hAnsi="Times New Roman"/>
          <w:sz w:val="13"/>
          <w:szCs w:val="13"/>
          <w:color w:val="auto"/>
        </w:rPr>
        <w:t>The forward-looking statements contained in this Form 10-Q are based on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in this Form 10-Q and in our Annual Report on Form 10-K, which was filed with the SEC on March 15, 2024 (our "Annual Report").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410210</wp:posOffset>
            </wp:positionV>
            <wp:extent cx="7193280"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723" w:right="31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6"/>
          <w:szCs w:val="16"/>
          <w:b w:val="1"/>
          <w:bCs w:val="1"/>
          <w:color w:val="auto"/>
        </w:rPr>
        <w:t>TABLE OF CONTENTS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80" w:type="dxa"/>
            <w:vAlign w:val="bottom"/>
            <w:gridSpan w:val="5"/>
          </w:tcPr>
          <w:p>
            <w:pPr>
              <w:ind w:left="360"/>
              <w:spacing w:after="0"/>
              <w:rPr>
                <w:sz w:val="20"/>
                <w:szCs w:val="20"/>
                <w:color w:val="auto"/>
              </w:rPr>
            </w:pPr>
            <w:r>
              <w:rPr>
                <w:rFonts w:ascii="Times New Roman" w:cs="Times New Roman" w:eastAsia="Times New Roman" w:hAnsi="Times New Roman"/>
                <w:sz w:val="13"/>
                <w:szCs w:val="13"/>
                <w:b w:val="1"/>
                <w:bCs w:val="1"/>
                <w:color w:val="auto"/>
              </w:rPr>
              <w:t>PAGE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Borders>
              <w:bottom w:val="single" w:sz="8" w:color="CCEEFF"/>
            </w:tcBorders>
            <w:shd w:val="clear" w:color="auto" w:fill="CCEEFF"/>
          </w:tcPr>
          <w:p>
            <w:pPr>
              <w:spacing w:after="0"/>
              <w:rPr>
                <w:sz w:val="10"/>
                <w:szCs w:val="10"/>
                <w:color w:val="auto"/>
              </w:rPr>
            </w:pPr>
          </w:p>
        </w:tc>
        <w:tc>
          <w:tcPr>
            <w:tcW w:w="460" w:type="dxa"/>
            <w:vAlign w:val="bottom"/>
            <w:tcBorders>
              <w:bottom w:val="single" w:sz="8" w:color="CCEEFF"/>
            </w:tcBorders>
            <w:shd w:val="clear" w:color="auto" w:fill="CCEEFF"/>
          </w:tcPr>
          <w:p>
            <w:pPr>
              <w:spacing w:after="0"/>
              <w:rPr>
                <w:sz w:val="10"/>
                <w:szCs w:val="10"/>
                <w:color w:val="auto"/>
              </w:rPr>
            </w:pPr>
          </w:p>
        </w:tc>
        <w:tc>
          <w:tcPr>
            <w:tcW w:w="740" w:type="dxa"/>
            <w:vAlign w:val="bottom"/>
            <w:tcBorders>
              <w:bottom w:val="single" w:sz="8" w:color="CCEEFF"/>
            </w:tcBorders>
            <w:shd w:val="clear" w:color="auto" w:fill="CCEEFF"/>
          </w:tcPr>
          <w:p>
            <w:pPr>
              <w:spacing w:after="0"/>
              <w:rPr>
                <w:sz w:val="10"/>
                <w:szCs w:val="10"/>
                <w:color w:val="auto"/>
              </w:rPr>
            </w:pPr>
          </w:p>
        </w:tc>
        <w:tc>
          <w:tcPr>
            <w:tcW w:w="1600" w:type="dxa"/>
            <w:vAlign w:val="bottom"/>
            <w:tcBorders>
              <w:bottom w:val="single" w:sz="8" w:color="CCEEFF"/>
            </w:tcBorders>
            <w:shd w:val="clear" w:color="auto" w:fill="CCEEFF"/>
          </w:tcPr>
          <w:p>
            <w:pPr>
              <w:spacing w:after="0"/>
              <w:rPr>
                <w:sz w:val="10"/>
                <w:szCs w:val="10"/>
                <w:color w:val="auto"/>
              </w:rPr>
            </w:pPr>
          </w:p>
        </w:tc>
        <w:tc>
          <w:tcPr>
            <w:tcW w:w="340" w:type="dxa"/>
            <w:vAlign w:val="bottom"/>
            <w:tcBorders>
              <w:bottom w:val="single" w:sz="8" w:color="CCEEFF"/>
            </w:tcBorders>
            <w:shd w:val="clear" w:color="auto" w:fill="CCEEFF"/>
          </w:tcPr>
          <w:p>
            <w:pPr>
              <w:spacing w:after="0"/>
              <w:rPr>
                <w:sz w:val="10"/>
                <w:szCs w:val="10"/>
                <w:color w:val="auto"/>
              </w:rPr>
            </w:pPr>
          </w:p>
        </w:tc>
        <w:tc>
          <w:tcPr>
            <w:tcW w:w="800" w:type="dxa"/>
            <w:vAlign w:val="bottom"/>
            <w:tcBorders>
              <w:bottom w:val="single" w:sz="8" w:color="CCEEFF"/>
            </w:tcBorders>
            <w:shd w:val="clear" w:color="auto" w:fill="CCEEFF"/>
          </w:tcPr>
          <w:p>
            <w:pPr>
              <w:spacing w:after="0"/>
              <w:rPr>
                <w:sz w:val="10"/>
                <w:szCs w:val="10"/>
                <w:color w:val="auto"/>
              </w:rPr>
            </w:pPr>
          </w:p>
        </w:tc>
        <w:tc>
          <w:tcPr>
            <w:tcW w:w="2280" w:type="dxa"/>
            <w:vAlign w:val="bottom"/>
            <w:tcBorders>
              <w:bottom w:val="single" w:sz="8" w:color="auto"/>
            </w:tcBorders>
            <w:gridSpan w:val="4"/>
            <w:shd w:val="clear" w:color="auto" w:fill="CCEEFF"/>
          </w:tcPr>
          <w:p>
            <w:pPr>
              <w:spacing w:after="0" w:line="110" w:lineRule="exact"/>
              <w:rPr>
                <w:sz w:val="20"/>
                <w:szCs w:val="20"/>
                <w:color w:val="auto"/>
              </w:rPr>
            </w:pPr>
            <w:r>
              <w:rPr>
                <w:rFonts w:ascii="Times New Roman" w:cs="Times New Roman" w:eastAsia="Times New Roman" w:hAnsi="Times New Roman"/>
                <w:sz w:val="12"/>
                <w:szCs w:val="12"/>
                <w:b w:val="1"/>
                <w:bCs w:val="1"/>
                <w:color w:val="auto"/>
              </w:rPr>
              <w:t>PART I. FINANCIAL INFORMATION</w:t>
            </w:r>
          </w:p>
        </w:tc>
        <w:tc>
          <w:tcPr>
            <w:tcW w:w="3960" w:type="dxa"/>
            <w:vAlign w:val="bottom"/>
            <w:tcBorders>
              <w:bottom w:val="single" w:sz="8" w:color="CCEEFF"/>
            </w:tcBorders>
            <w:gridSpan w:val="6"/>
            <w:shd w:val="clear" w:color="auto" w:fill="CCEEFF"/>
          </w:tcPr>
          <w:p>
            <w:pPr>
              <w:spacing w:after="0"/>
              <w:rPr>
                <w:sz w:val="10"/>
                <w:szCs w:val="10"/>
                <w:color w:val="auto"/>
              </w:rPr>
            </w:pPr>
          </w:p>
        </w:tc>
        <w:tc>
          <w:tcPr>
            <w:tcW w:w="36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right w:val="single" w:sz="8" w:color="CCEEFF"/>
            </w:tcBorders>
            <w:shd w:val="clear" w:color="auto" w:fill="CCEEFF"/>
          </w:tcPr>
          <w:p>
            <w:pPr>
              <w:spacing w:after="0"/>
              <w:rPr>
                <w:sz w:val="10"/>
                <w:szCs w:val="10"/>
                <w:color w:val="auto"/>
              </w:rPr>
            </w:pPr>
          </w:p>
        </w:tc>
        <w:tc>
          <w:tcPr>
            <w:tcW w:w="100" w:type="dxa"/>
            <w:vAlign w:val="bottom"/>
            <w:tcBorders>
              <w:left w:val="single" w:sz="8" w:color="CCEEFF"/>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36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60" w:type="dxa"/>
            <w:vAlign w:val="bottom"/>
          </w:tcPr>
          <w:p>
            <w:pPr>
              <w:spacing w:after="0" w:line="140" w:lineRule="exact"/>
              <w:rPr>
                <w:sz w:val="20"/>
                <w:szCs w:val="20"/>
                <w:color w:val="auto"/>
              </w:rPr>
            </w:pPr>
            <w:r>
              <w:rPr>
                <w:rFonts w:ascii="Times New Roman" w:cs="Times New Roman" w:eastAsia="Times New Roman" w:hAnsi="Times New Roman"/>
                <w:sz w:val="13"/>
                <w:szCs w:val="13"/>
                <w:color w:val="auto"/>
                <w:w w:val="98"/>
              </w:rPr>
              <w:t>ITEM 1.</w:t>
            </w:r>
          </w:p>
        </w:tc>
        <w:tc>
          <w:tcPr>
            <w:tcW w:w="740" w:type="dxa"/>
            <w:vAlign w:val="bottom"/>
          </w:tcPr>
          <w:p>
            <w:pPr>
              <w:spacing w:after="0"/>
              <w:rPr>
                <w:sz w:val="12"/>
                <w:szCs w:val="12"/>
                <w:color w:val="auto"/>
              </w:rPr>
            </w:pPr>
          </w:p>
        </w:tc>
        <w:tc>
          <w:tcPr>
            <w:tcW w:w="1600" w:type="dxa"/>
            <w:vAlign w:val="bottom"/>
          </w:tcPr>
          <w:p>
            <w:pPr>
              <w:spacing w:after="0" w:line="140" w:lineRule="exact"/>
              <w:rPr>
                <w:sz w:val="20"/>
                <w:szCs w:val="20"/>
                <w:color w:val="auto"/>
              </w:rPr>
            </w:pPr>
            <w:r>
              <w:rPr>
                <w:rFonts w:ascii="Times New Roman" w:cs="Times New Roman" w:eastAsia="Times New Roman" w:hAnsi="Times New Roman"/>
                <w:sz w:val="13"/>
                <w:szCs w:val="13"/>
                <w:color w:val="auto"/>
              </w:rPr>
              <w:t>FINANCIAL STATEMENTS</w:t>
            </w:r>
          </w:p>
        </w:tc>
        <w:tc>
          <w:tcPr>
            <w:tcW w:w="7380" w:type="dxa"/>
            <w:vAlign w:val="bottom"/>
            <w:gridSpan w:val="12"/>
          </w:tcPr>
          <w:p>
            <w:pPr>
              <w:spacing w:after="0"/>
              <w:rPr>
                <w:sz w:val="12"/>
                <w:szCs w:val="12"/>
                <w:color w:val="auto"/>
              </w:rPr>
            </w:pPr>
          </w:p>
        </w:tc>
        <w:tc>
          <w:tcPr>
            <w:tcW w:w="620" w:type="dxa"/>
            <w:vAlign w:val="bottom"/>
            <w:gridSpan w:val="3"/>
          </w:tcPr>
          <w:p>
            <w:pPr>
              <w:jc w:val="center"/>
              <w:ind w:left="413"/>
              <w:spacing w:after="0" w:line="140" w:lineRule="exact"/>
              <w:rPr>
                <w:sz w:val="20"/>
                <w:szCs w:val="20"/>
                <w:color w:val="auto"/>
              </w:rPr>
            </w:pPr>
            <w:r>
              <w:rPr>
                <w:rFonts w:ascii="Times New Roman" w:cs="Times New Roman" w:eastAsia="Times New Roman" w:hAnsi="Times New Roman"/>
                <w:sz w:val="13"/>
                <w:szCs w:val="13"/>
                <w:color w:val="auto"/>
                <w:w w:val="91"/>
              </w:rPr>
              <w:t>1</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980" w:type="dxa"/>
            <w:vAlign w:val="bottom"/>
            <w:gridSpan w:val="13"/>
            <w:shd w:val="clear" w:color="auto" w:fill="CCEEFF"/>
          </w:tcPr>
          <w:p>
            <w:pPr>
              <w:spacing w:after="0" w:line="145" w:lineRule="exact"/>
              <w:rPr>
                <w:sz w:val="20"/>
                <w:szCs w:val="20"/>
                <w:color w:val="auto"/>
              </w:rPr>
            </w:pPr>
            <w:r>
              <w:rPr>
                <w:rFonts w:ascii="Times New Roman" w:cs="Times New Roman" w:eastAsia="Times New Roman" w:hAnsi="Times New Roman"/>
                <w:sz w:val="13"/>
                <w:szCs w:val="13"/>
                <w:color w:val="auto"/>
              </w:rPr>
              <w:t>Condensed Consolidated Balance sheets as of March 31, 2024 (Unaudited) And December 31, 2023</w:t>
            </w:r>
          </w:p>
        </w:tc>
        <w:tc>
          <w:tcPr>
            <w:tcW w:w="620" w:type="dxa"/>
            <w:vAlign w:val="bottom"/>
            <w:gridSpan w:val="3"/>
            <w:shd w:val="clear" w:color="auto" w:fill="CCEEFF"/>
          </w:tcPr>
          <w:p>
            <w:pPr>
              <w:jc w:val="center"/>
              <w:ind w:left="413"/>
              <w:spacing w:after="0" w:line="145" w:lineRule="exact"/>
              <w:rPr>
                <w:sz w:val="20"/>
                <w:szCs w:val="20"/>
                <w:color w:val="auto"/>
              </w:rPr>
            </w:pPr>
            <w:r>
              <w:rPr>
                <w:rFonts w:ascii="Times New Roman" w:cs="Times New Roman" w:eastAsia="Times New Roman" w:hAnsi="Times New Roman"/>
                <w:sz w:val="13"/>
                <w:szCs w:val="13"/>
                <w:color w:val="auto"/>
                <w:w w:val="91"/>
              </w:rPr>
              <w:t>1</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6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420" w:type="dxa"/>
            <w:vAlign w:val="bottom"/>
            <w:tcBorders>
              <w:left w:val="single" w:sz="8" w:color="CCEEFF"/>
            </w:tcBorders>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00" w:type="dxa"/>
            <w:vAlign w:val="bottom"/>
            <w:tcBorders>
              <w:lef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180" w:type="dxa"/>
            <w:vAlign w:val="bottom"/>
            <w:gridSpan w:val="9"/>
          </w:tcPr>
          <w:p>
            <w:pPr>
              <w:spacing w:after="0" w:line="140" w:lineRule="exact"/>
              <w:rPr>
                <w:sz w:val="20"/>
                <w:szCs w:val="20"/>
                <w:color w:val="auto"/>
              </w:rPr>
            </w:pPr>
            <w:r>
              <w:rPr>
                <w:rFonts w:ascii="Times New Roman" w:cs="Times New Roman" w:eastAsia="Times New Roman" w:hAnsi="Times New Roman"/>
                <w:sz w:val="13"/>
                <w:szCs w:val="13"/>
                <w:color w:val="auto"/>
              </w:rPr>
              <w:t>Unaudited Condensed Consolidated Statements of Operations for the three months ended March 31, 2024 and 2023</w:t>
            </w:r>
          </w:p>
        </w:tc>
        <w:tc>
          <w:tcPr>
            <w:tcW w:w="2800" w:type="dxa"/>
            <w:vAlign w:val="bottom"/>
            <w:gridSpan w:val="4"/>
          </w:tcPr>
          <w:p>
            <w:pPr>
              <w:spacing w:after="0"/>
              <w:rPr>
                <w:sz w:val="12"/>
                <w:szCs w:val="12"/>
                <w:color w:val="auto"/>
              </w:rPr>
            </w:pPr>
          </w:p>
        </w:tc>
        <w:tc>
          <w:tcPr>
            <w:tcW w:w="620" w:type="dxa"/>
            <w:vAlign w:val="bottom"/>
            <w:gridSpan w:val="3"/>
          </w:tcPr>
          <w:p>
            <w:pPr>
              <w:jc w:val="center"/>
              <w:ind w:left="413"/>
              <w:spacing w:after="0" w:line="140" w:lineRule="exact"/>
              <w:rPr>
                <w:sz w:val="20"/>
                <w:szCs w:val="20"/>
                <w:color w:val="auto"/>
              </w:rPr>
            </w:pPr>
            <w:r>
              <w:rPr>
                <w:rFonts w:ascii="Times New Roman" w:cs="Times New Roman" w:eastAsia="Times New Roman" w:hAnsi="Times New Roman"/>
                <w:sz w:val="13"/>
                <w:szCs w:val="13"/>
                <w:color w:val="auto"/>
                <w:w w:val="91"/>
              </w:rPr>
              <w:t>3</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980" w:type="dxa"/>
            <w:vAlign w:val="bottom"/>
            <w:gridSpan w:val="13"/>
            <w:shd w:val="clear" w:color="auto" w:fill="CCEEFF"/>
          </w:tcPr>
          <w:p>
            <w:pPr>
              <w:spacing w:after="0" w:line="145" w:lineRule="exact"/>
              <w:rPr>
                <w:sz w:val="20"/>
                <w:szCs w:val="20"/>
                <w:color w:val="auto"/>
              </w:rPr>
            </w:pPr>
            <w:r>
              <w:rPr>
                <w:rFonts w:ascii="Times New Roman" w:cs="Times New Roman" w:eastAsia="Times New Roman" w:hAnsi="Times New Roman"/>
                <w:sz w:val="13"/>
                <w:szCs w:val="13"/>
                <w:color w:val="auto"/>
              </w:rPr>
              <w:t>Unaudited Condensed Consolidated Statements of Comprehensive Income (Loss) for the three months ended March 31, 2024 and 2023</w:t>
            </w:r>
          </w:p>
        </w:tc>
        <w:tc>
          <w:tcPr>
            <w:tcW w:w="620" w:type="dxa"/>
            <w:vAlign w:val="bottom"/>
            <w:gridSpan w:val="3"/>
            <w:shd w:val="clear" w:color="auto" w:fill="CCEEFF"/>
          </w:tcPr>
          <w:p>
            <w:pPr>
              <w:jc w:val="center"/>
              <w:ind w:left="413"/>
              <w:spacing w:after="0" w:line="145" w:lineRule="exact"/>
              <w:rPr>
                <w:sz w:val="20"/>
                <w:szCs w:val="20"/>
                <w:color w:val="auto"/>
              </w:rPr>
            </w:pPr>
            <w:r>
              <w:rPr>
                <w:rFonts w:ascii="Times New Roman" w:cs="Times New Roman" w:eastAsia="Times New Roman" w:hAnsi="Times New Roman"/>
                <w:sz w:val="13"/>
                <w:szCs w:val="13"/>
                <w:color w:val="auto"/>
                <w:w w:val="91"/>
              </w:rPr>
              <w:t>4</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6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20" w:type="dxa"/>
            <w:vAlign w:val="bottom"/>
            <w:tcBorders>
              <w:left w:val="single" w:sz="8" w:color="auto"/>
            </w:tcBorders>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00" w:type="dxa"/>
            <w:vAlign w:val="bottom"/>
            <w:tcBorders>
              <w:lef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980" w:type="dxa"/>
            <w:vAlign w:val="bottom"/>
            <w:gridSpan w:val="13"/>
          </w:tcPr>
          <w:p>
            <w:pPr>
              <w:spacing w:after="0" w:line="140" w:lineRule="exact"/>
              <w:rPr>
                <w:sz w:val="20"/>
                <w:szCs w:val="20"/>
                <w:color w:val="auto"/>
              </w:rPr>
            </w:pPr>
            <w:r>
              <w:rPr>
                <w:rFonts w:ascii="Times New Roman" w:cs="Times New Roman" w:eastAsia="Times New Roman" w:hAnsi="Times New Roman"/>
                <w:sz w:val="13"/>
                <w:szCs w:val="13"/>
                <w:color w:val="auto"/>
              </w:rPr>
              <w:t>Unaudited Condensed Consolidated Statements of Changes in Redeemable Non-Controlling Interest, Redeemable Preferred Non-Controlling Interest And</w:t>
            </w:r>
          </w:p>
        </w:tc>
        <w:tc>
          <w:tcPr>
            <w:tcW w:w="620" w:type="dxa"/>
            <w:vAlign w:val="bottom"/>
            <w:gridSpan w:val="3"/>
            <w:vMerge w:val="restart"/>
          </w:tcPr>
          <w:p>
            <w:pPr>
              <w:jc w:val="center"/>
              <w:ind w:left="413"/>
              <w:spacing w:after="0"/>
              <w:rPr>
                <w:sz w:val="20"/>
                <w:szCs w:val="20"/>
                <w:color w:val="auto"/>
              </w:rPr>
            </w:pPr>
            <w:r>
              <w:rPr>
                <w:rFonts w:ascii="Times New Roman" w:cs="Times New Roman" w:eastAsia="Times New Roman" w:hAnsi="Times New Roman"/>
                <w:sz w:val="13"/>
                <w:szCs w:val="13"/>
                <w:color w:val="auto"/>
                <w:w w:val="91"/>
              </w:rPr>
              <w:t>5</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00" w:type="dxa"/>
            <w:vAlign w:val="bottom"/>
            <w:tcBorders>
              <w:top w:val="single" w:sz="8" w:color="auto"/>
            </w:tcBorders>
            <w:gridSpan w:val="5"/>
          </w:tcPr>
          <w:p>
            <w:pPr>
              <w:spacing w:after="0" w:line="120" w:lineRule="exact"/>
              <w:rPr>
                <w:sz w:val="20"/>
                <w:szCs w:val="20"/>
                <w:color w:val="auto"/>
              </w:rPr>
            </w:pPr>
            <w:r>
              <w:rPr>
                <w:rFonts w:ascii="Times New Roman" w:cs="Times New Roman" w:eastAsia="Times New Roman" w:hAnsi="Times New Roman"/>
                <w:sz w:val="13"/>
                <w:szCs w:val="13"/>
                <w:color w:val="auto"/>
              </w:rPr>
              <w:t>Stockholders' Deficit for the three months ended March 31, 2024 and 2023</w:t>
            </w:r>
          </w:p>
        </w:tc>
        <w:tc>
          <w:tcPr>
            <w:tcW w:w="4240" w:type="dxa"/>
            <w:vAlign w:val="bottom"/>
            <w:tcBorders>
              <w:top w:val="single" w:sz="8" w:color="auto"/>
            </w:tcBorders>
            <w:gridSpan w:val="7"/>
          </w:tcPr>
          <w:p>
            <w:pPr>
              <w:spacing w:after="0"/>
              <w:rPr>
                <w:sz w:val="10"/>
                <w:szCs w:val="10"/>
                <w:color w:val="auto"/>
              </w:rPr>
            </w:pPr>
          </w:p>
        </w:tc>
        <w:tc>
          <w:tcPr>
            <w:tcW w:w="740" w:type="dxa"/>
            <w:vAlign w:val="bottom"/>
          </w:tcPr>
          <w:p>
            <w:pPr>
              <w:spacing w:after="0"/>
              <w:rPr>
                <w:sz w:val="10"/>
                <w:szCs w:val="10"/>
                <w:color w:val="auto"/>
              </w:rPr>
            </w:pPr>
          </w:p>
        </w:tc>
        <w:tc>
          <w:tcPr>
            <w:tcW w:w="62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180" w:type="dxa"/>
            <w:vAlign w:val="bottom"/>
            <w:gridSpan w:val="9"/>
            <w:shd w:val="clear" w:color="auto" w:fill="CCEEFF"/>
          </w:tcPr>
          <w:p>
            <w:pPr>
              <w:spacing w:after="0" w:line="145" w:lineRule="exact"/>
              <w:rPr>
                <w:sz w:val="20"/>
                <w:szCs w:val="20"/>
                <w:color w:val="auto"/>
              </w:rPr>
            </w:pPr>
            <w:r>
              <w:rPr>
                <w:rFonts w:ascii="Times New Roman" w:cs="Times New Roman" w:eastAsia="Times New Roman" w:hAnsi="Times New Roman"/>
                <w:sz w:val="13"/>
                <w:szCs w:val="13"/>
                <w:color w:val="auto"/>
              </w:rPr>
              <w:t>Unaudited Condensed Consolidated Statements of Cash Flows for the three months ended March 31, 2024 and 2023</w:t>
            </w:r>
          </w:p>
        </w:tc>
        <w:tc>
          <w:tcPr>
            <w:tcW w:w="2800" w:type="dxa"/>
            <w:vAlign w:val="bottom"/>
            <w:tcBorders>
              <w:left w:val="single" w:sz="8" w:color="CCEEFF"/>
            </w:tcBorders>
            <w:gridSpan w:val="4"/>
            <w:shd w:val="clear" w:color="auto" w:fill="CCEEFF"/>
          </w:tcPr>
          <w:p>
            <w:pPr>
              <w:spacing w:after="0"/>
              <w:rPr>
                <w:sz w:val="12"/>
                <w:szCs w:val="12"/>
                <w:color w:val="auto"/>
              </w:rPr>
            </w:pPr>
          </w:p>
        </w:tc>
        <w:tc>
          <w:tcPr>
            <w:tcW w:w="620" w:type="dxa"/>
            <w:vAlign w:val="bottom"/>
            <w:gridSpan w:val="3"/>
            <w:shd w:val="clear" w:color="auto" w:fill="CCEEFF"/>
          </w:tcPr>
          <w:p>
            <w:pPr>
              <w:jc w:val="center"/>
              <w:ind w:left="413"/>
              <w:spacing w:after="0" w:line="145" w:lineRule="exact"/>
              <w:rPr>
                <w:sz w:val="20"/>
                <w:szCs w:val="20"/>
                <w:color w:val="auto"/>
              </w:rPr>
            </w:pPr>
            <w:r>
              <w:rPr>
                <w:rFonts w:ascii="Times New Roman" w:cs="Times New Roman" w:eastAsia="Times New Roman" w:hAnsi="Times New Roman"/>
                <w:sz w:val="13"/>
                <w:szCs w:val="13"/>
                <w:color w:val="auto"/>
                <w:w w:val="91"/>
              </w:rPr>
              <w:t>7</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6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20" w:type="dxa"/>
            <w:vAlign w:val="bottom"/>
            <w:tcBorders>
              <w:left w:val="single" w:sz="8" w:color="auto"/>
            </w:tcBorders>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00" w:type="dxa"/>
            <w:vAlign w:val="bottom"/>
            <w:tcBorders>
              <w:lef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180" w:type="dxa"/>
            <w:vAlign w:val="bottom"/>
            <w:gridSpan w:val="9"/>
          </w:tcPr>
          <w:p>
            <w:pPr>
              <w:spacing w:after="0" w:line="140" w:lineRule="exact"/>
              <w:rPr>
                <w:sz w:val="20"/>
                <w:szCs w:val="20"/>
                <w:color w:val="auto"/>
              </w:rPr>
            </w:pPr>
            <w:r>
              <w:rPr>
                <w:rFonts w:ascii="Times New Roman" w:cs="Times New Roman" w:eastAsia="Times New Roman" w:hAnsi="Times New Roman"/>
                <w:sz w:val="13"/>
                <w:szCs w:val="13"/>
                <w:color w:val="auto"/>
              </w:rPr>
              <w:t>Notes To Unaudited Condensed Consolidated Financial Statements</w:t>
            </w:r>
          </w:p>
        </w:tc>
        <w:tc>
          <w:tcPr>
            <w:tcW w:w="2800" w:type="dxa"/>
            <w:vAlign w:val="bottom"/>
            <w:gridSpan w:val="4"/>
          </w:tcPr>
          <w:p>
            <w:pPr>
              <w:spacing w:after="0"/>
              <w:rPr>
                <w:sz w:val="12"/>
                <w:szCs w:val="12"/>
                <w:color w:val="auto"/>
              </w:rPr>
            </w:pPr>
          </w:p>
        </w:tc>
        <w:tc>
          <w:tcPr>
            <w:tcW w:w="620" w:type="dxa"/>
            <w:vAlign w:val="bottom"/>
            <w:gridSpan w:val="3"/>
          </w:tcPr>
          <w:p>
            <w:pPr>
              <w:jc w:val="center"/>
              <w:ind w:left="413"/>
              <w:spacing w:after="0" w:line="140" w:lineRule="exact"/>
              <w:rPr>
                <w:sz w:val="20"/>
                <w:szCs w:val="20"/>
                <w:color w:val="auto"/>
              </w:rPr>
            </w:pPr>
            <w:r>
              <w:rPr>
                <w:rFonts w:ascii="Times New Roman" w:cs="Times New Roman" w:eastAsia="Times New Roman" w:hAnsi="Times New Roman"/>
                <w:sz w:val="13"/>
                <w:szCs w:val="13"/>
                <w:color w:val="auto"/>
                <w:w w:val="91"/>
              </w:rPr>
              <w:t>9</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line="145" w:lineRule="exact"/>
              <w:rPr>
                <w:sz w:val="20"/>
                <w:szCs w:val="20"/>
                <w:color w:val="auto"/>
              </w:rPr>
            </w:pPr>
            <w:r>
              <w:rPr>
                <w:rFonts w:ascii="Times New Roman" w:cs="Times New Roman" w:eastAsia="Times New Roman" w:hAnsi="Times New Roman"/>
                <w:sz w:val="13"/>
                <w:szCs w:val="13"/>
                <w:color w:val="auto"/>
                <w:w w:val="98"/>
              </w:rPr>
              <w:t>ITEM 2.</w:t>
            </w:r>
          </w:p>
        </w:tc>
        <w:tc>
          <w:tcPr>
            <w:tcW w:w="740" w:type="dxa"/>
            <w:vAlign w:val="bottom"/>
            <w:tcBorders>
              <w:bottom w:val="single" w:sz="8" w:color="CCEEFF"/>
            </w:tcBorders>
            <w:shd w:val="clear" w:color="auto" w:fill="CCEEFF"/>
          </w:tcPr>
          <w:p>
            <w:pPr>
              <w:spacing w:after="0"/>
              <w:rPr>
                <w:sz w:val="13"/>
                <w:szCs w:val="13"/>
                <w:color w:val="auto"/>
              </w:rPr>
            </w:pPr>
          </w:p>
        </w:tc>
        <w:tc>
          <w:tcPr>
            <w:tcW w:w="6600" w:type="dxa"/>
            <w:vAlign w:val="bottom"/>
            <w:tcBorders>
              <w:bottom w:val="single" w:sz="8" w:color="auto"/>
            </w:tcBorders>
            <w:gridSpan w:val="10"/>
            <w:shd w:val="clear" w:color="auto" w:fill="CCEEFF"/>
          </w:tcPr>
          <w:p>
            <w:pPr>
              <w:spacing w:after="0" w:line="145" w:lineRule="exact"/>
              <w:rPr>
                <w:sz w:val="20"/>
                <w:szCs w:val="20"/>
                <w:color w:val="auto"/>
              </w:rPr>
            </w:pPr>
            <w:r>
              <w:rPr>
                <w:rFonts w:ascii="Times New Roman" w:cs="Times New Roman" w:eastAsia="Times New Roman" w:hAnsi="Times New Roman"/>
                <w:sz w:val="13"/>
                <w:szCs w:val="13"/>
                <w:color w:val="auto"/>
              </w:rPr>
              <w:t>MANAGEMENT'S DISCUSSION AND ANALYSIS OF FINANCIAL CONDITION AND RESULTS OF OPERATIONS</w:t>
            </w:r>
          </w:p>
        </w:tc>
        <w:tc>
          <w:tcPr>
            <w:tcW w:w="2380" w:type="dxa"/>
            <w:vAlign w:val="bottom"/>
            <w:tcBorders>
              <w:bottom w:val="single" w:sz="8" w:color="CCEEFF"/>
            </w:tcBorders>
            <w:gridSpan w:val="3"/>
            <w:shd w:val="clear" w:color="auto" w:fill="CCEEFF"/>
          </w:tcPr>
          <w:p>
            <w:pPr>
              <w:spacing w:after="0"/>
              <w:rPr>
                <w:sz w:val="13"/>
                <w:szCs w:val="13"/>
                <w:color w:val="auto"/>
              </w:rPr>
            </w:pPr>
          </w:p>
        </w:tc>
        <w:tc>
          <w:tcPr>
            <w:tcW w:w="520" w:type="dxa"/>
            <w:vAlign w:val="bottom"/>
            <w:tcBorders>
              <w:bottom w:val="single" w:sz="8" w:color="CCEEFF"/>
              <w:right w:val="single" w:sz="8" w:color="CCEEFF"/>
            </w:tcBorders>
            <w:gridSpan w:val="2"/>
            <w:shd w:val="clear" w:color="auto" w:fill="CCEEFF"/>
          </w:tcPr>
          <w:p>
            <w:pPr>
              <w:spacing w:after="0"/>
              <w:rPr>
                <w:sz w:val="13"/>
                <w:szCs w:val="13"/>
                <w:color w:val="auto"/>
              </w:rPr>
            </w:pPr>
          </w:p>
        </w:tc>
        <w:tc>
          <w:tcPr>
            <w:tcW w:w="100" w:type="dxa"/>
            <w:vAlign w:val="bottom"/>
            <w:tcBorders>
              <w:left w:val="single" w:sz="8" w:color="CCEEFF"/>
              <w:bottom w:val="single" w:sz="8" w:color="auto"/>
            </w:tcBorders>
            <w:shd w:val="clear" w:color="auto" w:fill="CCEEFF"/>
          </w:tcPr>
          <w:p>
            <w:pPr>
              <w:jc w:val="center"/>
              <w:spacing w:after="0" w:line="145" w:lineRule="exact"/>
              <w:rPr>
                <w:sz w:val="20"/>
                <w:szCs w:val="20"/>
                <w:color w:val="auto"/>
              </w:rPr>
            </w:pPr>
            <w:r>
              <w:rPr>
                <w:rFonts w:ascii="Times New Roman" w:cs="Times New Roman" w:eastAsia="Times New Roman" w:hAnsi="Times New Roman"/>
                <w:sz w:val="13"/>
                <w:szCs w:val="13"/>
                <w:color w:val="auto"/>
                <w:w w:val="76"/>
              </w:rPr>
              <w:t>45</w:t>
            </w:r>
          </w:p>
        </w:tc>
        <w:tc>
          <w:tcPr>
            <w:tcW w:w="10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60" w:type="dxa"/>
            <w:vAlign w:val="bottom"/>
            <w:tcBorders>
              <w:bottom w:val="single" w:sz="8" w:color="auto"/>
            </w:tcBorders>
          </w:tcPr>
          <w:p>
            <w:pPr>
              <w:spacing w:after="0" w:line="140" w:lineRule="exact"/>
              <w:rPr>
                <w:sz w:val="20"/>
                <w:szCs w:val="20"/>
                <w:color w:val="auto"/>
              </w:rPr>
            </w:pPr>
            <w:r>
              <w:rPr>
                <w:rFonts w:ascii="Times New Roman" w:cs="Times New Roman" w:eastAsia="Times New Roman" w:hAnsi="Times New Roman"/>
                <w:sz w:val="13"/>
                <w:szCs w:val="13"/>
                <w:color w:val="auto"/>
                <w:w w:val="98"/>
              </w:rPr>
              <w:t>ITEM 3.</w:t>
            </w:r>
          </w:p>
        </w:tc>
        <w:tc>
          <w:tcPr>
            <w:tcW w:w="740" w:type="dxa"/>
            <w:vAlign w:val="bottom"/>
          </w:tcPr>
          <w:p>
            <w:pPr>
              <w:spacing w:after="0"/>
              <w:rPr>
                <w:sz w:val="12"/>
                <w:szCs w:val="12"/>
                <w:color w:val="auto"/>
              </w:rPr>
            </w:pPr>
          </w:p>
        </w:tc>
        <w:tc>
          <w:tcPr>
            <w:tcW w:w="4560" w:type="dxa"/>
            <w:vAlign w:val="bottom"/>
            <w:tcBorders>
              <w:bottom w:val="single" w:sz="8" w:color="auto"/>
            </w:tcBorders>
            <w:gridSpan w:val="6"/>
          </w:tcPr>
          <w:p>
            <w:pPr>
              <w:spacing w:after="0" w:line="140" w:lineRule="exact"/>
              <w:rPr>
                <w:sz w:val="20"/>
                <w:szCs w:val="20"/>
                <w:color w:val="auto"/>
              </w:rPr>
            </w:pPr>
            <w:r>
              <w:rPr>
                <w:rFonts w:ascii="Times New Roman" w:cs="Times New Roman" w:eastAsia="Times New Roman" w:hAnsi="Times New Roman"/>
                <w:sz w:val="13"/>
                <w:szCs w:val="13"/>
                <w:color w:val="auto"/>
              </w:rPr>
              <w:t>QUANTITATIVE AND QUALITATIVE DISCLOSURES ABOUT MARKET RISK</w:t>
            </w:r>
          </w:p>
        </w:tc>
        <w:tc>
          <w:tcPr>
            <w:tcW w:w="4420" w:type="dxa"/>
            <w:vAlign w:val="bottom"/>
            <w:gridSpan w:val="7"/>
          </w:tcPr>
          <w:p>
            <w:pPr>
              <w:spacing w:after="0"/>
              <w:rPr>
                <w:sz w:val="12"/>
                <w:szCs w:val="12"/>
                <w:color w:val="auto"/>
              </w:rPr>
            </w:pPr>
          </w:p>
        </w:tc>
        <w:tc>
          <w:tcPr>
            <w:tcW w:w="520" w:type="dxa"/>
            <w:vAlign w:val="bottom"/>
            <w:gridSpan w:val="2"/>
          </w:tcPr>
          <w:p>
            <w:pPr>
              <w:spacing w:after="0"/>
              <w:rPr>
                <w:sz w:val="12"/>
                <w:szCs w:val="12"/>
                <w:color w:val="auto"/>
              </w:rPr>
            </w:pPr>
          </w:p>
        </w:tc>
        <w:tc>
          <w:tcPr>
            <w:tcW w:w="100" w:type="dxa"/>
            <w:vAlign w:val="bottom"/>
            <w:tcBorders>
              <w:bottom w:val="single" w:sz="8" w:color="auto"/>
            </w:tcBorders>
          </w:tcPr>
          <w:p>
            <w:pPr>
              <w:jc w:val="center"/>
              <w:spacing w:after="0" w:line="140" w:lineRule="exact"/>
              <w:rPr>
                <w:sz w:val="20"/>
                <w:szCs w:val="20"/>
                <w:color w:val="auto"/>
              </w:rPr>
            </w:pPr>
            <w:r>
              <w:rPr>
                <w:rFonts w:ascii="Times New Roman" w:cs="Times New Roman" w:eastAsia="Times New Roman" w:hAnsi="Times New Roman"/>
                <w:sz w:val="13"/>
                <w:szCs w:val="13"/>
                <w:color w:val="auto"/>
                <w:w w:val="76"/>
              </w:rPr>
              <w:t>58</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line="145" w:lineRule="exact"/>
              <w:rPr>
                <w:sz w:val="20"/>
                <w:szCs w:val="20"/>
                <w:color w:val="auto"/>
              </w:rPr>
            </w:pPr>
            <w:r>
              <w:rPr>
                <w:rFonts w:ascii="Times New Roman" w:cs="Times New Roman" w:eastAsia="Times New Roman" w:hAnsi="Times New Roman"/>
                <w:sz w:val="13"/>
                <w:szCs w:val="13"/>
                <w:color w:val="auto"/>
                <w:w w:val="98"/>
              </w:rPr>
              <w:t>ITEM 4.</w:t>
            </w:r>
          </w:p>
        </w:tc>
        <w:tc>
          <w:tcPr>
            <w:tcW w:w="740" w:type="dxa"/>
            <w:vAlign w:val="bottom"/>
            <w:tcBorders>
              <w:bottom w:val="single" w:sz="8" w:color="CCEEFF"/>
            </w:tcBorders>
            <w:shd w:val="clear" w:color="auto" w:fill="CCEEFF"/>
          </w:tcPr>
          <w:p>
            <w:pPr>
              <w:spacing w:after="0"/>
              <w:rPr>
                <w:sz w:val="13"/>
                <w:szCs w:val="13"/>
                <w:color w:val="auto"/>
              </w:rPr>
            </w:pPr>
          </w:p>
        </w:tc>
        <w:tc>
          <w:tcPr>
            <w:tcW w:w="1940" w:type="dxa"/>
            <w:vAlign w:val="bottom"/>
            <w:tcBorders>
              <w:bottom w:val="single" w:sz="8" w:color="auto"/>
            </w:tcBorders>
            <w:gridSpan w:val="2"/>
            <w:shd w:val="clear" w:color="auto" w:fill="CCEEFF"/>
          </w:tcPr>
          <w:p>
            <w:pPr>
              <w:spacing w:after="0" w:line="145" w:lineRule="exact"/>
              <w:rPr>
                <w:sz w:val="20"/>
                <w:szCs w:val="20"/>
                <w:color w:val="auto"/>
              </w:rPr>
            </w:pPr>
            <w:r>
              <w:rPr>
                <w:rFonts w:ascii="Times New Roman" w:cs="Times New Roman" w:eastAsia="Times New Roman" w:hAnsi="Times New Roman"/>
                <w:sz w:val="13"/>
                <w:szCs w:val="13"/>
                <w:color w:val="auto"/>
              </w:rPr>
              <w:t>CONTROLS AND PROCEDURES</w:t>
            </w:r>
          </w:p>
        </w:tc>
        <w:tc>
          <w:tcPr>
            <w:tcW w:w="7040" w:type="dxa"/>
            <w:vAlign w:val="bottom"/>
            <w:tcBorders>
              <w:bottom w:val="single" w:sz="8" w:color="CCEEFF"/>
            </w:tcBorders>
            <w:gridSpan w:val="11"/>
            <w:shd w:val="clear" w:color="auto" w:fill="CCEEFF"/>
          </w:tcPr>
          <w:p>
            <w:pPr>
              <w:spacing w:after="0"/>
              <w:rPr>
                <w:sz w:val="13"/>
                <w:szCs w:val="13"/>
                <w:color w:val="auto"/>
              </w:rPr>
            </w:pPr>
          </w:p>
        </w:tc>
        <w:tc>
          <w:tcPr>
            <w:tcW w:w="520" w:type="dxa"/>
            <w:vAlign w:val="bottom"/>
            <w:tcBorders>
              <w:bottom w:val="single" w:sz="8" w:color="CCEEFF"/>
              <w:right w:val="single" w:sz="8" w:color="CCEEFF"/>
            </w:tcBorders>
            <w:gridSpan w:val="2"/>
            <w:shd w:val="clear" w:color="auto" w:fill="CCEEFF"/>
          </w:tcPr>
          <w:p>
            <w:pPr>
              <w:spacing w:after="0"/>
              <w:rPr>
                <w:sz w:val="13"/>
                <w:szCs w:val="13"/>
                <w:color w:val="auto"/>
              </w:rPr>
            </w:pPr>
          </w:p>
        </w:tc>
        <w:tc>
          <w:tcPr>
            <w:tcW w:w="100" w:type="dxa"/>
            <w:vAlign w:val="bottom"/>
            <w:tcBorders>
              <w:left w:val="single" w:sz="8" w:color="CCEEFF"/>
              <w:bottom w:val="single" w:sz="8" w:color="auto"/>
            </w:tcBorders>
            <w:shd w:val="clear" w:color="auto" w:fill="CCEEFF"/>
          </w:tcPr>
          <w:p>
            <w:pPr>
              <w:jc w:val="center"/>
              <w:spacing w:after="0" w:line="145" w:lineRule="exact"/>
              <w:rPr>
                <w:sz w:val="20"/>
                <w:szCs w:val="20"/>
                <w:color w:val="auto"/>
              </w:rPr>
            </w:pPr>
            <w:r>
              <w:rPr>
                <w:rFonts w:ascii="Times New Roman" w:cs="Times New Roman" w:eastAsia="Times New Roman" w:hAnsi="Times New Roman"/>
                <w:sz w:val="13"/>
                <w:szCs w:val="13"/>
                <w:color w:val="auto"/>
                <w:w w:val="76"/>
              </w:rPr>
              <w:t>58</w:t>
            </w:r>
          </w:p>
        </w:tc>
        <w:tc>
          <w:tcPr>
            <w:tcW w:w="10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tbl>
      <w:tblPr>
        <w:tblLayout w:type="fixed"/>
        <w:tblInd w:w="10" w:type="dxa"/>
        <w:tblCellMar>
          <w:top w:w="0" w:type="dxa"/>
          <w:left w:w="0" w:type="dxa"/>
          <w:bottom w:w="0" w:type="dxa"/>
          <w:right w:w="0" w:type="dxa"/>
        </w:tblCellMar>
      </w:tblPr>
      <w:tr>
        <w:trPr>
          <w:trHeight w:val="160"/>
        </w:trPr>
        <w:tc>
          <w:tcPr>
            <w:tcW w:w="480" w:type="dxa"/>
            <w:vAlign w:val="bottom"/>
            <w:tcBorders>
              <w:lef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PART II. OTHER INFORMATION</w:t>
            </w:r>
          </w:p>
        </w:tc>
        <w:tc>
          <w:tcPr>
            <w:tcW w:w="2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r>
      <w:tr>
        <w:trPr>
          <w:trHeight w:val="145"/>
        </w:trPr>
        <w:tc>
          <w:tcPr>
            <w:tcW w:w="480" w:type="dxa"/>
            <w:vAlign w:val="bottom"/>
            <w:tcBorders>
              <w:top w:val="single" w:sz="8" w:color="CCEEFF"/>
              <w:bottom w:val="single" w:sz="8" w:color="auto"/>
            </w:tcBorders>
          </w:tcPr>
          <w:p>
            <w:pPr>
              <w:ind w:left="20"/>
              <w:spacing w:after="0" w:line="140" w:lineRule="exact"/>
              <w:rPr>
                <w:sz w:val="20"/>
                <w:szCs w:val="20"/>
                <w:color w:val="auto"/>
              </w:rPr>
            </w:pPr>
            <w:r>
              <w:rPr>
                <w:rFonts w:ascii="Times New Roman" w:cs="Times New Roman" w:eastAsia="Times New Roman" w:hAnsi="Times New Roman"/>
                <w:sz w:val="13"/>
                <w:szCs w:val="13"/>
                <w:color w:val="auto"/>
                <w:w w:val="98"/>
              </w:rPr>
              <w:t>ITEM 1.</w:t>
            </w:r>
          </w:p>
        </w:tc>
        <w:tc>
          <w:tcPr>
            <w:tcW w:w="740" w:type="dxa"/>
            <w:vAlign w:val="bottom"/>
            <w:tcBorders>
              <w:top w:val="single" w:sz="8" w:color="CCEEFF"/>
            </w:tcBorders>
            <w:gridSpan w:val="3"/>
          </w:tcPr>
          <w:p>
            <w:pPr>
              <w:spacing w:after="0"/>
              <w:rPr>
                <w:sz w:val="12"/>
                <w:szCs w:val="12"/>
                <w:color w:val="auto"/>
              </w:rPr>
            </w:pPr>
          </w:p>
        </w:tc>
        <w:tc>
          <w:tcPr>
            <w:tcW w:w="1400" w:type="dxa"/>
            <w:vAlign w:val="bottom"/>
            <w:tcBorders>
              <w:top w:val="single" w:sz="8" w:color="CCEEFF"/>
              <w:bottom w:val="single" w:sz="8" w:color="auto"/>
            </w:tcBorders>
            <w:gridSpan w:val="3"/>
          </w:tcPr>
          <w:p>
            <w:pPr>
              <w:spacing w:after="0" w:line="140" w:lineRule="exact"/>
              <w:rPr>
                <w:sz w:val="20"/>
                <w:szCs w:val="20"/>
                <w:color w:val="auto"/>
              </w:rPr>
            </w:pPr>
            <w:r>
              <w:rPr>
                <w:rFonts w:ascii="Times New Roman" w:cs="Times New Roman" w:eastAsia="Times New Roman" w:hAnsi="Times New Roman"/>
                <w:sz w:val="13"/>
                <w:szCs w:val="13"/>
                <w:color w:val="auto"/>
              </w:rPr>
              <w:t>LEGAL PROCEEDINGS</w:t>
            </w:r>
          </w:p>
        </w:tc>
        <w:tc>
          <w:tcPr>
            <w:tcW w:w="1460" w:type="dxa"/>
            <w:vAlign w:val="bottom"/>
            <w:tcBorders>
              <w:top w:val="single" w:sz="8" w:color="CCEEFF"/>
            </w:tcBorders>
            <w:gridSpan w:val="3"/>
          </w:tcPr>
          <w:p>
            <w:pPr>
              <w:spacing w:after="0"/>
              <w:rPr>
                <w:sz w:val="12"/>
                <w:szCs w:val="12"/>
                <w:color w:val="auto"/>
              </w:rPr>
            </w:pPr>
          </w:p>
        </w:tc>
        <w:tc>
          <w:tcPr>
            <w:tcW w:w="2040" w:type="dxa"/>
            <w:vAlign w:val="bottom"/>
            <w:tcBorders>
              <w:top w:val="single" w:sz="8" w:color="auto"/>
            </w:tcBorders>
            <w:gridSpan w:val="2"/>
          </w:tcPr>
          <w:p>
            <w:pPr>
              <w:spacing w:after="0"/>
              <w:rPr>
                <w:sz w:val="12"/>
                <w:szCs w:val="12"/>
                <w:color w:val="auto"/>
              </w:rPr>
            </w:pPr>
          </w:p>
        </w:tc>
        <w:tc>
          <w:tcPr>
            <w:tcW w:w="2280" w:type="dxa"/>
            <w:vAlign w:val="bottom"/>
            <w:tcBorders>
              <w:top w:val="single" w:sz="8" w:color="CCEEFF"/>
            </w:tcBorders>
          </w:tcPr>
          <w:p>
            <w:pPr>
              <w:spacing w:after="0"/>
              <w:rPr>
                <w:sz w:val="12"/>
                <w:szCs w:val="12"/>
                <w:color w:val="auto"/>
              </w:rPr>
            </w:pPr>
          </w:p>
        </w:tc>
        <w:tc>
          <w:tcPr>
            <w:tcW w:w="2280" w:type="dxa"/>
            <w:vAlign w:val="bottom"/>
            <w:tcBorders>
              <w:top w:val="single" w:sz="8" w:color="CCEEFF"/>
            </w:tcBorders>
          </w:tcPr>
          <w:p>
            <w:pPr>
              <w:spacing w:after="0"/>
              <w:rPr>
                <w:sz w:val="12"/>
                <w:szCs w:val="12"/>
                <w:color w:val="auto"/>
              </w:rPr>
            </w:pPr>
          </w:p>
        </w:tc>
        <w:tc>
          <w:tcPr>
            <w:tcW w:w="140" w:type="dxa"/>
            <w:vAlign w:val="bottom"/>
            <w:tcBorders>
              <w:top w:val="single" w:sz="8" w:color="CCEEFF"/>
              <w:bottom w:val="single" w:sz="8" w:color="auto"/>
            </w:tcBorders>
          </w:tcPr>
          <w:p>
            <w:pPr>
              <w:jc w:val="right"/>
              <w:spacing w:after="0" w:line="140" w:lineRule="exact"/>
              <w:rPr>
                <w:sz w:val="20"/>
                <w:szCs w:val="20"/>
                <w:color w:val="auto"/>
              </w:rPr>
            </w:pPr>
            <w:r>
              <w:rPr>
                <w:rFonts w:ascii="Times New Roman" w:cs="Times New Roman" w:eastAsia="Times New Roman" w:hAnsi="Times New Roman"/>
                <w:sz w:val="13"/>
                <w:szCs w:val="13"/>
                <w:color w:val="auto"/>
                <w:w w:val="91"/>
              </w:rPr>
              <w:t>59</w:t>
            </w:r>
          </w:p>
        </w:tc>
        <w:tc>
          <w:tcPr>
            <w:tcW w:w="460" w:type="dxa"/>
            <w:vAlign w:val="bottom"/>
            <w:tcBorders>
              <w:top w:val="single" w:sz="8" w:color="CCEEFF"/>
            </w:tcBorders>
          </w:tcPr>
          <w:p>
            <w:pPr>
              <w:spacing w:after="0"/>
              <w:rPr>
                <w:sz w:val="12"/>
                <w:szCs w:val="12"/>
                <w:color w:val="auto"/>
              </w:rPr>
            </w:pPr>
          </w:p>
        </w:tc>
      </w:tr>
      <w:tr>
        <w:trPr>
          <w:trHeight w:val="145"/>
        </w:trPr>
        <w:tc>
          <w:tcPr>
            <w:tcW w:w="1220" w:type="dxa"/>
            <w:vAlign w:val="bottom"/>
            <w:tcBorders>
              <w:left w:val="single" w:sz="8" w:color="CCEEFF"/>
            </w:tcBorders>
            <w:gridSpan w:val="4"/>
            <w:shd w:val="clear" w:color="auto" w:fill="CCEEFF"/>
          </w:tcPr>
          <w:p>
            <w:pPr>
              <w:ind w:left="20"/>
              <w:spacing w:after="0" w:line="145" w:lineRule="exact"/>
              <w:rPr>
                <w:sz w:val="20"/>
                <w:szCs w:val="20"/>
                <w:color w:val="auto"/>
              </w:rPr>
            </w:pPr>
            <w:r>
              <w:rPr>
                <w:rFonts w:ascii="Times New Roman" w:cs="Times New Roman" w:eastAsia="Times New Roman" w:hAnsi="Times New Roman"/>
                <w:sz w:val="13"/>
                <w:szCs w:val="13"/>
                <w:color w:val="auto"/>
              </w:rPr>
              <w:t>ITEM 1A.</w:t>
            </w:r>
          </w:p>
        </w:tc>
        <w:tc>
          <w:tcPr>
            <w:tcW w:w="7180" w:type="dxa"/>
            <w:vAlign w:val="bottom"/>
            <w:gridSpan w:val="9"/>
            <w:shd w:val="clear" w:color="auto" w:fill="CCEEFF"/>
          </w:tcPr>
          <w:p>
            <w:pPr>
              <w:spacing w:after="0" w:line="145" w:lineRule="exact"/>
              <w:rPr>
                <w:sz w:val="20"/>
                <w:szCs w:val="20"/>
                <w:color w:val="auto"/>
              </w:rPr>
            </w:pPr>
            <w:r>
              <w:rPr>
                <w:rFonts w:ascii="Times New Roman" w:cs="Times New Roman" w:eastAsia="Times New Roman" w:hAnsi="Times New Roman"/>
                <w:sz w:val="13"/>
                <w:szCs w:val="13"/>
                <w:color w:val="auto"/>
              </w:rPr>
              <w:t>RISK FACTORS</w:t>
            </w:r>
          </w:p>
        </w:tc>
        <w:tc>
          <w:tcPr>
            <w:tcW w:w="2880" w:type="dxa"/>
            <w:vAlign w:val="bottom"/>
            <w:gridSpan w:val="3"/>
            <w:shd w:val="clear" w:color="auto" w:fill="CCEEFF"/>
          </w:tcPr>
          <w:p>
            <w:pPr>
              <w:jc w:val="right"/>
              <w:ind w:right="460"/>
              <w:spacing w:after="0" w:line="145" w:lineRule="exact"/>
              <w:rPr>
                <w:sz w:val="20"/>
                <w:szCs w:val="20"/>
                <w:color w:val="auto"/>
              </w:rPr>
            </w:pPr>
            <w:r>
              <w:rPr>
                <w:rFonts w:ascii="Times New Roman" w:cs="Times New Roman" w:eastAsia="Times New Roman" w:hAnsi="Times New Roman"/>
                <w:sz w:val="13"/>
                <w:szCs w:val="13"/>
                <w:color w:val="auto"/>
              </w:rPr>
              <w:t>59</w:t>
            </w:r>
          </w:p>
        </w:tc>
      </w:tr>
      <w:tr>
        <w:trPr>
          <w:trHeight w:val="30"/>
        </w:trPr>
        <w:tc>
          <w:tcPr>
            <w:tcW w:w="480" w:type="dxa"/>
            <w:vAlign w:val="bottom"/>
            <w:tcBorders>
              <w:left w:val="single" w:sz="8" w:color="CCEEFF"/>
            </w:tcBorders>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CCEEFF"/>
          </w:tcPr>
          <w:p>
            <w:pPr>
              <w:spacing w:after="0"/>
              <w:rPr>
                <w:sz w:val="2"/>
                <w:szCs w:val="2"/>
                <w:color w:val="auto"/>
              </w:rPr>
            </w:pPr>
          </w:p>
        </w:tc>
      </w:tr>
      <w:tr>
        <w:trPr>
          <w:trHeight w:val="145"/>
        </w:trPr>
        <w:tc>
          <w:tcPr>
            <w:tcW w:w="480" w:type="dxa"/>
            <w:vAlign w:val="bottom"/>
          </w:tcPr>
          <w:p>
            <w:pPr>
              <w:ind w:left="20"/>
              <w:spacing w:after="0" w:line="140" w:lineRule="exact"/>
              <w:rPr>
                <w:sz w:val="20"/>
                <w:szCs w:val="20"/>
                <w:color w:val="auto"/>
              </w:rPr>
            </w:pPr>
            <w:r>
              <w:rPr>
                <w:rFonts w:ascii="Times New Roman" w:cs="Times New Roman" w:eastAsia="Times New Roman" w:hAnsi="Times New Roman"/>
                <w:sz w:val="13"/>
                <w:szCs w:val="13"/>
                <w:color w:val="auto"/>
                <w:w w:val="98"/>
              </w:rPr>
              <w:t>ITEM 2.</w:t>
            </w:r>
          </w:p>
        </w:tc>
        <w:tc>
          <w:tcPr>
            <w:tcW w:w="80" w:type="dxa"/>
            <w:vAlign w:val="bottom"/>
          </w:tcPr>
          <w:p>
            <w:pPr>
              <w:spacing w:after="0"/>
              <w:rPr>
                <w:sz w:val="12"/>
                <w:szCs w:val="12"/>
                <w:color w:val="auto"/>
              </w:rPr>
            </w:pPr>
          </w:p>
        </w:tc>
        <w:tc>
          <w:tcPr>
            <w:tcW w:w="660" w:type="dxa"/>
            <w:vAlign w:val="bottom"/>
            <w:gridSpan w:val="2"/>
          </w:tcPr>
          <w:p>
            <w:pPr>
              <w:spacing w:after="0"/>
              <w:rPr>
                <w:sz w:val="12"/>
                <w:szCs w:val="12"/>
                <w:color w:val="auto"/>
              </w:rPr>
            </w:pPr>
          </w:p>
        </w:tc>
        <w:tc>
          <w:tcPr>
            <w:tcW w:w="7180" w:type="dxa"/>
            <w:vAlign w:val="bottom"/>
            <w:gridSpan w:val="9"/>
          </w:tcPr>
          <w:p>
            <w:pPr>
              <w:spacing w:after="0" w:line="140" w:lineRule="exact"/>
              <w:rPr>
                <w:sz w:val="20"/>
                <w:szCs w:val="20"/>
                <w:color w:val="auto"/>
              </w:rPr>
            </w:pPr>
            <w:r>
              <w:rPr>
                <w:rFonts w:ascii="Times New Roman" w:cs="Times New Roman" w:eastAsia="Times New Roman" w:hAnsi="Times New Roman"/>
                <w:sz w:val="13"/>
                <w:szCs w:val="13"/>
                <w:color w:val="auto"/>
              </w:rPr>
              <w:t>UNREGISTERED SALES OF EQUITY SECURITIES AND USE OF PROCEEDS</w:t>
            </w:r>
          </w:p>
        </w:tc>
        <w:tc>
          <w:tcPr>
            <w:tcW w:w="2880" w:type="dxa"/>
            <w:vAlign w:val="bottom"/>
            <w:gridSpan w:val="3"/>
          </w:tcPr>
          <w:p>
            <w:pPr>
              <w:jc w:val="right"/>
              <w:ind w:right="460"/>
              <w:spacing w:after="0" w:line="140" w:lineRule="exact"/>
              <w:rPr>
                <w:sz w:val="20"/>
                <w:szCs w:val="20"/>
                <w:color w:val="auto"/>
              </w:rPr>
            </w:pPr>
            <w:r>
              <w:rPr>
                <w:rFonts w:ascii="Times New Roman" w:cs="Times New Roman" w:eastAsia="Times New Roman" w:hAnsi="Times New Roman"/>
                <w:sz w:val="13"/>
                <w:szCs w:val="13"/>
                <w:color w:val="auto"/>
              </w:rPr>
              <w:t>59</w:t>
            </w:r>
          </w:p>
        </w:tc>
      </w:tr>
      <w:tr>
        <w:trPr>
          <w:trHeight w:val="155"/>
        </w:trPr>
        <w:tc>
          <w:tcPr>
            <w:tcW w:w="480" w:type="dxa"/>
            <w:vAlign w:val="bottom"/>
            <w:tcBorders>
              <w:top w:val="single" w:sz="8" w:color="auto"/>
              <w:left w:val="single" w:sz="8" w:color="CCEEFF"/>
            </w:tcBorders>
            <w:shd w:val="clear" w:color="auto" w:fill="CCEEFF"/>
          </w:tcPr>
          <w:p>
            <w:pPr>
              <w:ind w:left="20"/>
              <w:spacing w:after="0" w:line="145" w:lineRule="exact"/>
              <w:rPr>
                <w:sz w:val="20"/>
                <w:szCs w:val="20"/>
                <w:color w:val="auto"/>
              </w:rPr>
            </w:pPr>
            <w:r>
              <w:rPr>
                <w:rFonts w:ascii="Times New Roman" w:cs="Times New Roman" w:eastAsia="Times New Roman" w:hAnsi="Times New Roman"/>
                <w:sz w:val="13"/>
                <w:szCs w:val="13"/>
                <w:color w:val="auto"/>
                <w:w w:val="98"/>
              </w:rPr>
              <w:t>ITEM 3.</w:t>
            </w:r>
          </w:p>
        </w:tc>
        <w:tc>
          <w:tcPr>
            <w:tcW w:w="740" w:type="dxa"/>
            <w:vAlign w:val="bottom"/>
            <w:gridSpan w:val="3"/>
            <w:shd w:val="clear" w:color="auto" w:fill="CCEEFF"/>
          </w:tcPr>
          <w:p>
            <w:pPr>
              <w:spacing w:after="0"/>
              <w:rPr>
                <w:sz w:val="13"/>
                <w:szCs w:val="13"/>
                <w:color w:val="auto"/>
              </w:rPr>
            </w:pPr>
          </w:p>
        </w:tc>
        <w:tc>
          <w:tcPr>
            <w:tcW w:w="4500" w:type="dxa"/>
            <w:vAlign w:val="bottom"/>
            <w:tcBorders>
              <w:top w:val="single" w:sz="8" w:color="auto"/>
            </w:tcBorders>
            <w:gridSpan w:val="7"/>
            <w:shd w:val="clear" w:color="auto" w:fill="CCEEFF"/>
          </w:tcPr>
          <w:p>
            <w:pPr>
              <w:spacing w:after="0" w:line="145" w:lineRule="exact"/>
              <w:rPr>
                <w:sz w:val="20"/>
                <w:szCs w:val="20"/>
                <w:color w:val="auto"/>
              </w:rPr>
            </w:pPr>
            <w:r>
              <w:rPr>
                <w:rFonts w:ascii="Times New Roman" w:cs="Times New Roman" w:eastAsia="Times New Roman" w:hAnsi="Times New Roman"/>
                <w:sz w:val="13"/>
                <w:szCs w:val="13"/>
                <w:color w:val="auto"/>
              </w:rPr>
              <w:t>DEFAULTS UPON SENIOR SECURITIES</w:t>
            </w:r>
          </w:p>
        </w:tc>
        <w:tc>
          <w:tcPr>
            <w:tcW w:w="2680" w:type="dxa"/>
            <w:vAlign w:val="bottom"/>
            <w:gridSpan w:val="2"/>
            <w:shd w:val="clear" w:color="auto" w:fill="CCEEFF"/>
          </w:tcPr>
          <w:p>
            <w:pPr>
              <w:spacing w:after="0"/>
              <w:rPr>
                <w:sz w:val="13"/>
                <w:szCs w:val="13"/>
                <w:color w:val="auto"/>
              </w:rPr>
            </w:pPr>
          </w:p>
        </w:tc>
        <w:tc>
          <w:tcPr>
            <w:tcW w:w="228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w w:val="91"/>
              </w:rPr>
              <w:t>59</w:t>
            </w:r>
          </w:p>
        </w:tc>
        <w:tc>
          <w:tcPr>
            <w:tcW w:w="460" w:type="dxa"/>
            <w:vAlign w:val="bottom"/>
            <w:shd w:val="clear" w:color="auto" w:fill="CCEEFF"/>
          </w:tcPr>
          <w:p>
            <w:pPr>
              <w:spacing w:after="0"/>
              <w:rPr>
                <w:sz w:val="13"/>
                <w:szCs w:val="13"/>
                <w:color w:val="auto"/>
              </w:rPr>
            </w:pPr>
          </w:p>
        </w:tc>
      </w:tr>
      <w:tr>
        <w:trPr>
          <w:trHeight w:val="145"/>
        </w:trPr>
        <w:tc>
          <w:tcPr>
            <w:tcW w:w="480" w:type="dxa"/>
            <w:vAlign w:val="bottom"/>
            <w:tcBorders>
              <w:top w:val="single" w:sz="8" w:color="auto"/>
              <w:bottom w:val="single" w:sz="8" w:color="auto"/>
            </w:tcBorders>
          </w:tcPr>
          <w:p>
            <w:pPr>
              <w:ind w:left="20"/>
              <w:spacing w:after="0" w:line="140" w:lineRule="exact"/>
              <w:rPr>
                <w:sz w:val="20"/>
                <w:szCs w:val="20"/>
                <w:color w:val="auto"/>
              </w:rPr>
            </w:pPr>
            <w:r>
              <w:rPr>
                <w:rFonts w:ascii="Times New Roman" w:cs="Times New Roman" w:eastAsia="Times New Roman" w:hAnsi="Times New Roman"/>
                <w:sz w:val="13"/>
                <w:szCs w:val="13"/>
                <w:color w:val="auto"/>
                <w:w w:val="98"/>
              </w:rPr>
              <w:t>ITEM 4.</w:t>
            </w:r>
          </w:p>
        </w:tc>
        <w:tc>
          <w:tcPr>
            <w:tcW w:w="740" w:type="dxa"/>
            <w:vAlign w:val="bottom"/>
            <w:tcBorders>
              <w:top w:val="single" w:sz="8" w:color="CCEEFF"/>
            </w:tcBorders>
            <w:gridSpan w:val="3"/>
          </w:tcPr>
          <w:p>
            <w:pPr>
              <w:spacing w:after="0"/>
              <w:rPr>
                <w:sz w:val="12"/>
                <w:szCs w:val="12"/>
                <w:color w:val="auto"/>
              </w:rPr>
            </w:pPr>
          </w:p>
        </w:tc>
        <w:tc>
          <w:tcPr>
            <w:tcW w:w="1820" w:type="dxa"/>
            <w:vAlign w:val="bottom"/>
            <w:tcBorders>
              <w:top w:val="single" w:sz="8" w:color="auto"/>
              <w:bottom w:val="single" w:sz="8" w:color="auto"/>
            </w:tcBorders>
            <w:gridSpan w:val="4"/>
          </w:tcPr>
          <w:p>
            <w:pPr>
              <w:spacing w:after="0" w:line="140" w:lineRule="exact"/>
              <w:rPr>
                <w:sz w:val="20"/>
                <w:szCs w:val="20"/>
                <w:color w:val="auto"/>
              </w:rPr>
            </w:pPr>
            <w:r>
              <w:rPr>
                <w:rFonts w:ascii="Times New Roman" w:cs="Times New Roman" w:eastAsia="Times New Roman" w:hAnsi="Times New Roman"/>
                <w:sz w:val="13"/>
                <w:szCs w:val="13"/>
                <w:color w:val="auto"/>
              </w:rPr>
              <w:t>MINE SAFETY DISCLOSURES</w:t>
            </w:r>
          </w:p>
        </w:tc>
        <w:tc>
          <w:tcPr>
            <w:tcW w:w="540" w:type="dxa"/>
            <w:vAlign w:val="bottom"/>
            <w:tcBorders>
              <w:top w:val="single" w:sz="8" w:color="auto"/>
            </w:tcBorders>
          </w:tcPr>
          <w:p>
            <w:pPr>
              <w:spacing w:after="0"/>
              <w:rPr>
                <w:sz w:val="12"/>
                <w:szCs w:val="12"/>
                <w:color w:val="auto"/>
              </w:rPr>
            </w:pPr>
          </w:p>
        </w:tc>
        <w:tc>
          <w:tcPr>
            <w:tcW w:w="4820" w:type="dxa"/>
            <w:vAlign w:val="bottom"/>
            <w:tcBorders>
              <w:top w:val="single" w:sz="8" w:color="CCEEFF"/>
            </w:tcBorders>
            <w:gridSpan w:val="4"/>
          </w:tcPr>
          <w:p>
            <w:pPr>
              <w:spacing w:after="0"/>
              <w:rPr>
                <w:sz w:val="12"/>
                <w:szCs w:val="12"/>
                <w:color w:val="auto"/>
              </w:rPr>
            </w:pPr>
          </w:p>
        </w:tc>
        <w:tc>
          <w:tcPr>
            <w:tcW w:w="2280" w:type="dxa"/>
            <w:vAlign w:val="bottom"/>
            <w:tcBorders>
              <w:top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40" w:lineRule="exact"/>
              <w:rPr>
                <w:sz w:val="20"/>
                <w:szCs w:val="20"/>
                <w:color w:val="auto"/>
              </w:rPr>
            </w:pPr>
            <w:r>
              <w:rPr>
                <w:rFonts w:ascii="Times New Roman" w:cs="Times New Roman" w:eastAsia="Times New Roman" w:hAnsi="Times New Roman"/>
                <w:sz w:val="13"/>
                <w:szCs w:val="13"/>
                <w:color w:val="auto"/>
                <w:w w:val="91"/>
              </w:rPr>
              <w:t>60</w:t>
            </w:r>
          </w:p>
        </w:tc>
        <w:tc>
          <w:tcPr>
            <w:tcW w:w="460" w:type="dxa"/>
            <w:vAlign w:val="bottom"/>
            <w:tcBorders>
              <w:top w:val="single" w:sz="8" w:color="CCEEFF"/>
            </w:tcBorders>
          </w:tcPr>
          <w:p>
            <w:pPr>
              <w:spacing w:after="0"/>
              <w:rPr>
                <w:sz w:val="12"/>
                <w:szCs w:val="12"/>
                <w:color w:val="auto"/>
              </w:rPr>
            </w:pPr>
          </w:p>
        </w:tc>
      </w:tr>
      <w:tr>
        <w:trPr>
          <w:trHeight w:val="155"/>
        </w:trPr>
        <w:tc>
          <w:tcPr>
            <w:tcW w:w="480" w:type="dxa"/>
            <w:vAlign w:val="bottom"/>
            <w:tcBorders>
              <w:left w:val="single" w:sz="8" w:color="CCEEFF"/>
            </w:tcBorders>
            <w:shd w:val="clear" w:color="auto" w:fill="CCEEFF"/>
          </w:tcPr>
          <w:p>
            <w:pPr>
              <w:ind w:left="20"/>
              <w:spacing w:after="0" w:line="145" w:lineRule="exact"/>
              <w:rPr>
                <w:sz w:val="20"/>
                <w:szCs w:val="20"/>
                <w:color w:val="auto"/>
              </w:rPr>
            </w:pPr>
            <w:r>
              <w:rPr>
                <w:rFonts w:ascii="Times New Roman" w:cs="Times New Roman" w:eastAsia="Times New Roman" w:hAnsi="Times New Roman"/>
                <w:sz w:val="13"/>
                <w:szCs w:val="13"/>
                <w:color w:val="auto"/>
                <w:w w:val="98"/>
              </w:rPr>
              <w:t>ITEM 5.</w:t>
            </w:r>
          </w:p>
        </w:tc>
        <w:tc>
          <w:tcPr>
            <w:tcW w:w="740" w:type="dxa"/>
            <w:vAlign w:val="bottom"/>
            <w:gridSpan w:val="3"/>
            <w:shd w:val="clear" w:color="auto" w:fill="CCEEFF"/>
          </w:tcPr>
          <w:p>
            <w:pPr>
              <w:spacing w:after="0"/>
              <w:rPr>
                <w:sz w:val="13"/>
                <w:szCs w:val="13"/>
                <w:color w:val="auto"/>
              </w:rPr>
            </w:pPr>
          </w:p>
        </w:tc>
        <w:tc>
          <w:tcPr>
            <w:tcW w:w="7180" w:type="dxa"/>
            <w:vAlign w:val="bottom"/>
            <w:gridSpan w:val="9"/>
            <w:shd w:val="clear" w:color="auto" w:fill="CCEEFF"/>
          </w:tcPr>
          <w:p>
            <w:pPr>
              <w:spacing w:after="0" w:line="145" w:lineRule="exact"/>
              <w:rPr>
                <w:sz w:val="20"/>
                <w:szCs w:val="20"/>
                <w:color w:val="auto"/>
              </w:rPr>
            </w:pPr>
            <w:r>
              <w:rPr>
                <w:rFonts w:ascii="Times New Roman" w:cs="Times New Roman" w:eastAsia="Times New Roman" w:hAnsi="Times New Roman"/>
                <w:sz w:val="13"/>
                <w:szCs w:val="13"/>
                <w:color w:val="auto"/>
              </w:rPr>
              <w:t>OTHER INFORMATION</w:t>
            </w:r>
          </w:p>
        </w:tc>
        <w:tc>
          <w:tcPr>
            <w:tcW w:w="2880" w:type="dxa"/>
            <w:vAlign w:val="bottom"/>
            <w:gridSpan w:val="3"/>
            <w:shd w:val="clear" w:color="auto" w:fill="CCEEFF"/>
          </w:tcPr>
          <w:p>
            <w:pPr>
              <w:jc w:val="right"/>
              <w:ind w:right="460"/>
              <w:spacing w:after="0" w:line="145" w:lineRule="exact"/>
              <w:rPr>
                <w:sz w:val="20"/>
                <w:szCs w:val="20"/>
                <w:color w:val="auto"/>
              </w:rPr>
            </w:pPr>
            <w:r>
              <w:rPr>
                <w:rFonts w:ascii="Times New Roman" w:cs="Times New Roman" w:eastAsia="Times New Roman" w:hAnsi="Times New Roman"/>
                <w:sz w:val="13"/>
                <w:szCs w:val="13"/>
                <w:color w:val="auto"/>
              </w:rPr>
              <w:t>61</w:t>
            </w:r>
          </w:p>
        </w:tc>
      </w:tr>
      <w:tr>
        <w:trPr>
          <w:trHeight w:val="145"/>
        </w:trPr>
        <w:tc>
          <w:tcPr>
            <w:tcW w:w="480" w:type="dxa"/>
            <w:vAlign w:val="bottom"/>
            <w:tcBorders>
              <w:top w:val="single" w:sz="8" w:color="auto"/>
              <w:bottom w:val="single" w:sz="8" w:color="auto"/>
            </w:tcBorders>
          </w:tcPr>
          <w:p>
            <w:pPr>
              <w:ind w:left="20"/>
              <w:spacing w:after="0" w:line="140" w:lineRule="exact"/>
              <w:rPr>
                <w:sz w:val="20"/>
                <w:szCs w:val="20"/>
                <w:color w:val="auto"/>
              </w:rPr>
            </w:pPr>
            <w:r>
              <w:rPr>
                <w:rFonts w:ascii="Times New Roman" w:cs="Times New Roman" w:eastAsia="Times New Roman" w:hAnsi="Times New Roman"/>
                <w:sz w:val="13"/>
                <w:szCs w:val="13"/>
                <w:color w:val="auto"/>
                <w:w w:val="98"/>
              </w:rPr>
              <w:t>ITEM 6.</w:t>
            </w:r>
          </w:p>
        </w:tc>
        <w:tc>
          <w:tcPr>
            <w:tcW w:w="740" w:type="dxa"/>
            <w:vAlign w:val="bottom"/>
            <w:tcBorders>
              <w:top w:val="single" w:sz="8" w:color="CCEEFF"/>
            </w:tcBorders>
            <w:gridSpan w:val="3"/>
          </w:tcPr>
          <w:p>
            <w:pPr>
              <w:spacing w:after="0"/>
              <w:rPr>
                <w:sz w:val="12"/>
                <w:szCs w:val="12"/>
                <w:color w:val="auto"/>
              </w:rPr>
            </w:pPr>
          </w:p>
        </w:tc>
        <w:tc>
          <w:tcPr>
            <w:tcW w:w="620" w:type="dxa"/>
            <w:vAlign w:val="bottom"/>
            <w:tcBorders>
              <w:top w:val="single" w:sz="8" w:color="auto"/>
              <w:bottom w:val="single" w:sz="8" w:color="auto"/>
            </w:tcBorders>
          </w:tcPr>
          <w:p>
            <w:pPr>
              <w:spacing w:after="0" w:line="140" w:lineRule="exact"/>
              <w:rPr>
                <w:sz w:val="20"/>
                <w:szCs w:val="20"/>
                <w:color w:val="auto"/>
              </w:rPr>
            </w:pPr>
            <w:r>
              <w:rPr>
                <w:rFonts w:ascii="Times New Roman" w:cs="Times New Roman" w:eastAsia="Times New Roman" w:hAnsi="Times New Roman"/>
                <w:sz w:val="13"/>
                <w:szCs w:val="13"/>
                <w:color w:val="auto"/>
              </w:rPr>
              <w:t>EXHIBITS</w:t>
            </w:r>
          </w:p>
        </w:tc>
        <w:tc>
          <w:tcPr>
            <w:tcW w:w="780" w:type="dxa"/>
            <w:vAlign w:val="bottom"/>
            <w:tcBorders>
              <w:top w:val="single" w:sz="8" w:color="auto"/>
            </w:tcBorders>
            <w:gridSpan w:val="2"/>
          </w:tcPr>
          <w:p>
            <w:pPr>
              <w:spacing w:after="0"/>
              <w:rPr>
                <w:sz w:val="12"/>
                <w:szCs w:val="12"/>
                <w:color w:val="auto"/>
              </w:rPr>
            </w:pPr>
          </w:p>
        </w:tc>
        <w:tc>
          <w:tcPr>
            <w:tcW w:w="5780" w:type="dxa"/>
            <w:vAlign w:val="bottom"/>
            <w:tcBorders>
              <w:top w:val="single" w:sz="8" w:color="CCEEFF"/>
            </w:tcBorders>
            <w:gridSpan w:val="6"/>
          </w:tcPr>
          <w:p>
            <w:pPr>
              <w:spacing w:after="0"/>
              <w:rPr>
                <w:sz w:val="12"/>
                <w:szCs w:val="12"/>
                <w:color w:val="auto"/>
              </w:rPr>
            </w:pPr>
          </w:p>
        </w:tc>
        <w:tc>
          <w:tcPr>
            <w:tcW w:w="2280" w:type="dxa"/>
            <w:vAlign w:val="bottom"/>
            <w:tcBorders>
              <w:top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40" w:lineRule="exact"/>
              <w:rPr>
                <w:sz w:val="20"/>
                <w:szCs w:val="20"/>
                <w:color w:val="auto"/>
              </w:rPr>
            </w:pPr>
            <w:r>
              <w:rPr>
                <w:rFonts w:ascii="Times New Roman" w:cs="Times New Roman" w:eastAsia="Times New Roman" w:hAnsi="Times New Roman"/>
                <w:sz w:val="13"/>
                <w:szCs w:val="13"/>
                <w:color w:val="auto"/>
                <w:w w:val="91"/>
              </w:rPr>
              <w:t>61</w:t>
            </w:r>
          </w:p>
        </w:tc>
        <w:tc>
          <w:tcPr>
            <w:tcW w:w="460" w:type="dxa"/>
            <w:vAlign w:val="bottom"/>
            <w:tcBorders>
              <w:top w:val="single" w:sz="8" w:color="CCEEFF"/>
            </w:tcBorders>
          </w:tcPr>
          <w:p>
            <w:pPr>
              <w:spacing w:after="0"/>
              <w:rPr>
                <w:sz w:val="12"/>
                <w:szCs w:val="12"/>
                <w:color w:val="auto"/>
              </w:rPr>
            </w:pPr>
          </w:p>
        </w:tc>
      </w:tr>
      <w:tr>
        <w:trPr>
          <w:trHeight w:val="155"/>
        </w:trPr>
        <w:tc>
          <w:tcPr>
            <w:tcW w:w="1220" w:type="dxa"/>
            <w:vAlign w:val="bottom"/>
            <w:tcBorders>
              <w:left w:val="single" w:sz="8" w:color="CCEEFF"/>
            </w:tcBorders>
            <w:gridSpan w:val="4"/>
            <w:shd w:val="clear" w:color="auto" w:fill="CCEEFF"/>
          </w:tcPr>
          <w:p>
            <w:pPr>
              <w:ind w:left="20"/>
              <w:spacing w:after="0" w:line="145" w:lineRule="exact"/>
              <w:rPr>
                <w:sz w:val="20"/>
                <w:szCs w:val="20"/>
                <w:color w:val="auto"/>
              </w:rPr>
            </w:pPr>
            <w:r>
              <w:rPr>
                <w:rFonts w:ascii="Times New Roman" w:cs="Times New Roman" w:eastAsia="Times New Roman" w:hAnsi="Times New Roman"/>
                <w:sz w:val="13"/>
                <w:szCs w:val="13"/>
                <w:color w:val="auto"/>
              </w:rPr>
              <w:t>SIGNATURES</w:t>
            </w:r>
          </w:p>
        </w:tc>
        <w:tc>
          <w:tcPr>
            <w:tcW w:w="6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280" w:type="dxa"/>
            <w:vAlign w:val="bottom"/>
            <w:shd w:val="clear" w:color="auto" w:fill="CCEEFF"/>
          </w:tcPr>
          <w:p>
            <w:pPr>
              <w:spacing w:after="0"/>
              <w:rPr>
                <w:sz w:val="13"/>
                <w:szCs w:val="13"/>
                <w:color w:val="auto"/>
              </w:rPr>
            </w:pPr>
          </w:p>
        </w:tc>
        <w:tc>
          <w:tcPr>
            <w:tcW w:w="2880" w:type="dxa"/>
            <w:vAlign w:val="bottom"/>
            <w:gridSpan w:val="3"/>
            <w:shd w:val="clear" w:color="auto" w:fill="CCEEFF"/>
          </w:tcPr>
          <w:p>
            <w:pPr>
              <w:jc w:val="right"/>
              <w:ind w:right="460"/>
              <w:spacing w:after="0" w:line="145" w:lineRule="exact"/>
              <w:rPr>
                <w:sz w:val="20"/>
                <w:szCs w:val="20"/>
                <w:color w:val="auto"/>
              </w:rPr>
            </w:pPr>
            <w:r>
              <w:rPr>
                <w:rFonts w:ascii="Times New Roman" w:cs="Times New Roman" w:eastAsia="Times New Roman" w:hAnsi="Times New Roman"/>
                <w:sz w:val="13"/>
                <w:szCs w:val="13"/>
                <w:color w:val="auto"/>
              </w:rPr>
              <w:t>63</w:t>
            </w:r>
          </w:p>
        </w:tc>
      </w:tr>
      <w:tr>
        <w:trPr>
          <w:trHeight w:val="751"/>
        </w:trPr>
        <w:tc>
          <w:tcPr>
            <w:tcW w:w="480" w:type="dxa"/>
            <w:vAlign w:val="bottom"/>
            <w:tcBorders>
              <w:top w:val="single" w:sz="8" w:color="auto"/>
              <w:bottom w:val="single" w:sz="8" w:color="9A9A9A"/>
            </w:tcBorders>
          </w:tcPr>
          <w:p>
            <w:pPr>
              <w:spacing w:after="0"/>
              <w:rPr>
                <w:sz w:val="24"/>
                <w:szCs w:val="24"/>
                <w:color w:val="auto"/>
              </w:rPr>
            </w:pPr>
          </w:p>
        </w:tc>
        <w:tc>
          <w:tcPr>
            <w:tcW w:w="80" w:type="dxa"/>
            <w:vAlign w:val="bottom"/>
            <w:tcBorders>
              <w:top w:val="single" w:sz="8" w:color="auto"/>
              <w:bottom w:val="single" w:sz="8" w:color="9A9A9A"/>
            </w:tcBorders>
          </w:tcPr>
          <w:p>
            <w:pPr>
              <w:spacing w:after="0"/>
              <w:rPr>
                <w:sz w:val="24"/>
                <w:szCs w:val="24"/>
                <w:color w:val="auto"/>
              </w:rPr>
            </w:pPr>
          </w:p>
        </w:tc>
        <w:tc>
          <w:tcPr>
            <w:tcW w:w="260" w:type="dxa"/>
            <w:vAlign w:val="bottom"/>
            <w:tcBorders>
              <w:top w:val="single" w:sz="8" w:color="auto"/>
              <w:bottom w:val="single" w:sz="8" w:color="9A9A9A"/>
            </w:tcBorders>
          </w:tcPr>
          <w:p>
            <w:pPr>
              <w:spacing w:after="0"/>
              <w:rPr>
                <w:sz w:val="24"/>
                <w:szCs w:val="24"/>
                <w:color w:val="auto"/>
              </w:rPr>
            </w:pPr>
          </w:p>
        </w:tc>
        <w:tc>
          <w:tcPr>
            <w:tcW w:w="400" w:type="dxa"/>
            <w:vAlign w:val="bottom"/>
            <w:tcBorders>
              <w:top w:val="single" w:sz="8" w:color="CCEEFF"/>
              <w:bottom w:val="single" w:sz="8" w:color="9A9A9A"/>
            </w:tcBorders>
          </w:tcPr>
          <w:p>
            <w:pPr>
              <w:spacing w:after="0"/>
              <w:rPr>
                <w:sz w:val="24"/>
                <w:szCs w:val="24"/>
                <w:color w:val="auto"/>
              </w:rPr>
            </w:pPr>
          </w:p>
        </w:tc>
        <w:tc>
          <w:tcPr>
            <w:tcW w:w="620" w:type="dxa"/>
            <w:vAlign w:val="bottom"/>
            <w:tcBorders>
              <w:top w:val="single" w:sz="8" w:color="CCEEFF"/>
              <w:bottom w:val="single" w:sz="8" w:color="9A9A9A"/>
            </w:tcBorders>
          </w:tcPr>
          <w:p>
            <w:pPr>
              <w:spacing w:after="0"/>
              <w:rPr>
                <w:sz w:val="24"/>
                <w:szCs w:val="24"/>
                <w:color w:val="auto"/>
              </w:rPr>
            </w:pPr>
          </w:p>
        </w:tc>
        <w:tc>
          <w:tcPr>
            <w:tcW w:w="300" w:type="dxa"/>
            <w:vAlign w:val="bottom"/>
            <w:tcBorders>
              <w:top w:val="single" w:sz="8" w:color="CCEEFF"/>
              <w:bottom w:val="single" w:sz="8" w:color="9A9A9A"/>
            </w:tcBorders>
          </w:tcPr>
          <w:p>
            <w:pPr>
              <w:spacing w:after="0"/>
              <w:rPr>
                <w:sz w:val="24"/>
                <w:szCs w:val="24"/>
                <w:color w:val="auto"/>
              </w:rPr>
            </w:pPr>
          </w:p>
        </w:tc>
        <w:tc>
          <w:tcPr>
            <w:tcW w:w="480" w:type="dxa"/>
            <w:vAlign w:val="bottom"/>
            <w:tcBorders>
              <w:top w:val="single" w:sz="8" w:color="CCEEFF"/>
              <w:bottom w:val="single" w:sz="8" w:color="9A9A9A"/>
            </w:tcBorders>
          </w:tcPr>
          <w:p>
            <w:pPr>
              <w:spacing w:after="0"/>
              <w:rPr>
                <w:sz w:val="24"/>
                <w:szCs w:val="24"/>
                <w:color w:val="auto"/>
              </w:rPr>
            </w:pPr>
          </w:p>
        </w:tc>
        <w:tc>
          <w:tcPr>
            <w:tcW w:w="420" w:type="dxa"/>
            <w:vAlign w:val="bottom"/>
            <w:tcBorders>
              <w:top w:val="single" w:sz="8" w:color="CCEEFF"/>
              <w:bottom w:val="single" w:sz="8" w:color="9A9A9A"/>
            </w:tcBorders>
          </w:tcPr>
          <w:p>
            <w:pPr>
              <w:spacing w:after="0"/>
              <w:rPr>
                <w:sz w:val="24"/>
                <w:szCs w:val="24"/>
                <w:color w:val="auto"/>
              </w:rPr>
            </w:pPr>
          </w:p>
        </w:tc>
        <w:tc>
          <w:tcPr>
            <w:tcW w:w="540" w:type="dxa"/>
            <w:vAlign w:val="bottom"/>
            <w:tcBorders>
              <w:top w:val="single" w:sz="8" w:color="CCEEFF"/>
              <w:bottom w:val="single" w:sz="8" w:color="9A9A9A"/>
            </w:tcBorders>
          </w:tcPr>
          <w:p>
            <w:pPr>
              <w:spacing w:after="0"/>
              <w:rPr>
                <w:sz w:val="24"/>
                <w:szCs w:val="24"/>
                <w:color w:val="auto"/>
              </w:rPr>
            </w:pPr>
          </w:p>
        </w:tc>
        <w:tc>
          <w:tcPr>
            <w:tcW w:w="500" w:type="dxa"/>
            <w:vAlign w:val="bottom"/>
            <w:tcBorders>
              <w:top w:val="single" w:sz="8" w:color="CCEEFF"/>
              <w:bottom w:val="single" w:sz="8" w:color="9A9A9A"/>
            </w:tcBorders>
          </w:tcPr>
          <w:p>
            <w:pPr>
              <w:spacing w:after="0"/>
              <w:rPr>
                <w:sz w:val="24"/>
                <w:szCs w:val="24"/>
                <w:color w:val="auto"/>
              </w:rPr>
            </w:pPr>
          </w:p>
        </w:tc>
        <w:tc>
          <w:tcPr>
            <w:tcW w:w="1640" w:type="dxa"/>
            <w:vAlign w:val="bottom"/>
            <w:tcBorders>
              <w:top w:val="single" w:sz="8" w:color="CCEEFF"/>
              <w:bottom w:val="single" w:sz="8" w:color="9A9A9A"/>
            </w:tcBorders>
          </w:tcPr>
          <w:p>
            <w:pPr>
              <w:spacing w:after="0"/>
              <w:rPr>
                <w:sz w:val="24"/>
                <w:szCs w:val="24"/>
                <w:color w:val="auto"/>
              </w:rPr>
            </w:pPr>
          </w:p>
        </w:tc>
        <w:tc>
          <w:tcPr>
            <w:tcW w:w="400" w:type="dxa"/>
            <w:vAlign w:val="bottom"/>
            <w:tcBorders>
              <w:top w:val="single" w:sz="8" w:color="CCEEFF"/>
              <w:bottom w:val="single" w:sz="8" w:color="9A9A9A"/>
            </w:tcBorders>
          </w:tcPr>
          <w:p>
            <w:pPr>
              <w:spacing w:after="0"/>
              <w:rPr>
                <w:sz w:val="24"/>
                <w:szCs w:val="24"/>
                <w:color w:val="auto"/>
              </w:rPr>
            </w:pPr>
          </w:p>
        </w:tc>
        <w:tc>
          <w:tcPr>
            <w:tcW w:w="2280" w:type="dxa"/>
            <w:vAlign w:val="bottom"/>
            <w:tcBorders>
              <w:top w:val="single" w:sz="8" w:color="CCEEFF"/>
              <w:bottom w:val="single" w:sz="8" w:color="9A9A9A"/>
            </w:tcBorders>
          </w:tcPr>
          <w:p>
            <w:pPr>
              <w:spacing w:after="0"/>
              <w:rPr>
                <w:sz w:val="24"/>
                <w:szCs w:val="24"/>
                <w:color w:val="auto"/>
              </w:rPr>
            </w:pPr>
          </w:p>
        </w:tc>
        <w:tc>
          <w:tcPr>
            <w:tcW w:w="2280" w:type="dxa"/>
            <w:vAlign w:val="bottom"/>
            <w:tcBorders>
              <w:top w:val="single" w:sz="8" w:color="CCEEFF"/>
              <w:bottom w:val="single" w:sz="8" w:color="9A9A9A"/>
            </w:tcBorders>
          </w:tcPr>
          <w:p>
            <w:pPr>
              <w:spacing w:after="0"/>
              <w:rPr>
                <w:sz w:val="24"/>
                <w:szCs w:val="24"/>
                <w:color w:val="auto"/>
              </w:rPr>
            </w:pPr>
          </w:p>
        </w:tc>
        <w:tc>
          <w:tcPr>
            <w:tcW w:w="140" w:type="dxa"/>
            <w:vAlign w:val="bottom"/>
            <w:tcBorders>
              <w:top w:val="single" w:sz="8" w:color="auto"/>
              <w:bottom w:val="single" w:sz="8" w:color="9A9A9A"/>
            </w:tcBorders>
          </w:tcPr>
          <w:p>
            <w:pPr>
              <w:spacing w:after="0"/>
              <w:rPr>
                <w:sz w:val="24"/>
                <w:szCs w:val="24"/>
                <w:color w:val="auto"/>
              </w:rPr>
            </w:pPr>
          </w:p>
        </w:tc>
        <w:tc>
          <w:tcPr>
            <w:tcW w:w="460" w:type="dxa"/>
            <w:vAlign w:val="bottom"/>
            <w:tcBorders>
              <w:top w:val="single" w:sz="8" w:color="CCEEFF"/>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7148830</wp:posOffset>
            </wp:positionH>
            <wp:positionV relativeFrom="paragraph">
              <wp:posOffset>-24765</wp:posOffset>
            </wp:positionV>
            <wp:extent cx="31750"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750" cy="3810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-24765</wp:posOffset>
            </wp:positionV>
            <wp:extent cx="31750"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750" cy="38100"/>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6"/>
          <w:szCs w:val="16"/>
          <w:b w:val="1"/>
          <w:bCs w:val="1"/>
          <w:color w:val="auto"/>
        </w:rPr>
        <w:t>Part I - Financial Information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1.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OPAL FUELS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CONDENSED CONSOLIDATED BALANCE SHEETS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(In thousands of U.S. dollars, except share and per share data)</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2"/>
                <w:szCs w:val="12"/>
                <w:b w:val="1"/>
                <w:bCs w:val="1"/>
                <w:color w:val="auto"/>
              </w:rPr>
              <w:t>March 31,</w:t>
            </w:r>
          </w:p>
        </w:tc>
        <w:tc>
          <w:tcPr>
            <w:tcW w:w="240" w:type="dxa"/>
            <w:vAlign w:val="bottom"/>
          </w:tcPr>
          <w:p>
            <w:pPr>
              <w:spacing w:after="0"/>
              <w:rPr>
                <w:sz w:val="12"/>
                <w:szCs w:val="12"/>
                <w:color w:val="auto"/>
              </w:rPr>
            </w:pPr>
          </w:p>
        </w:tc>
        <w:tc>
          <w:tcPr>
            <w:tcW w:w="1240" w:type="dxa"/>
            <w:vAlign w:val="bottom"/>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December 31,</w:t>
            </w:r>
          </w:p>
        </w:tc>
      </w:tr>
      <w:tr>
        <w:trPr>
          <w:trHeight w:val="157"/>
        </w:trPr>
        <w:tc>
          <w:tcPr>
            <w:tcW w:w="8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9"/>
              </w:rPr>
              <w:t>2024</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2023</w:t>
            </w:r>
          </w:p>
        </w:tc>
      </w:tr>
      <w:tr>
        <w:trPr>
          <w:trHeight w:val="161"/>
        </w:trPr>
        <w:tc>
          <w:tcPr>
            <w:tcW w:w="8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2"/>
                <w:szCs w:val="12"/>
                <w:b w:val="1"/>
                <w:bCs w:val="1"/>
                <w:color w:val="auto"/>
                <w:w w:val="99"/>
              </w:rPr>
              <w:t>(Unaudited)</w:t>
            </w: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42"/>
        </w:trPr>
        <w:tc>
          <w:tcPr>
            <w:tcW w:w="8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260" w:type="dxa"/>
            <w:vAlign w:val="bottom"/>
            <w:tcBorders>
              <w:top w:val="single" w:sz="8" w:color="auto"/>
              <w:bottom w:val="single" w:sz="8" w:color="CCEEFF"/>
            </w:tcBorders>
            <w:shd w:val="clear" w:color="auto" w:fill="CCEEFF"/>
          </w:tcPr>
          <w:p>
            <w:pPr>
              <w:spacing w:after="0"/>
              <w:rPr>
                <w:sz w:val="12"/>
                <w:szCs w:val="12"/>
                <w:color w:val="auto"/>
              </w:rPr>
            </w:pPr>
          </w:p>
        </w:tc>
        <w:tc>
          <w:tcPr>
            <w:tcW w:w="1240" w:type="dxa"/>
            <w:vAlign w:val="bottom"/>
            <w:tcBorders>
              <w:top w:val="single" w:sz="8" w:color="auto"/>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CCEEFF"/>
            </w:tcBorders>
            <w:shd w:val="clear" w:color="auto" w:fill="CCEEFF"/>
          </w:tcPr>
          <w:p>
            <w:pPr>
              <w:spacing w:after="0"/>
              <w:rPr>
                <w:sz w:val="12"/>
                <w:szCs w:val="12"/>
                <w:color w:val="auto"/>
              </w:rPr>
            </w:pPr>
          </w:p>
        </w:tc>
        <w:tc>
          <w:tcPr>
            <w:tcW w:w="1240" w:type="dxa"/>
            <w:vAlign w:val="bottom"/>
            <w:tcBorders>
              <w:top w:val="single" w:sz="8" w:color="auto"/>
              <w:bottom w:val="single" w:sz="8" w:color="CCEEFF"/>
            </w:tcBorders>
            <w:shd w:val="clear" w:color="auto" w:fill="CCEEFF"/>
          </w:tcPr>
          <w:p>
            <w:pPr>
              <w:spacing w:after="0"/>
              <w:rPr>
                <w:sz w:val="12"/>
                <w:szCs w:val="12"/>
                <w:color w:val="auto"/>
              </w:rPr>
            </w:pPr>
          </w:p>
        </w:tc>
      </w:tr>
      <w:tr>
        <w:trPr>
          <w:trHeight w:val="156"/>
        </w:trPr>
        <w:tc>
          <w:tcPr>
            <w:tcW w:w="8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Current assets:</w:t>
            </w:r>
          </w:p>
        </w:tc>
        <w:tc>
          <w:tcPr>
            <w:tcW w:w="2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24"/>
        </w:trPr>
        <w:tc>
          <w:tcPr>
            <w:tcW w:w="8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60"/>
        </w:trPr>
        <w:tc>
          <w:tcPr>
            <w:tcW w:w="8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Cash and cash equivalents (includes $1,160 and $166 at March 31, 2024 and December 31, 2023, respectively, related to consolidated VIEs)</w:t>
            </w:r>
          </w:p>
        </w:tc>
        <w:tc>
          <w:tcPr>
            <w:tcW w:w="260" w:type="dxa"/>
            <w:vAlign w:val="bottom"/>
            <w:tcBorders>
              <w:bottom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28,207</w:t>
            </w: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38,348</w:t>
            </w:r>
          </w:p>
        </w:tc>
      </w:tr>
      <w:tr>
        <w:trPr>
          <w:trHeight w:val="156"/>
        </w:trPr>
        <w:tc>
          <w:tcPr>
            <w:tcW w:w="82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Accounts receivable, net (includes $334 and $33 at March 31, 2024 and December 31, 2023, respectively, related to consolidated VIEs)</w:t>
            </w:r>
          </w:p>
        </w:tc>
        <w:tc>
          <w:tcPr>
            <w:tcW w:w="26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22,805</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27,623</w:t>
            </w:r>
          </w:p>
        </w:tc>
      </w:tr>
      <w:tr>
        <w:trPr>
          <w:trHeight w:val="24"/>
        </w:trPr>
        <w:tc>
          <w:tcPr>
            <w:tcW w:w="8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60"/>
        </w:trPr>
        <w:tc>
          <w:tcPr>
            <w:tcW w:w="8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Accounts receivable, related party</w:t>
            </w:r>
          </w:p>
        </w:tc>
        <w:tc>
          <w:tcPr>
            <w:tcW w:w="26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14,912</w:t>
            </w: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18,696</w:t>
            </w:r>
          </w:p>
        </w:tc>
      </w:tr>
      <w:tr>
        <w:trPr>
          <w:trHeight w:val="156"/>
        </w:trPr>
        <w:tc>
          <w:tcPr>
            <w:tcW w:w="82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Restricted cash - current (includes $1,012 and $4,395 at March 31, 2024 and December 31, 2023, respectively, related to consolidated VIEs)</w:t>
            </w:r>
          </w:p>
        </w:tc>
        <w:tc>
          <w:tcPr>
            <w:tcW w:w="26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1,012</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4,395</w:t>
            </w:r>
          </w:p>
        </w:tc>
      </w:tr>
      <w:tr>
        <w:trPr>
          <w:trHeight w:val="24"/>
        </w:trPr>
        <w:tc>
          <w:tcPr>
            <w:tcW w:w="8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60"/>
        </w:trPr>
        <w:tc>
          <w:tcPr>
            <w:tcW w:w="8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Short term investments</w:t>
            </w:r>
          </w:p>
        </w:tc>
        <w:tc>
          <w:tcPr>
            <w:tcW w:w="26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5,975</w:t>
            </w: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9,875</w:t>
            </w:r>
          </w:p>
        </w:tc>
      </w:tr>
      <w:tr>
        <w:trPr>
          <w:trHeight w:val="156"/>
        </w:trPr>
        <w:tc>
          <w:tcPr>
            <w:tcW w:w="82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Fuel tax credits receivable</w:t>
            </w:r>
          </w:p>
        </w:tc>
        <w:tc>
          <w:tcPr>
            <w:tcW w:w="26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4,212</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5,345</w:t>
            </w:r>
          </w:p>
        </w:tc>
      </w:tr>
      <w:tr>
        <w:trPr>
          <w:trHeight w:val="24"/>
        </w:trPr>
        <w:tc>
          <w:tcPr>
            <w:tcW w:w="8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60"/>
        </w:trPr>
        <w:tc>
          <w:tcPr>
            <w:tcW w:w="8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Contract assets</w:t>
            </w:r>
          </w:p>
        </w:tc>
        <w:tc>
          <w:tcPr>
            <w:tcW w:w="26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8,997</w:t>
            </w: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6,790</w:t>
            </w:r>
          </w:p>
        </w:tc>
      </w:tr>
      <w:tr>
        <w:trPr>
          <w:trHeight w:val="156"/>
        </w:trPr>
        <w:tc>
          <w:tcPr>
            <w:tcW w:w="82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Parts inventory (includes $29 and $29 at March 31, 2024 and December 31, 2023, respectively, related to consolidated VIEs)</w:t>
            </w:r>
          </w:p>
        </w:tc>
        <w:tc>
          <w:tcPr>
            <w:tcW w:w="26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11,135</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10,191</w:t>
            </w:r>
          </w:p>
        </w:tc>
      </w:tr>
      <w:tr>
        <w:trPr>
          <w:trHeight w:val="24"/>
        </w:trPr>
        <w:tc>
          <w:tcPr>
            <w:tcW w:w="8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60"/>
        </w:trPr>
        <w:tc>
          <w:tcPr>
            <w:tcW w:w="8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Environmental credits held for sale</w:t>
            </w:r>
          </w:p>
        </w:tc>
        <w:tc>
          <w:tcPr>
            <w:tcW w:w="26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1,534</w:t>
            </w: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172</w:t>
            </w:r>
          </w:p>
        </w:tc>
      </w:tr>
      <w:tr>
        <w:trPr>
          <w:trHeight w:val="156"/>
        </w:trPr>
        <w:tc>
          <w:tcPr>
            <w:tcW w:w="82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Prepaid expense and other current assets (includes $113 and $107 at March 31, 2024 and December 31, 2023, respectively, related to consolidated VIEs)</w:t>
            </w:r>
          </w:p>
        </w:tc>
        <w:tc>
          <w:tcPr>
            <w:tcW w:w="26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6,373</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6,005</w:t>
            </w:r>
          </w:p>
        </w:tc>
      </w:tr>
      <w:tr>
        <w:trPr>
          <w:trHeight w:val="24"/>
        </w:trPr>
        <w:tc>
          <w:tcPr>
            <w:tcW w:w="8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80"/>
        </w:trPr>
        <w:tc>
          <w:tcPr>
            <w:tcW w:w="8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Derivative financial assets, current portion</w:t>
            </w:r>
          </w:p>
        </w:tc>
        <w:tc>
          <w:tcPr>
            <w:tcW w:w="26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537</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633</w:t>
            </w:r>
          </w:p>
        </w:tc>
      </w:tr>
      <w:tr>
        <w:trPr>
          <w:trHeight w:val="146"/>
        </w:trPr>
        <w:tc>
          <w:tcPr>
            <w:tcW w:w="820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Total current assets</w:t>
            </w:r>
          </w:p>
        </w:tc>
        <w:tc>
          <w:tcPr>
            <w:tcW w:w="26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105,699</w:t>
            </w: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128,073</w:t>
            </w:r>
          </w:p>
        </w:tc>
      </w:tr>
      <w:tr>
        <w:trPr>
          <w:trHeight w:val="24"/>
        </w:trPr>
        <w:tc>
          <w:tcPr>
            <w:tcW w:w="8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50"/>
        </w:trPr>
        <w:tc>
          <w:tcPr>
            <w:tcW w:w="8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Capital spares</w:t>
            </w:r>
          </w:p>
        </w:tc>
        <w:tc>
          <w:tcPr>
            <w:tcW w:w="26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3,638</w:t>
            </w: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3,468</w:t>
            </w:r>
          </w:p>
        </w:tc>
      </w:tr>
      <w:tr>
        <w:trPr>
          <w:trHeight w:val="156"/>
        </w:trPr>
        <w:tc>
          <w:tcPr>
            <w:tcW w:w="82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Property, plant, and equipment, net (includes $26,254 and $26,626 at March 31, 2024 and December 31, 2023, respectively, related to consolidated VIEs)</w:t>
            </w:r>
          </w:p>
        </w:tc>
        <w:tc>
          <w:tcPr>
            <w:tcW w:w="26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359,369</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339,493</w:t>
            </w:r>
          </w:p>
        </w:tc>
      </w:tr>
      <w:tr>
        <w:trPr>
          <w:trHeight w:val="24"/>
        </w:trPr>
        <w:tc>
          <w:tcPr>
            <w:tcW w:w="8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60"/>
        </w:trPr>
        <w:tc>
          <w:tcPr>
            <w:tcW w:w="8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Operating lease right-of-use assets</w:t>
            </w:r>
          </w:p>
        </w:tc>
        <w:tc>
          <w:tcPr>
            <w:tcW w:w="26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12,137</w:t>
            </w: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12,301</w:t>
            </w:r>
          </w:p>
        </w:tc>
      </w:tr>
      <w:tr>
        <w:trPr>
          <w:trHeight w:val="156"/>
        </w:trPr>
        <w:tc>
          <w:tcPr>
            <w:tcW w:w="82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Investment in other entities</w:t>
            </w:r>
          </w:p>
        </w:tc>
        <w:tc>
          <w:tcPr>
            <w:tcW w:w="26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206,014</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207,099</w:t>
            </w:r>
          </w:p>
        </w:tc>
      </w:tr>
      <w:tr>
        <w:trPr>
          <w:trHeight w:val="24"/>
        </w:trPr>
        <w:tc>
          <w:tcPr>
            <w:tcW w:w="8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60"/>
        </w:trPr>
        <w:tc>
          <w:tcPr>
            <w:tcW w:w="8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Note receivable - variable fee component</w:t>
            </w:r>
          </w:p>
        </w:tc>
        <w:tc>
          <w:tcPr>
            <w:tcW w:w="26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2,369</w:t>
            </w: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2,302</w:t>
            </w:r>
          </w:p>
        </w:tc>
      </w:tr>
      <w:tr>
        <w:trPr>
          <w:trHeight w:val="156"/>
        </w:trPr>
        <w:tc>
          <w:tcPr>
            <w:tcW w:w="82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Other long-term assets</w:t>
            </w:r>
          </w:p>
        </w:tc>
        <w:tc>
          <w:tcPr>
            <w:tcW w:w="26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1,651</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1,162</w:t>
            </w:r>
          </w:p>
        </w:tc>
      </w:tr>
      <w:tr>
        <w:trPr>
          <w:trHeight w:val="24"/>
        </w:trPr>
        <w:tc>
          <w:tcPr>
            <w:tcW w:w="8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60"/>
        </w:trPr>
        <w:tc>
          <w:tcPr>
            <w:tcW w:w="8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Intangible assets, net</w:t>
            </w:r>
          </w:p>
        </w:tc>
        <w:tc>
          <w:tcPr>
            <w:tcW w:w="26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1,537</w:t>
            </w: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1,604</w:t>
            </w:r>
          </w:p>
        </w:tc>
      </w:tr>
      <w:tr>
        <w:trPr>
          <w:trHeight w:val="156"/>
        </w:trPr>
        <w:tc>
          <w:tcPr>
            <w:tcW w:w="82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Restricted cash - non-current (includes $1,957 and $1,850 at March 31, 2024 and December 31, 2023, respectively, related to consolidated VIEs)</w:t>
            </w:r>
          </w:p>
        </w:tc>
        <w:tc>
          <w:tcPr>
            <w:tcW w:w="26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3,477</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4,499</w:t>
            </w:r>
          </w:p>
        </w:tc>
      </w:tr>
      <w:tr>
        <w:trPr>
          <w:trHeight w:val="24"/>
        </w:trPr>
        <w:tc>
          <w:tcPr>
            <w:tcW w:w="8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80"/>
        </w:trPr>
        <w:tc>
          <w:tcPr>
            <w:tcW w:w="8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Goodwill</w:t>
            </w:r>
          </w:p>
        </w:tc>
        <w:tc>
          <w:tcPr>
            <w:tcW w:w="26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54,608</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54,608</w:t>
            </w:r>
          </w:p>
        </w:tc>
      </w:tr>
      <w:tr>
        <w:trPr>
          <w:trHeight w:val="168"/>
        </w:trPr>
        <w:tc>
          <w:tcPr>
            <w:tcW w:w="820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Total assets</w:t>
            </w:r>
          </w:p>
        </w:tc>
        <w:tc>
          <w:tcPr>
            <w:tcW w:w="260" w:type="dxa"/>
            <w:vAlign w:val="bottom"/>
            <w:tcBorders>
              <w:top w:val="single" w:sz="8" w:color="auto"/>
              <w:bottom w:val="single" w:sz="8" w:color="auto"/>
            </w:tcBorders>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750,499</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754,609</w:t>
            </w:r>
          </w:p>
        </w:tc>
      </w:tr>
      <w:tr>
        <w:trPr>
          <w:trHeight w:val="20"/>
        </w:trPr>
        <w:tc>
          <w:tcPr>
            <w:tcW w:w="82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22"/>
        </w:trPr>
        <w:tc>
          <w:tcPr>
            <w:tcW w:w="8200" w:type="dxa"/>
            <w:vAlign w:val="bottom"/>
            <w:tcBorders>
              <w:bottom w:val="single" w:sz="8" w:color="CCEEFF"/>
            </w:tcBorders>
            <w:shd w:val="clear" w:color="auto" w:fill="CCEEFF"/>
          </w:tcPr>
          <w:p>
            <w:pPr>
              <w:ind w:left="20"/>
              <w:spacing w:after="0" w:line="121" w:lineRule="exact"/>
              <w:rPr>
                <w:sz w:val="20"/>
                <w:szCs w:val="20"/>
                <w:color w:val="auto"/>
              </w:rPr>
            </w:pPr>
            <w:r>
              <w:rPr>
                <w:rFonts w:ascii="Times New Roman" w:cs="Times New Roman" w:eastAsia="Times New Roman" w:hAnsi="Times New Roman"/>
                <w:sz w:val="12"/>
                <w:szCs w:val="12"/>
                <w:b w:val="1"/>
                <w:bCs w:val="1"/>
                <w:color w:val="auto"/>
              </w:rPr>
              <w:t>Liabilities and Stockholders' Deficit</w:t>
            </w:r>
          </w:p>
        </w:tc>
        <w:tc>
          <w:tcPr>
            <w:tcW w:w="260" w:type="dxa"/>
            <w:vAlign w:val="bottom"/>
            <w:tcBorders>
              <w:bottom w:val="single" w:sz="8" w:color="CCEEFF"/>
            </w:tcBorders>
            <w:shd w:val="clear" w:color="auto" w:fill="CCEEFF"/>
          </w:tcPr>
          <w:p>
            <w:pPr>
              <w:spacing w:after="0"/>
              <w:rPr>
                <w:sz w:val="10"/>
                <w:szCs w:val="10"/>
                <w:color w:val="auto"/>
              </w:rPr>
            </w:pPr>
          </w:p>
        </w:tc>
        <w:tc>
          <w:tcPr>
            <w:tcW w:w="124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240" w:type="dxa"/>
            <w:vAlign w:val="bottom"/>
            <w:tcBorders>
              <w:bottom w:val="single" w:sz="8" w:color="CCEEFF"/>
            </w:tcBorders>
            <w:shd w:val="clear" w:color="auto" w:fill="CCEEFF"/>
          </w:tcPr>
          <w:p>
            <w:pPr>
              <w:spacing w:after="0"/>
              <w:rPr>
                <w:sz w:val="10"/>
                <w:szCs w:val="10"/>
                <w:color w:val="auto"/>
              </w:rPr>
            </w:pPr>
          </w:p>
        </w:tc>
        <w:tc>
          <w:tcPr>
            <w:tcW w:w="1240" w:type="dxa"/>
            <w:vAlign w:val="bottom"/>
            <w:tcBorders>
              <w:bottom w:val="single" w:sz="8" w:color="CCEEFF"/>
            </w:tcBorders>
            <w:shd w:val="clear" w:color="auto" w:fill="CCEEFF"/>
          </w:tcPr>
          <w:p>
            <w:pPr>
              <w:spacing w:after="0"/>
              <w:rPr>
                <w:sz w:val="10"/>
                <w:szCs w:val="10"/>
                <w:color w:val="auto"/>
              </w:rPr>
            </w:pPr>
          </w:p>
        </w:tc>
      </w:tr>
      <w:tr>
        <w:trPr>
          <w:trHeight w:val="156"/>
        </w:trPr>
        <w:tc>
          <w:tcPr>
            <w:tcW w:w="8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Current liabilities:</w:t>
            </w:r>
          </w:p>
        </w:tc>
        <w:tc>
          <w:tcPr>
            <w:tcW w:w="2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24"/>
        </w:trPr>
        <w:tc>
          <w:tcPr>
            <w:tcW w:w="8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60"/>
        </w:trPr>
        <w:tc>
          <w:tcPr>
            <w:tcW w:w="8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Accounts payable (includes $11 and $744 at March 31, 2024 and December 31, 2023, respectively, related to consolidated VIEs)</w:t>
            </w:r>
          </w:p>
        </w:tc>
        <w:tc>
          <w:tcPr>
            <w:tcW w:w="26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10,815</w:t>
            </w: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13,901</w:t>
            </w:r>
          </w:p>
        </w:tc>
      </w:tr>
      <w:tr>
        <w:trPr>
          <w:trHeight w:val="156"/>
        </w:trPr>
        <w:tc>
          <w:tcPr>
            <w:tcW w:w="82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Accounts payable, related party (includes $802 and $1,046 at March 31, 2024 and December 31, 2023, respectively, related to consolidated VIEs)</w:t>
            </w:r>
          </w:p>
        </w:tc>
        <w:tc>
          <w:tcPr>
            <w:tcW w:w="26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8,166</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7,024</w:t>
            </w:r>
          </w:p>
        </w:tc>
      </w:tr>
      <w:tr>
        <w:trPr>
          <w:trHeight w:val="24"/>
        </w:trPr>
        <w:tc>
          <w:tcPr>
            <w:tcW w:w="8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60"/>
        </w:trPr>
        <w:tc>
          <w:tcPr>
            <w:tcW w:w="8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Fuel tax credits payable</w:t>
            </w:r>
          </w:p>
        </w:tc>
        <w:tc>
          <w:tcPr>
            <w:tcW w:w="26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4,551</w:t>
            </w: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4,558</w:t>
            </w:r>
          </w:p>
        </w:tc>
      </w:tr>
      <w:tr>
        <w:trPr>
          <w:trHeight w:val="156"/>
        </w:trPr>
        <w:tc>
          <w:tcPr>
            <w:tcW w:w="82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Accrued payroll</w:t>
            </w:r>
          </w:p>
        </w:tc>
        <w:tc>
          <w:tcPr>
            <w:tcW w:w="26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10,422</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9,023</w:t>
            </w:r>
          </w:p>
        </w:tc>
      </w:tr>
      <w:tr>
        <w:trPr>
          <w:trHeight w:val="24"/>
        </w:trPr>
        <w:tc>
          <w:tcPr>
            <w:tcW w:w="8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60"/>
        </w:trPr>
        <w:tc>
          <w:tcPr>
            <w:tcW w:w="8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Accrued capital expenses</w:t>
            </w:r>
          </w:p>
        </w:tc>
        <w:tc>
          <w:tcPr>
            <w:tcW w:w="26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10,743</w:t>
            </w: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15,128</w:t>
            </w:r>
          </w:p>
        </w:tc>
      </w:tr>
      <w:tr>
        <w:trPr>
          <w:trHeight w:val="156"/>
        </w:trPr>
        <w:tc>
          <w:tcPr>
            <w:tcW w:w="82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Accrued expenses and other current liabilities (includes $861 and $647 at March 31, 2024 and December 31, 2023, respectively, related to consolidated VIEs)</w:t>
            </w:r>
          </w:p>
        </w:tc>
        <w:tc>
          <w:tcPr>
            <w:tcW w:w="26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16,792</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14,245</w:t>
            </w:r>
          </w:p>
        </w:tc>
      </w:tr>
      <w:tr>
        <w:trPr>
          <w:trHeight w:val="24"/>
        </w:trPr>
        <w:tc>
          <w:tcPr>
            <w:tcW w:w="8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60"/>
        </w:trPr>
        <w:tc>
          <w:tcPr>
            <w:tcW w:w="8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Contract liabilities</w:t>
            </w:r>
          </w:p>
        </w:tc>
        <w:tc>
          <w:tcPr>
            <w:tcW w:w="26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7,785</w:t>
            </w: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6,314</w:t>
            </w:r>
          </w:p>
        </w:tc>
      </w:tr>
      <w:tr>
        <w:trPr>
          <w:trHeight w:val="156"/>
        </w:trPr>
        <w:tc>
          <w:tcPr>
            <w:tcW w:w="82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OPAL Term Loan, current portion</w:t>
            </w:r>
          </w:p>
        </w:tc>
        <w:tc>
          <w:tcPr>
            <w:tcW w:w="26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1,866</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167640</wp:posOffset>
            </wp:positionV>
            <wp:extent cx="7193280"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80"/>
        </w:trPr>
        <w:tc>
          <w:tcPr>
            <w:tcW w:w="8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Sunoma Loan, current portion (includes $1,652 and $1,608 at March 31, 2024 and December 31, 2023, respectively, related to consolidated VIEs)</w:t>
            </w:r>
          </w:p>
        </w:tc>
        <w:tc>
          <w:tcPr>
            <w:tcW w:w="5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1,652</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1,608</w:t>
            </w:r>
          </w:p>
        </w:tc>
        <w:tc>
          <w:tcPr>
            <w:tcW w:w="0" w:type="dxa"/>
            <w:vAlign w:val="bottom"/>
          </w:tcPr>
          <w:p>
            <w:pPr>
              <w:spacing w:after="0"/>
              <w:rPr>
                <w:sz w:val="1"/>
                <w:szCs w:val="1"/>
                <w:color w:val="auto"/>
              </w:rPr>
            </w:pPr>
          </w:p>
        </w:tc>
      </w:tr>
      <w:tr>
        <w:trPr>
          <w:trHeight w:val="156"/>
        </w:trPr>
        <w:tc>
          <w:tcPr>
            <w:tcW w:w="82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Operating lease liabilities - current portion</w:t>
            </w:r>
          </w:p>
        </w:tc>
        <w:tc>
          <w:tcPr>
            <w:tcW w:w="5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656</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638</w:t>
            </w:r>
          </w:p>
        </w:tc>
        <w:tc>
          <w:tcPr>
            <w:tcW w:w="0" w:type="dxa"/>
            <w:vAlign w:val="bottom"/>
          </w:tcPr>
          <w:p>
            <w:pPr>
              <w:spacing w:after="0"/>
              <w:rPr>
                <w:sz w:val="1"/>
                <w:szCs w:val="1"/>
                <w:color w:val="auto"/>
              </w:rPr>
            </w:pPr>
          </w:p>
        </w:tc>
      </w:tr>
      <w:tr>
        <w:trPr>
          <w:trHeight w:val="24"/>
        </w:trPr>
        <w:tc>
          <w:tcPr>
            <w:tcW w:w="8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8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Other current liabilities (includes $94 and $92 at March 31, 2024 and December 31, 2023, respectively, related to consolidated VIEs)</w:t>
            </w:r>
          </w:p>
        </w:tc>
        <w:tc>
          <w:tcPr>
            <w:tcW w:w="54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w:t>
            </w:r>
          </w:p>
        </w:tc>
        <w:tc>
          <w:tcPr>
            <w:tcW w:w="10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w:t>
            </w:r>
          </w:p>
        </w:tc>
        <w:tc>
          <w:tcPr>
            <w:tcW w:w="0" w:type="dxa"/>
            <w:vAlign w:val="bottom"/>
          </w:tcPr>
          <w:p>
            <w:pPr>
              <w:spacing w:after="0"/>
              <w:rPr>
                <w:sz w:val="1"/>
                <w:szCs w:val="1"/>
                <w:color w:val="auto"/>
              </w:rPr>
            </w:pPr>
          </w:p>
        </w:tc>
      </w:tr>
      <w:tr>
        <w:trPr>
          <w:trHeight w:val="156"/>
        </w:trPr>
        <w:tc>
          <w:tcPr>
            <w:tcW w:w="82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Asset retirement obligation, current portion</w:t>
            </w:r>
          </w:p>
        </w:tc>
        <w:tc>
          <w:tcPr>
            <w:tcW w:w="5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1,812</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1,812</w:t>
            </w:r>
          </w:p>
        </w:tc>
        <w:tc>
          <w:tcPr>
            <w:tcW w:w="0" w:type="dxa"/>
            <w:vAlign w:val="bottom"/>
          </w:tcPr>
          <w:p>
            <w:pPr>
              <w:spacing w:after="0"/>
              <w:rPr>
                <w:sz w:val="1"/>
                <w:szCs w:val="1"/>
                <w:color w:val="auto"/>
              </w:rPr>
            </w:pPr>
          </w:p>
        </w:tc>
      </w:tr>
      <w:tr>
        <w:trPr>
          <w:trHeight w:val="24"/>
        </w:trPr>
        <w:tc>
          <w:tcPr>
            <w:tcW w:w="82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0"/>
        </w:trPr>
        <w:tc>
          <w:tcPr>
            <w:tcW w:w="82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Total current liabilities</w:t>
            </w:r>
          </w:p>
        </w:tc>
        <w:tc>
          <w:tcPr>
            <w:tcW w:w="54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75,354</w:t>
            </w:r>
          </w:p>
        </w:tc>
        <w:tc>
          <w:tcPr>
            <w:tcW w:w="10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74,343</w:t>
            </w:r>
          </w:p>
        </w:tc>
        <w:tc>
          <w:tcPr>
            <w:tcW w:w="0" w:type="dxa"/>
            <w:vAlign w:val="bottom"/>
          </w:tcPr>
          <w:p>
            <w:pPr>
              <w:spacing w:after="0"/>
              <w:rPr>
                <w:sz w:val="1"/>
                <w:szCs w:val="1"/>
                <w:color w:val="auto"/>
              </w:rPr>
            </w:pPr>
          </w:p>
        </w:tc>
      </w:tr>
      <w:tr>
        <w:trPr>
          <w:trHeight w:val="146"/>
        </w:trPr>
        <w:tc>
          <w:tcPr>
            <w:tcW w:w="82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Asset retirement obligation, non-current portion</w:t>
            </w:r>
          </w:p>
        </w:tc>
        <w:tc>
          <w:tcPr>
            <w:tcW w:w="5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5,068</w:t>
            </w:r>
          </w:p>
        </w:tc>
        <w:tc>
          <w:tcPr>
            <w:tcW w:w="10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4,916</w:t>
            </w:r>
          </w:p>
        </w:tc>
        <w:tc>
          <w:tcPr>
            <w:tcW w:w="0" w:type="dxa"/>
            <w:vAlign w:val="bottom"/>
          </w:tcPr>
          <w:p>
            <w:pPr>
              <w:spacing w:after="0"/>
              <w:rPr>
                <w:sz w:val="1"/>
                <w:szCs w:val="1"/>
                <w:color w:val="auto"/>
              </w:rPr>
            </w:pPr>
          </w:p>
        </w:tc>
      </w:tr>
      <w:tr>
        <w:trPr>
          <w:trHeight w:val="24"/>
        </w:trPr>
        <w:tc>
          <w:tcPr>
            <w:tcW w:w="8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8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OPAL Term Loan, net of debt issuance costs</w:t>
            </w:r>
          </w:p>
        </w:tc>
        <w:tc>
          <w:tcPr>
            <w:tcW w:w="54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175,161</w:t>
            </w:r>
          </w:p>
        </w:tc>
        <w:tc>
          <w:tcPr>
            <w:tcW w:w="10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176,532</w:t>
            </w:r>
          </w:p>
        </w:tc>
        <w:tc>
          <w:tcPr>
            <w:tcW w:w="0" w:type="dxa"/>
            <w:vAlign w:val="bottom"/>
          </w:tcPr>
          <w:p>
            <w:pPr>
              <w:spacing w:after="0"/>
              <w:rPr>
                <w:sz w:val="1"/>
                <w:szCs w:val="1"/>
                <w:color w:val="auto"/>
              </w:rPr>
            </w:pPr>
          </w:p>
        </w:tc>
      </w:tr>
      <w:tr>
        <w:trPr>
          <w:trHeight w:val="156"/>
        </w:trPr>
        <w:tc>
          <w:tcPr>
            <w:tcW w:w="82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Sunoma Loan, net of debt issuance costs (includes $19,609 and $20,010 at March 31, 2024 and December 31, 2023, respectively, related to consolidated VIEs)</w:t>
            </w:r>
          </w:p>
        </w:tc>
        <w:tc>
          <w:tcPr>
            <w:tcW w:w="5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19,609</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20,010</w:t>
            </w:r>
          </w:p>
        </w:tc>
        <w:tc>
          <w:tcPr>
            <w:tcW w:w="0" w:type="dxa"/>
            <w:vAlign w:val="bottom"/>
          </w:tcPr>
          <w:p>
            <w:pPr>
              <w:spacing w:after="0"/>
              <w:rPr>
                <w:sz w:val="1"/>
                <w:szCs w:val="1"/>
                <w:color w:val="auto"/>
              </w:rPr>
            </w:pPr>
          </w:p>
        </w:tc>
      </w:tr>
      <w:tr>
        <w:trPr>
          <w:trHeight w:val="24"/>
        </w:trPr>
        <w:tc>
          <w:tcPr>
            <w:tcW w:w="8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8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Operating lease liabilities - non-current portion</w:t>
            </w:r>
          </w:p>
        </w:tc>
        <w:tc>
          <w:tcPr>
            <w:tcW w:w="54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11,646</w:t>
            </w:r>
          </w:p>
        </w:tc>
        <w:tc>
          <w:tcPr>
            <w:tcW w:w="10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11,824</w:t>
            </w:r>
          </w:p>
        </w:tc>
        <w:tc>
          <w:tcPr>
            <w:tcW w:w="0" w:type="dxa"/>
            <w:vAlign w:val="bottom"/>
          </w:tcPr>
          <w:p>
            <w:pPr>
              <w:spacing w:after="0"/>
              <w:rPr>
                <w:sz w:val="1"/>
                <w:szCs w:val="1"/>
                <w:color w:val="auto"/>
              </w:rPr>
            </w:pPr>
          </w:p>
        </w:tc>
      </w:tr>
      <w:tr>
        <w:trPr>
          <w:trHeight w:val="156"/>
        </w:trPr>
        <w:tc>
          <w:tcPr>
            <w:tcW w:w="82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Earn out liabilities</w:t>
            </w:r>
          </w:p>
        </w:tc>
        <w:tc>
          <w:tcPr>
            <w:tcW w:w="5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1,497</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1,900</w:t>
            </w:r>
          </w:p>
        </w:tc>
        <w:tc>
          <w:tcPr>
            <w:tcW w:w="0" w:type="dxa"/>
            <w:vAlign w:val="bottom"/>
          </w:tcPr>
          <w:p>
            <w:pPr>
              <w:spacing w:after="0"/>
              <w:rPr>
                <w:sz w:val="1"/>
                <w:szCs w:val="1"/>
                <w:color w:val="auto"/>
              </w:rPr>
            </w:pPr>
          </w:p>
        </w:tc>
      </w:tr>
      <w:tr>
        <w:trPr>
          <w:trHeight w:val="24"/>
        </w:trPr>
        <w:tc>
          <w:tcPr>
            <w:tcW w:w="8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8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Other long-term liabilities (includes $1,297 and $211 at March 31, 2024 and December 31, 2023, respectively, related to consolidated VIEs)</w:t>
            </w:r>
          </w:p>
        </w:tc>
        <w:tc>
          <w:tcPr>
            <w:tcW w:w="54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8,637</w:t>
            </w:r>
          </w:p>
        </w:tc>
        <w:tc>
          <w:tcPr>
            <w:tcW w:w="1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7,599</w:t>
            </w:r>
          </w:p>
        </w:tc>
        <w:tc>
          <w:tcPr>
            <w:tcW w:w="0" w:type="dxa"/>
            <w:vAlign w:val="bottom"/>
          </w:tcPr>
          <w:p>
            <w:pPr>
              <w:spacing w:after="0"/>
              <w:rPr>
                <w:sz w:val="1"/>
                <w:szCs w:val="1"/>
                <w:color w:val="auto"/>
              </w:rPr>
            </w:pPr>
          </w:p>
        </w:tc>
      </w:tr>
      <w:tr>
        <w:trPr>
          <w:trHeight w:val="146"/>
        </w:trPr>
        <w:tc>
          <w:tcPr>
            <w:tcW w:w="820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Total liabilities</w:t>
            </w:r>
          </w:p>
        </w:tc>
        <w:tc>
          <w:tcPr>
            <w:tcW w:w="5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296,972</w:t>
            </w:r>
          </w:p>
        </w:tc>
        <w:tc>
          <w:tcPr>
            <w:tcW w:w="10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297,124</w:t>
            </w:r>
          </w:p>
        </w:tc>
        <w:tc>
          <w:tcPr>
            <w:tcW w:w="0" w:type="dxa"/>
            <w:vAlign w:val="bottom"/>
          </w:tcPr>
          <w:p>
            <w:pPr>
              <w:spacing w:after="0"/>
              <w:rPr>
                <w:sz w:val="1"/>
                <w:szCs w:val="1"/>
                <w:color w:val="auto"/>
              </w:rPr>
            </w:pPr>
          </w:p>
        </w:tc>
      </w:tr>
      <w:tr>
        <w:trPr>
          <w:trHeight w:val="24"/>
        </w:trPr>
        <w:tc>
          <w:tcPr>
            <w:tcW w:w="82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0"/>
        </w:trPr>
        <w:tc>
          <w:tcPr>
            <w:tcW w:w="8200" w:type="dxa"/>
            <w:vAlign w:val="bottom"/>
            <w:tcBorders>
              <w:bottom w:val="single" w:sz="8" w:color="CCEEFF"/>
            </w:tcBorders>
            <w:shd w:val="clear" w:color="auto" w:fill="CCEEFF"/>
          </w:tcPr>
          <w:p>
            <w:pPr>
              <w:ind w:left="20"/>
              <w:spacing w:after="0" w:line="136" w:lineRule="exact"/>
              <w:rPr>
                <w:sz w:val="20"/>
                <w:szCs w:val="20"/>
                <w:color w:val="auto"/>
              </w:rPr>
            </w:pPr>
            <w:r>
              <w:rPr>
                <w:rFonts w:ascii="Times New Roman" w:cs="Times New Roman" w:eastAsia="Times New Roman" w:hAnsi="Times New Roman"/>
                <w:sz w:val="12"/>
                <w:szCs w:val="12"/>
                <w:color w:val="auto"/>
              </w:rPr>
              <w:t>Commitments and contingencies</w:t>
            </w:r>
          </w:p>
        </w:tc>
        <w:tc>
          <w:tcPr>
            <w:tcW w:w="54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8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Redeemable preferred non-controlling interests</w:t>
            </w:r>
          </w:p>
        </w:tc>
        <w:tc>
          <w:tcPr>
            <w:tcW w:w="5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130,000</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132,617</w:t>
            </w:r>
          </w:p>
        </w:tc>
        <w:tc>
          <w:tcPr>
            <w:tcW w:w="0" w:type="dxa"/>
            <w:vAlign w:val="bottom"/>
          </w:tcPr>
          <w:p>
            <w:pPr>
              <w:spacing w:after="0"/>
              <w:rPr>
                <w:sz w:val="1"/>
                <w:szCs w:val="1"/>
                <w:color w:val="auto"/>
              </w:rPr>
            </w:pPr>
          </w:p>
        </w:tc>
      </w:tr>
      <w:tr>
        <w:trPr>
          <w:trHeight w:val="182"/>
        </w:trPr>
        <w:tc>
          <w:tcPr>
            <w:tcW w:w="8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Redeemable non-controlling interests</w:t>
            </w:r>
          </w:p>
        </w:tc>
        <w:tc>
          <w:tcPr>
            <w:tcW w:w="5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705,190</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802,720</w:t>
            </w:r>
          </w:p>
        </w:tc>
        <w:tc>
          <w:tcPr>
            <w:tcW w:w="0" w:type="dxa"/>
            <w:vAlign w:val="bottom"/>
          </w:tcPr>
          <w:p>
            <w:pPr>
              <w:spacing w:after="0"/>
              <w:rPr>
                <w:sz w:val="1"/>
                <w:szCs w:val="1"/>
                <w:color w:val="auto"/>
              </w:rPr>
            </w:pPr>
          </w:p>
        </w:tc>
      </w:tr>
      <w:tr>
        <w:trPr>
          <w:trHeight w:val="156"/>
        </w:trPr>
        <w:tc>
          <w:tcPr>
            <w:tcW w:w="8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Stockholders' deficit</w:t>
            </w:r>
          </w:p>
        </w:tc>
        <w:tc>
          <w:tcPr>
            <w:tcW w:w="5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8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1"/>
        </w:trPr>
        <w:tc>
          <w:tcPr>
            <w:tcW w:w="8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Class A common stock, $0.0001 par value, 340,000,000 shares authorized as of March 31, 2024; 30,022,288 and 29,701,146 shares, issued and outstanding at</w:t>
            </w:r>
          </w:p>
        </w:tc>
        <w:tc>
          <w:tcPr>
            <w:tcW w:w="54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0" w:type="dxa"/>
            <w:vAlign w:val="bottom"/>
          </w:tcPr>
          <w:p>
            <w:pPr>
              <w:spacing w:after="0"/>
              <w:rPr>
                <w:sz w:val="1"/>
                <w:szCs w:val="1"/>
                <w:color w:val="auto"/>
              </w:rPr>
            </w:pPr>
          </w:p>
        </w:tc>
      </w:tr>
      <w:tr>
        <w:trPr>
          <w:trHeight w:val="169"/>
        </w:trPr>
        <w:tc>
          <w:tcPr>
            <w:tcW w:w="8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March 31, 2024 and December 31, 2023, respectively</w:t>
            </w:r>
          </w:p>
        </w:tc>
        <w:tc>
          <w:tcPr>
            <w:tcW w:w="54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82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Class B common stock, $0.0001 par value, 160,000,000 shares authorized as of March 31, 2024; 71,500,000 and 0 shares issued and outstanding as of March 31, 2024</w:t>
            </w:r>
          </w:p>
        </w:tc>
        <w:tc>
          <w:tcPr>
            <w:tcW w:w="54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2"/>
        </w:trPr>
        <w:tc>
          <w:tcPr>
            <w:tcW w:w="820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and December 31, 2023, respectively</w:t>
            </w:r>
          </w:p>
        </w:tc>
        <w:tc>
          <w:tcPr>
            <w:tcW w:w="54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Class C common stock, $0.0001 par value, 160,000,000 shares authorized as of March 31, 2024; and 0 issued and outstanding as of March 31, 2024 and December 31,</w:t>
            </w:r>
          </w:p>
        </w:tc>
        <w:tc>
          <w:tcPr>
            <w:tcW w:w="540" w:type="dxa"/>
            <w:vAlign w:val="bottom"/>
            <w:shd w:val="clear" w:color="auto" w:fill="CCEEFF"/>
          </w:tcPr>
          <w:p>
            <w:pPr>
              <w:spacing w:after="0"/>
              <w:rPr>
                <w:sz w:val="12"/>
                <w:szCs w:val="12"/>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9"/>
        </w:trPr>
        <w:tc>
          <w:tcPr>
            <w:tcW w:w="8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2023</w:t>
            </w:r>
          </w:p>
        </w:tc>
        <w:tc>
          <w:tcPr>
            <w:tcW w:w="540" w:type="dxa"/>
            <w:vAlign w:val="bottom"/>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82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Class D common stock, $0.0001 par value, 160,000,000 shares authorized as of March 31, 2024; 72,899,037 and 144,399,037 shares issued and outstanding at</w:t>
            </w:r>
          </w:p>
        </w:tc>
        <w:tc>
          <w:tcPr>
            <w:tcW w:w="54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0" w:type="dxa"/>
            <w:vAlign w:val="bottom"/>
          </w:tcPr>
          <w:p>
            <w:pPr>
              <w:spacing w:after="0"/>
              <w:rPr>
                <w:sz w:val="1"/>
                <w:szCs w:val="1"/>
                <w:color w:val="auto"/>
              </w:rPr>
            </w:pPr>
          </w:p>
        </w:tc>
      </w:tr>
      <w:tr>
        <w:trPr>
          <w:trHeight w:val="162"/>
        </w:trPr>
        <w:tc>
          <w:tcPr>
            <w:tcW w:w="820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March 31, 2024 and December 31, 2023, respectively</w:t>
            </w:r>
          </w:p>
        </w:tc>
        <w:tc>
          <w:tcPr>
            <w:tcW w:w="54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8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Additional paid-in capital</w:t>
            </w:r>
          </w:p>
        </w:tc>
        <w:tc>
          <w:tcPr>
            <w:tcW w:w="54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6"/>
        </w:trPr>
        <w:tc>
          <w:tcPr>
            <w:tcW w:w="82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Accumulated deficit</w:t>
            </w:r>
          </w:p>
        </w:tc>
        <w:tc>
          <w:tcPr>
            <w:tcW w:w="5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(370,832)</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(467,195)</w:t>
            </w:r>
          </w:p>
        </w:tc>
        <w:tc>
          <w:tcPr>
            <w:tcW w:w="0" w:type="dxa"/>
            <w:vAlign w:val="bottom"/>
          </w:tcPr>
          <w:p>
            <w:pPr>
              <w:spacing w:after="0"/>
              <w:rPr>
                <w:sz w:val="1"/>
                <w:szCs w:val="1"/>
                <w:color w:val="auto"/>
              </w:rPr>
            </w:pPr>
          </w:p>
        </w:tc>
      </w:tr>
      <w:tr>
        <w:trPr>
          <w:trHeight w:val="24"/>
        </w:trPr>
        <w:tc>
          <w:tcPr>
            <w:tcW w:w="8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8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Accumulated other comprehensive income (loss)</w:t>
            </w:r>
          </w:p>
        </w:tc>
        <w:tc>
          <w:tcPr>
            <w:tcW w:w="54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w:t>
            </w:r>
          </w:p>
        </w:tc>
        <w:tc>
          <w:tcPr>
            <w:tcW w:w="10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0" w:type="dxa"/>
            <w:vAlign w:val="bottom"/>
          </w:tcPr>
          <w:p>
            <w:pPr>
              <w:spacing w:after="0"/>
              <w:rPr>
                <w:sz w:val="1"/>
                <w:szCs w:val="1"/>
                <w:color w:val="auto"/>
              </w:rPr>
            </w:pPr>
          </w:p>
        </w:tc>
      </w:tr>
      <w:tr>
        <w:trPr>
          <w:trHeight w:val="156"/>
        </w:trPr>
        <w:tc>
          <w:tcPr>
            <w:tcW w:w="82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Class A common stock in treasury, at cost; 1,635,783 shares at March 31, 2024 and December 31, 2023</w:t>
            </w:r>
          </w:p>
        </w:tc>
        <w:tc>
          <w:tcPr>
            <w:tcW w:w="5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(11,614)</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(11,614)</w:t>
            </w:r>
          </w:p>
        </w:tc>
        <w:tc>
          <w:tcPr>
            <w:tcW w:w="0" w:type="dxa"/>
            <w:vAlign w:val="bottom"/>
          </w:tcPr>
          <w:p>
            <w:pPr>
              <w:spacing w:after="0"/>
              <w:rPr>
                <w:sz w:val="1"/>
                <w:szCs w:val="1"/>
                <w:color w:val="auto"/>
              </w:rPr>
            </w:pPr>
          </w:p>
        </w:tc>
      </w:tr>
      <w:tr>
        <w:trPr>
          <w:trHeight w:val="24"/>
        </w:trPr>
        <w:tc>
          <w:tcPr>
            <w:tcW w:w="82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0"/>
        </w:trPr>
        <w:tc>
          <w:tcPr>
            <w:tcW w:w="82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Total Stockholders' deficit attributable to the Company</w:t>
            </w:r>
          </w:p>
        </w:tc>
        <w:tc>
          <w:tcPr>
            <w:tcW w:w="54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(382,387)</w:t>
            </w:r>
          </w:p>
        </w:tc>
        <w:tc>
          <w:tcPr>
            <w:tcW w:w="10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(478,807)</w:t>
            </w:r>
          </w:p>
        </w:tc>
        <w:tc>
          <w:tcPr>
            <w:tcW w:w="0" w:type="dxa"/>
            <w:vAlign w:val="bottom"/>
          </w:tcPr>
          <w:p>
            <w:pPr>
              <w:spacing w:after="0"/>
              <w:rPr>
                <w:sz w:val="1"/>
                <w:szCs w:val="1"/>
                <w:color w:val="auto"/>
              </w:rPr>
            </w:pPr>
          </w:p>
        </w:tc>
      </w:tr>
      <w:tr>
        <w:trPr>
          <w:trHeight w:val="146"/>
        </w:trPr>
        <w:tc>
          <w:tcPr>
            <w:tcW w:w="82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Non-redeemable non-controlling interests</w:t>
            </w:r>
          </w:p>
        </w:tc>
        <w:tc>
          <w:tcPr>
            <w:tcW w:w="5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724</w:t>
            </w:r>
          </w:p>
        </w:tc>
        <w:tc>
          <w:tcPr>
            <w:tcW w:w="10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955</w:t>
            </w:r>
          </w:p>
        </w:tc>
        <w:tc>
          <w:tcPr>
            <w:tcW w:w="0" w:type="dxa"/>
            <w:vAlign w:val="bottom"/>
          </w:tcPr>
          <w:p>
            <w:pPr>
              <w:spacing w:after="0"/>
              <w:rPr>
                <w:sz w:val="1"/>
                <w:szCs w:val="1"/>
                <w:color w:val="auto"/>
              </w:rPr>
            </w:pPr>
          </w:p>
        </w:tc>
      </w:tr>
      <w:tr>
        <w:trPr>
          <w:trHeight w:val="24"/>
        </w:trPr>
        <w:tc>
          <w:tcPr>
            <w:tcW w:w="82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0"/>
        </w:trPr>
        <w:tc>
          <w:tcPr>
            <w:tcW w:w="82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Total Stockholders' deficit</w:t>
            </w:r>
          </w:p>
        </w:tc>
        <w:tc>
          <w:tcPr>
            <w:tcW w:w="54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(381,663)</w:t>
            </w:r>
          </w:p>
        </w:tc>
        <w:tc>
          <w:tcPr>
            <w:tcW w:w="10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(477,852)</w:t>
            </w:r>
          </w:p>
        </w:tc>
        <w:tc>
          <w:tcPr>
            <w:tcW w:w="0" w:type="dxa"/>
            <w:vAlign w:val="bottom"/>
          </w:tcPr>
          <w:p>
            <w:pPr>
              <w:spacing w:after="0"/>
              <w:rPr>
                <w:sz w:val="1"/>
                <w:szCs w:val="1"/>
                <w:color w:val="auto"/>
              </w:rPr>
            </w:pPr>
          </w:p>
        </w:tc>
      </w:tr>
      <w:tr>
        <w:trPr>
          <w:trHeight w:val="168"/>
        </w:trPr>
        <w:tc>
          <w:tcPr>
            <w:tcW w:w="820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Total liabilities, Redeemable preferred non-controlling interests, Redeemable non-controlling interests and Stockholders' deficit</w:t>
            </w:r>
          </w:p>
        </w:tc>
        <w:tc>
          <w:tcPr>
            <w:tcW w:w="540" w:type="dxa"/>
            <w:vAlign w:val="bottom"/>
            <w:tcBorders>
              <w:top w:val="single" w:sz="8" w:color="auto"/>
              <w:bottom w:val="single" w:sz="8" w:color="auto"/>
            </w:tcBorders>
          </w:tcPr>
          <w:p>
            <w:pPr>
              <w:jc w:val="right"/>
              <w:ind w:right="40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750,499</w:t>
            </w:r>
          </w:p>
        </w:tc>
        <w:tc>
          <w:tcPr>
            <w:tcW w:w="100" w:type="dxa"/>
            <w:vAlign w:val="bottom"/>
          </w:tcPr>
          <w:p>
            <w:pPr>
              <w:spacing w:after="0"/>
              <w:rPr>
                <w:sz w:val="14"/>
                <w:szCs w:val="14"/>
                <w:color w:val="auto"/>
              </w:rPr>
            </w:pPr>
          </w:p>
        </w:tc>
        <w:tc>
          <w:tcPr>
            <w:tcW w:w="540" w:type="dxa"/>
            <w:vAlign w:val="bottom"/>
            <w:tcBorders>
              <w:top w:val="single" w:sz="8" w:color="auto"/>
              <w:bottom w:val="single" w:sz="8" w:color="auto"/>
            </w:tcBorders>
          </w:tcPr>
          <w:p>
            <w:pPr>
              <w:jc w:val="right"/>
              <w:ind w:right="400"/>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754,609</w:t>
            </w:r>
          </w:p>
        </w:tc>
        <w:tc>
          <w:tcPr>
            <w:tcW w:w="0" w:type="dxa"/>
            <w:vAlign w:val="bottom"/>
          </w:tcPr>
          <w:p>
            <w:pPr>
              <w:spacing w:after="0"/>
              <w:rPr>
                <w:sz w:val="1"/>
                <w:szCs w:val="1"/>
                <w:color w:val="auto"/>
              </w:rPr>
            </w:pPr>
          </w:p>
        </w:tc>
      </w:tr>
      <w:tr>
        <w:trPr>
          <w:trHeight w:val="20"/>
        </w:trPr>
        <w:tc>
          <w:tcPr>
            <w:tcW w:w="8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161290</wp:posOffset>
            </wp:positionV>
            <wp:extent cx="7193280"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890" w:right="319" w:bottom="1440" w:gutter="0" w:footer="0" w:header="0"/>
        </w:sectPr>
      </w:pPr>
    </w:p>
    <w:bookmarkStart w:id="6" w:name="page7"/>
    <w:bookmarkEnd w:id="6"/>
    <w:p>
      <w:pPr>
        <w:jc w:val="center"/>
        <w:ind w:right="-179"/>
        <w:spacing w:after="0"/>
        <w:rPr>
          <w:sz w:val="20"/>
          <w:szCs w:val="20"/>
          <w:color w:val="auto"/>
        </w:rPr>
      </w:pPr>
      <w:r>
        <w:rPr>
          <w:rFonts w:ascii="Times New Roman" w:cs="Times New Roman" w:eastAsia="Times New Roman" w:hAnsi="Times New Roman"/>
          <w:sz w:val="13"/>
          <w:szCs w:val="13"/>
          <w:b w:val="1"/>
          <w:bCs w:val="1"/>
          <w:color w:val="auto"/>
        </w:rPr>
        <w:t>OPAL FUELS INC.</w:t>
      </w:r>
    </w:p>
    <w:p>
      <w:pPr>
        <w:spacing w:after="0" w:line="2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3"/>
          <w:szCs w:val="13"/>
          <w:b w:val="1"/>
          <w:bCs w:val="1"/>
          <w:color w:val="auto"/>
        </w:rPr>
        <w:t>CONDENSED CONSOLIDATED STATEMENTS OF OPERATIONS</w:t>
      </w:r>
    </w:p>
    <w:p>
      <w:pPr>
        <w:spacing w:after="0" w:line="1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3"/>
          <w:szCs w:val="13"/>
          <w:b w:val="1"/>
          <w:bCs w:val="1"/>
          <w:color w:val="auto"/>
        </w:rPr>
        <w:t>(In thousands of U.S. dollars, except share and per share data)</w:t>
      </w:r>
    </w:p>
    <w:p>
      <w:pPr>
        <w:spacing w:after="0" w:line="1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168" w:lineRule="exact"/>
        <w:rPr>
          <w:sz w:val="20"/>
          <w:szCs w:val="20"/>
          <w:color w:val="auto"/>
        </w:rPr>
      </w:pPr>
    </w:p>
    <w:p>
      <w:pPr>
        <w:jc w:val="center"/>
        <w:ind w:left="6660"/>
        <w:spacing w:after="0"/>
        <w:rPr>
          <w:sz w:val="20"/>
          <w:szCs w:val="20"/>
          <w:color w:val="auto"/>
        </w:rPr>
      </w:pPr>
      <w:r>
        <w:rPr>
          <w:rFonts w:ascii="Times New Roman" w:cs="Times New Roman" w:eastAsia="Times New Roman" w:hAnsi="Times New Roman"/>
          <w:sz w:val="12"/>
          <w:szCs w:val="12"/>
          <w:b w:val="1"/>
          <w:bCs w:val="1"/>
          <w:color w:val="auto"/>
        </w:rPr>
        <w:t>Three Months Ended</w:t>
      </w:r>
    </w:p>
    <w:p>
      <w:pPr>
        <w:spacing w:after="0" w:line="21" w:lineRule="exact"/>
        <w:rPr>
          <w:sz w:val="20"/>
          <w:szCs w:val="20"/>
          <w:color w:val="auto"/>
        </w:rPr>
      </w:pPr>
    </w:p>
    <w:p>
      <w:pPr>
        <w:jc w:val="center"/>
        <w:ind w:left="6660"/>
        <w:spacing w:after="0"/>
        <w:rPr>
          <w:sz w:val="20"/>
          <w:szCs w:val="20"/>
          <w:color w:val="auto"/>
        </w:rPr>
      </w:pPr>
      <w:r>
        <w:rPr>
          <w:rFonts w:ascii="Times New Roman" w:cs="Times New Roman" w:eastAsia="Times New Roman" w:hAnsi="Times New Roman"/>
          <w:sz w:val="12"/>
          <w:szCs w:val="12"/>
          <w:b w:val="1"/>
          <w:bCs w:val="1"/>
          <w:color w:val="auto"/>
        </w:rPr>
        <w:t>March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7440" w:type="dxa"/>
            <w:vAlign w:val="bottom"/>
          </w:tcPr>
          <w:p>
            <w:pPr>
              <w:spacing w:after="0"/>
              <w:rPr>
                <w:sz w:val="14"/>
                <w:szCs w:val="14"/>
                <w:color w:val="auto"/>
              </w:rPr>
            </w:pPr>
          </w:p>
        </w:tc>
        <w:tc>
          <w:tcPr>
            <w:tcW w:w="1000" w:type="dxa"/>
            <w:vAlign w:val="bottom"/>
            <w:tcBorders>
              <w:top w:val="single" w:sz="8" w:color="auto"/>
            </w:tcBorders>
          </w:tcPr>
          <w:p>
            <w:pPr>
              <w:jc w:val="right"/>
              <w:ind w:right="83"/>
              <w:spacing w:after="0"/>
              <w:rPr>
                <w:sz w:val="20"/>
                <w:szCs w:val="20"/>
                <w:color w:val="auto"/>
              </w:rPr>
            </w:pPr>
            <w:r>
              <w:rPr>
                <w:rFonts w:ascii="Times New Roman" w:cs="Times New Roman" w:eastAsia="Times New Roman" w:hAnsi="Times New Roman"/>
                <w:sz w:val="12"/>
                <w:szCs w:val="12"/>
                <w:b w:val="1"/>
                <w:bCs w:val="1"/>
                <w:color w:val="auto"/>
              </w:rPr>
              <w:t>2024</w:t>
            </w:r>
          </w:p>
        </w:tc>
        <w:tc>
          <w:tcPr>
            <w:tcW w:w="5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2023</w:t>
            </w:r>
          </w:p>
        </w:tc>
      </w:tr>
      <w:tr>
        <w:trPr>
          <w:trHeight w:val="21"/>
        </w:trPr>
        <w:tc>
          <w:tcPr>
            <w:tcW w:w="744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40"/>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Revenues:</w:t>
            </w:r>
          </w:p>
        </w:tc>
        <w:tc>
          <w:tcPr>
            <w:tcW w:w="100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1320" w:type="dxa"/>
            <w:vAlign w:val="bottom"/>
            <w:tcBorders>
              <w:bottom w:val="single" w:sz="8" w:color="CCEEFF"/>
            </w:tcBorders>
            <w:shd w:val="clear" w:color="auto" w:fill="CCEEFF"/>
          </w:tcPr>
          <w:p>
            <w:pPr>
              <w:spacing w:after="0"/>
              <w:rPr>
                <w:sz w:val="12"/>
                <w:szCs w:val="12"/>
                <w:color w:val="auto"/>
              </w:rPr>
            </w:pPr>
          </w:p>
        </w:tc>
      </w:tr>
      <w:tr>
        <w:trPr>
          <w:trHeight w:val="156"/>
        </w:trPr>
        <w:tc>
          <w:tcPr>
            <w:tcW w:w="74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RNG fuel (includes revenues from related party of $15,495 and $4,715 for the three months ended March 31, 2024 and 2023, respectively)</w:t>
            </w:r>
          </w:p>
        </w:tc>
        <w:tc>
          <w:tcPr>
            <w:tcW w:w="1000" w:type="dxa"/>
            <w:vAlign w:val="bottom"/>
          </w:tcPr>
          <w:p>
            <w:pPr>
              <w:jc w:val="right"/>
              <w:ind w:right="883"/>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17,727</w:t>
            </w:r>
          </w:p>
        </w:tc>
        <w:tc>
          <w:tcPr>
            <w:tcW w:w="100" w:type="dxa"/>
            <w:vAlign w:val="bottom"/>
          </w:tcPr>
          <w:p>
            <w:pPr>
              <w:spacing w:after="0"/>
              <w:rPr>
                <w:sz w:val="13"/>
                <w:szCs w:val="13"/>
                <w:color w:val="auto"/>
              </w:rPr>
            </w:pPr>
          </w:p>
        </w:tc>
        <w:tc>
          <w:tcPr>
            <w:tcW w:w="1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6,749</w:t>
            </w:r>
          </w:p>
        </w:tc>
      </w:tr>
      <w:tr>
        <w:trPr>
          <w:trHeight w:val="24"/>
        </w:trPr>
        <w:tc>
          <w:tcPr>
            <w:tcW w:w="7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160"/>
        </w:trPr>
        <w:tc>
          <w:tcPr>
            <w:tcW w:w="74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Fuel Station Services (includes revenues from related party of $7,741 and $1,493 for the three months ended March 31, 2024 and 2023, respectively)</w:t>
            </w:r>
          </w:p>
        </w:tc>
        <w:tc>
          <w:tcPr>
            <w:tcW w:w="100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37,142</w:t>
            </w:r>
          </w:p>
        </w:tc>
        <w:tc>
          <w:tcPr>
            <w:tcW w:w="1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20,828</w:t>
            </w:r>
          </w:p>
        </w:tc>
      </w:tr>
      <w:tr>
        <w:trPr>
          <w:trHeight w:val="156"/>
        </w:trPr>
        <w:tc>
          <w:tcPr>
            <w:tcW w:w="74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Renewable Power (includes revenues from related party of $1,526 and $1,527 for the three months ended March 31, 2024 and 2023, respectively)</w:t>
            </w:r>
          </w:p>
        </w:tc>
        <w:tc>
          <w:tcPr>
            <w:tcW w:w="10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10,083</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15,380</w:t>
            </w:r>
          </w:p>
        </w:tc>
      </w:tr>
      <w:tr>
        <w:trPr>
          <w:trHeight w:val="24"/>
        </w:trPr>
        <w:tc>
          <w:tcPr>
            <w:tcW w:w="74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70"/>
        </w:trPr>
        <w:tc>
          <w:tcPr>
            <w:tcW w:w="7440" w:type="dxa"/>
            <w:vAlign w:val="bottom"/>
            <w:tcBorders>
              <w:bottom w:val="single" w:sz="8" w:color="CCEEFF"/>
            </w:tcBorders>
            <w:shd w:val="clear" w:color="auto" w:fill="CCEEFF"/>
          </w:tcPr>
          <w:p>
            <w:pPr>
              <w:ind w:left="240"/>
              <w:spacing w:after="0" w:line="136" w:lineRule="exact"/>
              <w:rPr>
                <w:sz w:val="20"/>
                <w:szCs w:val="20"/>
                <w:color w:val="auto"/>
              </w:rPr>
            </w:pPr>
            <w:r>
              <w:rPr>
                <w:rFonts w:ascii="Times New Roman" w:cs="Times New Roman" w:eastAsia="Times New Roman" w:hAnsi="Times New Roman"/>
                <w:sz w:val="12"/>
                <w:szCs w:val="12"/>
                <w:color w:val="auto"/>
              </w:rPr>
              <w:t>Total revenues</w:t>
            </w:r>
          </w:p>
        </w:tc>
        <w:tc>
          <w:tcPr>
            <w:tcW w:w="100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64,952</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42,957</w:t>
            </w:r>
          </w:p>
        </w:tc>
      </w:tr>
      <w:tr>
        <w:trPr>
          <w:trHeight w:val="139"/>
        </w:trPr>
        <w:tc>
          <w:tcPr>
            <w:tcW w:w="74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Operating expenses:</w:t>
            </w:r>
          </w:p>
        </w:tc>
        <w:tc>
          <w:tcPr>
            <w:tcW w:w="10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r>
      <w:tr>
        <w:trPr>
          <w:trHeight w:val="21"/>
        </w:trPr>
        <w:tc>
          <w:tcPr>
            <w:tcW w:w="7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60"/>
        </w:trPr>
        <w:tc>
          <w:tcPr>
            <w:tcW w:w="74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Cost of sales - RNG fuel</w:t>
            </w:r>
          </w:p>
        </w:tc>
        <w:tc>
          <w:tcPr>
            <w:tcW w:w="100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8,338</w:t>
            </w:r>
          </w:p>
        </w:tc>
        <w:tc>
          <w:tcPr>
            <w:tcW w:w="1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6,038</w:t>
            </w:r>
          </w:p>
        </w:tc>
      </w:tr>
      <w:tr>
        <w:trPr>
          <w:trHeight w:val="156"/>
        </w:trPr>
        <w:tc>
          <w:tcPr>
            <w:tcW w:w="74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Cost of sales - Fuel Station Services</w:t>
            </w:r>
          </w:p>
        </w:tc>
        <w:tc>
          <w:tcPr>
            <w:tcW w:w="10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30,335</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20,292</w:t>
            </w:r>
          </w:p>
        </w:tc>
      </w:tr>
      <w:tr>
        <w:trPr>
          <w:trHeight w:val="24"/>
        </w:trPr>
        <w:tc>
          <w:tcPr>
            <w:tcW w:w="7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160"/>
        </w:trPr>
        <w:tc>
          <w:tcPr>
            <w:tcW w:w="74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Cost of sales - Renewable Power</w:t>
            </w:r>
          </w:p>
        </w:tc>
        <w:tc>
          <w:tcPr>
            <w:tcW w:w="100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9,258</w:t>
            </w:r>
          </w:p>
        </w:tc>
        <w:tc>
          <w:tcPr>
            <w:tcW w:w="1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8,378</w:t>
            </w:r>
          </w:p>
        </w:tc>
      </w:tr>
      <w:tr>
        <w:trPr>
          <w:trHeight w:val="156"/>
        </w:trPr>
        <w:tc>
          <w:tcPr>
            <w:tcW w:w="74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Project development and start up costs</w:t>
            </w:r>
          </w:p>
        </w:tc>
        <w:tc>
          <w:tcPr>
            <w:tcW w:w="10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785</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1,883</w:t>
            </w:r>
          </w:p>
        </w:tc>
      </w:tr>
      <w:tr>
        <w:trPr>
          <w:trHeight w:val="24"/>
        </w:trPr>
        <w:tc>
          <w:tcPr>
            <w:tcW w:w="7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160"/>
        </w:trPr>
        <w:tc>
          <w:tcPr>
            <w:tcW w:w="74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Selling, general, and administrative</w:t>
            </w:r>
          </w:p>
        </w:tc>
        <w:tc>
          <w:tcPr>
            <w:tcW w:w="100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13,161</w:t>
            </w:r>
          </w:p>
        </w:tc>
        <w:tc>
          <w:tcPr>
            <w:tcW w:w="1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14,074</w:t>
            </w:r>
          </w:p>
        </w:tc>
      </w:tr>
      <w:tr>
        <w:trPr>
          <w:trHeight w:val="156"/>
        </w:trPr>
        <w:tc>
          <w:tcPr>
            <w:tcW w:w="74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Depreciation, amortization, and accretion</w:t>
            </w:r>
          </w:p>
        </w:tc>
        <w:tc>
          <w:tcPr>
            <w:tcW w:w="10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3,711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3,567</w:t>
            </w:r>
          </w:p>
        </w:tc>
      </w:tr>
      <w:tr>
        <w:trPr>
          <w:trHeight w:val="24"/>
        </w:trPr>
        <w:tc>
          <w:tcPr>
            <w:tcW w:w="7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180"/>
        </w:trPr>
        <w:tc>
          <w:tcPr>
            <w:tcW w:w="74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Income from equity method investments</w:t>
            </w:r>
          </w:p>
        </w:tc>
        <w:tc>
          <w:tcPr>
            <w:tcW w:w="10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(4,206)</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(705)</w:t>
            </w:r>
          </w:p>
        </w:tc>
      </w:tr>
      <w:tr>
        <w:trPr>
          <w:trHeight w:val="146"/>
        </w:trPr>
        <w:tc>
          <w:tcPr>
            <w:tcW w:w="7440" w:type="dxa"/>
            <w:vAlign w:val="bottom"/>
          </w:tcPr>
          <w:p>
            <w:pPr>
              <w:ind w:left="240"/>
              <w:spacing w:after="0" w:line="136" w:lineRule="exact"/>
              <w:rPr>
                <w:sz w:val="20"/>
                <w:szCs w:val="20"/>
                <w:color w:val="auto"/>
              </w:rPr>
            </w:pPr>
            <w:r>
              <w:rPr>
                <w:rFonts w:ascii="Times New Roman" w:cs="Times New Roman" w:eastAsia="Times New Roman" w:hAnsi="Times New Roman"/>
                <w:sz w:val="12"/>
                <w:szCs w:val="12"/>
                <w:color w:val="auto"/>
              </w:rPr>
              <w:t>Total expenses</w:t>
            </w:r>
          </w:p>
        </w:tc>
        <w:tc>
          <w:tcPr>
            <w:tcW w:w="10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61,382</w:t>
            </w: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53,527</w:t>
            </w:r>
          </w:p>
        </w:tc>
      </w:tr>
      <w:tr>
        <w:trPr>
          <w:trHeight w:val="24"/>
        </w:trPr>
        <w:tc>
          <w:tcPr>
            <w:tcW w:w="74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70"/>
        </w:trPr>
        <w:tc>
          <w:tcPr>
            <w:tcW w:w="7440" w:type="dxa"/>
            <w:vAlign w:val="bottom"/>
            <w:tcBorders>
              <w:bottom w:val="single" w:sz="8" w:color="CCEEFF"/>
            </w:tcBorders>
            <w:shd w:val="clear" w:color="auto" w:fill="CCEEFF"/>
          </w:tcPr>
          <w:p>
            <w:pPr>
              <w:ind w:left="240"/>
              <w:spacing w:after="0" w:line="136" w:lineRule="exact"/>
              <w:rPr>
                <w:sz w:val="20"/>
                <w:szCs w:val="20"/>
                <w:color w:val="auto"/>
              </w:rPr>
            </w:pPr>
            <w:r>
              <w:rPr>
                <w:rFonts w:ascii="Times New Roman" w:cs="Times New Roman" w:eastAsia="Times New Roman" w:hAnsi="Times New Roman"/>
                <w:sz w:val="12"/>
                <w:szCs w:val="12"/>
                <w:color w:val="auto"/>
              </w:rPr>
              <w:t>Operating income (loss)</w:t>
            </w:r>
          </w:p>
        </w:tc>
        <w:tc>
          <w:tcPr>
            <w:tcW w:w="100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3,570</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(10,570)</w:t>
            </w:r>
          </w:p>
        </w:tc>
      </w:tr>
      <w:tr>
        <w:trPr>
          <w:trHeight w:val="139"/>
        </w:trPr>
        <w:tc>
          <w:tcPr>
            <w:tcW w:w="74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Other income (expense):</w:t>
            </w:r>
          </w:p>
        </w:tc>
        <w:tc>
          <w:tcPr>
            <w:tcW w:w="10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r>
      <w:tr>
        <w:trPr>
          <w:trHeight w:val="21"/>
        </w:trPr>
        <w:tc>
          <w:tcPr>
            <w:tcW w:w="7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60"/>
        </w:trPr>
        <w:tc>
          <w:tcPr>
            <w:tcW w:w="74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Interest and financing expense, net</w:t>
            </w:r>
          </w:p>
        </w:tc>
        <w:tc>
          <w:tcPr>
            <w:tcW w:w="100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(3,961)</w:t>
            </w:r>
          </w:p>
        </w:tc>
        <w:tc>
          <w:tcPr>
            <w:tcW w:w="1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(641)</w:t>
            </w:r>
          </w:p>
        </w:tc>
      </w:tr>
      <w:tr>
        <w:trPr>
          <w:trHeight w:val="156"/>
        </w:trPr>
        <w:tc>
          <w:tcPr>
            <w:tcW w:w="74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Change in fair value of derivative instruments, net</w:t>
            </w:r>
          </w:p>
        </w:tc>
        <w:tc>
          <w:tcPr>
            <w:tcW w:w="10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403</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3,933</w:t>
            </w:r>
          </w:p>
        </w:tc>
      </w:tr>
      <w:tr>
        <w:trPr>
          <w:trHeight w:val="24"/>
        </w:trPr>
        <w:tc>
          <w:tcPr>
            <w:tcW w:w="7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180"/>
        </w:trPr>
        <w:tc>
          <w:tcPr>
            <w:tcW w:w="74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Other income (expense)</w:t>
            </w:r>
          </w:p>
        </w:tc>
        <w:tc>
          <w:tcPr>
            <w:tcW w:w="10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665</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w:t>
            </w:r>
          </w:p>
        </w:tc>
      </w:tr>
      <w:tr>
        <w:trPr>
          <w:trHeight w:val="146"/>
        </w:trPr>
        <w:tc>
          <w:tcPr>
            <w:tcW w:w="7440" w:type="dxa"/>
            <w:vAlign w:val="bottom"/>
          </w:tcPr>
          <w:p>
            <w:pPr>
              <w:ind w:left="120"/>
              <w:spacing w:after="0" w:line="136" w:lineRule="exact"/>
              <w:rPr>
                <w:sz w:val="20"/>
                <w:szCs w:val="20"/>
                <w:color w:val="auto"/>
              </w:rPr>
            </w:pPr>
            <w:r>
              <w:rPr>
                <w:rFonts w:ascii="Times New Roman" w:cs="Times New Roman" w:eastAsia="Times New Roman" w:hAnsi="Times New Roman"/>
                <w:sz w:val="12"/>
                <w:szCs w:val="12"/>
                <w:color w:val="auto"/>
              </w:rPr>
              <w:t>Income (loss) before provision for income taxes</w:t>
            </w:r>
          </w:p>
        </w:tc>
        <w:tc>
          <w:tcPr>
            <w:tcW w:w="10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677</w:t>
            </w: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(7,346)</w:t>
            </w:r>
          </w:p>
        </w:tc>
      </w:tr>
      <w:tr>
        <w:trPr>
          <w:trHeight w:val="24"/>
        </w:trPr>
        <w:tc>
          <w:tcPr>
            <w:tcW w:w="74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70"/>
        </w:trPr>
        <w:tc>
          <w:tcPr>
            <w:tcW w:w="7440" w:type="dxa"/>
            <w:vAlign w:val="bottom"/>
            <w:tcBorders>
              <w:bottom w:val="single" w:sz="8" w:color="CCEEFF"/>
            </w:tcBorders>
            <w:shd w:val="clear" w:color="auto" w:fill="CCEEFF"/>
          </w:tcPr>
          <w:p>
            <w:pPr>
              <w:ind w:left="120"/>
              <w:spacing w:after="0" w:line="136" w:lineRule="exact"/>
              <w:rPr>
                <w:sz w:val="20"/>
                <w:szCs w:val="20"/>
                <w:color w:val="auto"/>
              </w:rPr>
            </w:pPr>
            <w:r>
              <w:rPr>
                <w:rFonts w:ascii="Times New Roman" w:cs="Times New Roman" w:eastAsia="Times New Roman" w:hAnsi="Times New Roman"/>
                <w:sz w:val="12"/>
                <w:szCs w:val="12"/>
                <w:color w:val="auto"/>
              </w:rPr>
              <w:t>Provision for income taxes</w:t>
            </w:r>
          </w:p>
        </w:tc>
        <w:tc>
          <w:tcPr>
            <w:tcW w:w="100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46"/>
        </w:trPr>
        <w:tc>
          <w:tcPr>
            <w:tcW w:w="7440" w:type="dxa"/>
            <w:vAlign w:val="bottom"/>
          </w:tcPr>
          <w:p>
            <w:pPr>
              <w:ind w:left="120"/>
              <w:spacing w:after="0" w:line="136" w:lineRule="exact"/>
              <w:rPr>
                <w:sz w:val="20"/>
                <w:szCs w:val="20"/>
                <w:color w:val="auto"/>
              </w:rPr>
            </w:pPr>
            <w:r>
              <w:rPr>
                <w:rFonts w:ascii="Times New Roman" w:cs="Times New Roman" w:eastAsia="Times New Roman" w:hAnsi="Times New Roman"/>
                <w:sz w:val="12"/>
                <w:szCs w:val="12"/>
                <w:color w:val="auto"/>
              </w:rPr>
              <w:t>Net income (loss)</w:t>
            </w:r>
          </w:p>
        </w:tc>
        <w:tc>
          <w:tcPr>
            <w:tcW w:w="10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677</w:t>
            </w: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(7,346)</w:t>
            </w:r>
          </w:p>
        </w:tc>
      </w:tr>
      <w:tr>
        <w:trPr>
          <w:trHeight w:val="24"/>
        </w:trPr>
        <w:tc>
          <w:tcPr>
            <w:tcW w:w="74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50"/>
        </w:trPr>
        <w:tc>
          <w:tcPr>
            <w:tcW w:w="7440" w:type="dxa"/>
            <w:vAlign w:val="bottom"/>
            <w:tcBorders>
              <w:bottom w:val="single" w:sz="8" w:color="CCEEFF"/>
            </w:tcBorders>
            <w:shd w:val="clear" w:color="auto" w:fill="CCEEFF"/>
          </w:tcPr>
          <w:p>
            <w:pPr>
              <w:ind w:left="120"/>
              <w:spacing w:after="0" w:line="136" w:lineRule="exact"/>
              <w:rPr>
                <w:sz w:val="20"/>
                <w:szCs w:val="20"/>
                <w:color w:val="auto"/>
              </w:rPr>
            </w:pPr>
            <w:r>
              <w:rPr>
                <w:rFonts w:ascii="Times New Roman" w:cs="Times New Roman" w:eastAsia="Times New Roman" w:hAnsi="Times New Roman"/>
                <w:sz w:val="12"/>
                <w:szCs w:val="12"/>
                <w:color w:val="auto"/>
              </w:rPr>
              <w:t>Net loss attributable to redeemable non-controlling interests</w:t>
            </w:r>
          </w:p>
        </w:tc>
        <w:tc>
          <w:tcPr>
            <w:tcW w:w="100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(1,627)</w:t>
            </w:r>
          </w:p>
        </w:tc>
        <w:tc>
          <w:tcPr>
            <w:tcW w:w="1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(8,233)</w:t>
            </w:r>
          </w:p>
        </w:tc>
      </w:tr>
      <w:tr>
        <w:trPr>
          <w:trHeight w:val="156"/>
        </w:trPr>
        <w:tc>
          <w:tcPr>
            <w:tcW w:w="74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Net income (loss) attributable to non-redeemable non-controlling interests</w:t>
            </w:r>
          </w:p>
        </w:tc>
        <w:tc>
          <w:tcPr>
            <w:tcW w:w="10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(297)</w:t>
            </w:r>
          </w:p>
        </w:tc>
      </w:tr>
      <w:tr>
        <w:trPr>
          <w:trHeight w:val="24"/>
        </w:trPr>
        <w:tc>
          <w:tcPr>
            <w:tcW w:w="7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180"/>
        </w:trPr>
        <w:tc>
          <w:tcPr>
            <w:tcW w:w="7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 xml:space="preserve">Dividends on redeemable preferred non-controlling interests </w:t>
            </w:r>
            <w:r>
              <w:rPr>
                <w:rFonts w:ascii="Times New Roman" w:cs="Times New Roman" w:eastAsia="Times New Roman" w:hAnsi="Times New Roman"/>
                <w:sz w:val="15"/>
                <w:szCs w:val="15"/>
                <w:color w:val="auto"/>
                <w:vertAlign w:val="superscript"/>
              </w:rPr>
              <w:t>(1)</w:t>
            </w:r>
          </w:p>
        </w:tc>
        <w:tc>
          <w:tcPr>
            <w:tcW w:w="100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2,618</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2,763</w:t>
            </w:r>
          </w:p>
        </w:tc>
      </w:tr>
      <w:tr>
        <w:trPr>
          <w:trHeight w:val="146"/>
        </w:trPr>
        <w:tc>
          <w:tcPr>
            <w:tcW w:w="7440" w:type="dxa"/>
            <w:vAlign w:val="bottom"/>
          </w:tcPr>
          <w:p>
            <w:pPr>
              <w:ind w:left="120"/>
              <w:spacing w:after="0" w:line="136" w:lineRule="exact"/>
              <w:rPr>
                <w:sz w:val="20"/>
                <w:szCs w:val="20"/>
                <w:color w:val="auto"/>
              </w:rPr>
            </w:pPr>
            <w:r>
              <w:rPr>
                <w:rFonts w:ascii="Times New Roman" w:cs="Times New Roman" w:eastAsia="Times New Roman" w:hAnsi="Times New Roman"/>
                <w:sz w:val="12"/>
                <w:szCs w:val="12"/>
                <w:color w:val="auto"/>
              </w:rPr>
              <w:t>Net loss attributable to Class A common stockholders</w:t>
            </w:r>
          </w:p>
        </w:tc>
        <w:tc>
          <w:tcPr>
            <w:tcW w:w="1000" w:type="dxa"/>
            <w:vAlign w:val="bottom"/>
          </w:tcPr>
          <w:p>
            <w:pPr>
              <w:jc w:val="right"/>
              <w:ind w:right="883"/>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(316)</w:t>
            </w:r>
          </w:p>
        </w:tc>
        <w:tc>
          <w:tcPr>
            <w:tcW w:w="100" w:type="dxa"/>
            <w:vAlign w:val="bottom"/>
          </w:tcPr>
          <w:p>
            <w:pPr>
              <w:spacing w:after="0"/>
              <w:rPr>
                <w:sz w:val="12"/>
                <w:szCs w:val="12"/>
                <w:color w:val="auto"/>
              </w:rPr>
            </w:pPr>
          </w:p>
        </w:tc>
        <w:tc>
          <w:tcPr>
            <w:tcW w:w="1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(1,579)</w:t>
            </w:r>
          </w:p>
        </w:tc>
      </w:tr>
      <w:tr>
        <w:trPr>
          <w:trHeight w:val="24"/>
        </w:trPr>
        <w:tc>
          <w:tcPr>
            <w:tcW w:w="74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744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20"/>
        </w:trPr>
        <w:tc>
          <w:tcPr>
            <w:tcW w:w="744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r>
      <w:tr>
        <w:trPr>
          <w:trHeight w:val="156"/>
        </w:trPr>
        <w:tc>
          <w:tcPr>
            <w:tcW w:w="74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Weighted average shares outstanding of Class A common stock:</w:t>
            </w:r>
          </w:p>
        </w:tc>
        <w:tc>
          <w:tcPr>
            <w:tcW w:w="10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24"/>
        </w:trPr>
        <w:tc>
          <w:tcPr>
            <w:tcW w:w="7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160"/>
        </w:trPr>
        <w:tc>
          <w:tcPr>
            <w:tcW w:w="74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Basic</w:t>
            </w:r>
          </w:p>
        </w:tc>
        <w:tc>
          <w:tcPr>
            <w:tcW w:w="1000" w:type="dxa"/>
            <w:vAlign w:val="bottom"/>
            <w:tcBorders>
              <w:bottom w:val="single" w:sz="8" w:color="CCEEFF"/>
            </w:tcBorders>
            <w:shd w:val="clear" w:color="auto" w:fill="CCEEFF"/>
          </w:tcPr>
          <w:p>
            <w:pPr>
              <w:jc w:val="right"/>
              <w:ind w:right="163"/>
              <w:spacing w:after="0"/>
              <w:rPr>
                <w:sz w:val="20"/>
                <w:szCs w:val="20"/>
                <w:color w:val="auto"/>
              </w:rPr>
            </w:pPr>
            <w:r>
              <w:rPr>
                <w:rFonts w:ascii="Times New Roman" w:cs="Times New Roman" w:eastAsia="Times New Roman" w:hAnsi="Times New Roman"/>
                <w:sz w:val="12"/>
                <w:szCs w:val="12"/>
                <w:color w:val="auto"/>
              </w:rPr>
              <w:t>27,368,204</w:t>
            </w:r>
          </w:p>
        </w:tc>
        <w:tc>
          <w:tcPr>
            <w:tcW w:w="5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1320" w:type="dxa"/>
            <w:vAlign w:val="bottom"/>
            <w:tcBorders>
              <w:bottom w:val="single" w:sz="8" w:color="CCEEFF"/>
            </w:tcBorders>
            <w:shd w:val="clear" w:color="auto" w:fill="CCEEFF"/>
          </w:tcPr>
          <w:p>
            <w:pPr>
              <w:jc w:val="right"/>
              <w:ind w:right="640"/>
              <w:spacing w:after="0"/>
              <w:rPr>
                <w:sz w:val="20"/>
                <w:szCs w:val="20"/>
                <w:color w:val="auto"/>
              </w:rPr>
            </w:pPr>
            <w:r>
              <w:rPr>
                <w:rFonts w:ascii="Times New Roman" w:cs="Times New Roman" w:eastAsia="Times New Roman" w:hAnsi="Times New Roman"/>
                <w:sz w:val="12"/>
                <w:szCs w:val="12"/>
                <w:color w:val="auto"/>
              </w:rPr>
              <w:t>27,383,562</w:t>
            </w:r>
          </w:p>
        </w:tc>
      </w:tr>
      <w:tr>
        <w:trPr>
          <w:trHeight w:val="156"/>
        </w:trPr>
        <w:tc>
          <w:tcPr>
            <w:tcW w:w="74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Diluted</w:t>
            </w:r>
          </w:p>
        </w:tc>
        <w:tc>
          <w:tcPr>
            <w:tcW w:w="1000" w:type="dxa"/>
            <w:vAlign w:val="bottom"/>
          </w:tcPr>
          <w:p>
            <w:pPr>
              <w:jc w:val="right"/>
              <w:ind w:right="163"/>
              <w:spacing w:after="0"/>
              <w:rPr>
                <w:sz w:val="20"/>
                <w:szCs w:val="20"/>
                <w:color w:val="auto"/>
              </w:rPr>
            </w:pPr>
            <w:r>
              <w:rPr>
                <w:rFonts w:ascii="Times New Roman" w:cs="Times New Roman" w:eastAsia="Times New Roman" w:hAnsi="Times New Roman"/>
                <w:sz w:val="12"/>
                <w:szCs w:val="12"/>
                <w:color w:val="auto"/>
              </w:rPr>
              <w:t>27,368,204</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jc w:val="right"/>
              <w:ind w:right="640"/>
              <w:spacing w:after="0"/>
              <w:rPr>
                <w:sz w:val="20"/>
                <w:szCs w:val="20"/>
                <w:color w:val="auto"/>
              </w:rPr>
            </w:pPr>
            <w:r>
              <w:rPr>
                <w:rFonts w:ascii="Times New Roman" w:cs="Times New Roman" w:eastAsia="Times New Roman" w:hAnsi="Times New Roman"/>
                <w:sz w:val="12"/>
                <w:szCs w:val="12"/>
                <w:color w:val="auto"/>
              </w:rPr>
              <w:t>27,383,562</w:t>
            </w:r>
          </w:p>
        </w:tc>
      </w:tr>
      <w:tr>
        <w:trPr>
          <w:trHeight w:val="24"/>
        </w:trPr>
        <w:tc>
          <w:tcPr>
            <w:tcW w:w="7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160"/>
        </w:trPr>
        <w:tc>
          <w:tcPr>
            <w:tcW w:w="74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Per share amounts:</w:t>
            </w:r>
          </w:p>
        </w:tc>
        <w:tc>
          <w:tcPr>
            <w:tcW w:w="100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1320" w:type="dxa"/>
            <w:vAlign w:val="bottom"/>
            <w:tcBorders>
              <w:bottom w:val="single" w:sz="8" w:color="CCEEFF"/>
            </w:tcBorders>
            <w:shd w:val="clear" w:color="auto" w:fill="CCEEFF"/>
          </w:tcPr>
          <w:p>
            <w:pPr>
              <w:spacing w:after="0"/>
              <w:rPr>
                <w:sz w:val="13"/>
                <w:szCs w:val="13"/>
                <w:color w:val="auto"/>
              </w:rPr>
            </w:pPr>
          </w:p>
        </w:tc>
      </w:tr>
      <w:tr>
        <w:trPr>
          <w:trHeight w:val="156"/>
        </w:trPr>
        <w:tc>
          <w:tcPr>
            <w:tcW w:w="74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Basic</w:t>
            </w:r>
          </w:p>
        </w:tc>
        <w:tc>
          <w:tcPr>
            <w:tcW w:w="1000" w:type="dxa"/>
            <w:vAlign w:val="bottom"/>
          </w:tcPr>
          <w:p>
            <w:pPr>
              <w:jc w:val="right"/>
              <w:ind w:right="883"/>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(0.01)</w:t>
            </w:r>
          </w:p>
        </w:tc>
        <w:tc>
          <w:tcPr>
            <w:tcW w:w="100" w:type="dxa"/>
            <w:vAlign w:val="bottom"/>
          </w:tcPr>
          <w:p>
            <w:pPr>
              <w:spacing w:after="0"/>
              <w:rPr>
                <w:sz w:val="13"/>
                <w:szCs w:val="13"/>
                <w:color w:val="auto"/>
              </w:rPr>
            </w:pPr>
          </w:p>
        </w:tc>
        <w:tc>
          <w:tcPr>
            <w:tcW w:w="1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(0.06)</w:t>
            </w:r>
          </w:p>
        </w:tc>
      </w:tr>
      <w:tr>
        <w:trPr>
          <w:trHeight w:val="24"/>
        </w:trPr>
        <w:tc>
          <w:tcPr>
            <w:tcW w:w="7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156"/>
        </w:trPr>
        <w:tc>
          <w:tcPr>
            <w:tcW w:w="7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Diluted</w:t>
            </w:r>
          </w:p>
        </w:tc>
        <w:tc>
          <w:tcPr>
            <w:tcW w:w="1000" w:type="dxa"/>
            <w:vAlign w:val="bottom"/>
            <w:shd w:val="clear" w:color="auto" w:fill="CCEEFF"/>
          </w:tcPr>
          <w:p>
            <w:pPr>
              <w:jc w:val="right"/>
              <w:ind w:right="883"/>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(0.01)</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(0.06)</w:t>
            </w:r>
          </w:p>
        </w:tc>
      </w:tr>
      <w:tr>
        <w:trPr>
          <w:trHeight w:val="24"/>
        </w:trPr>
        <w:tc>
          <w:tcPr>
            <w:tcW w:w="74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189" w:lineRule="exact"/>
        <w:rPr>
          <w:sz w:val="20"/>
          <w:szCs w:val="20"/>
          <w:color w:val="auto"/>
        </w:rPr>
      </w:pPr>
    </w:p>
    <w:p>
      <w:pPr>
        <w:spacing w:after="0" w:line="237" w:lineRule="auto"/>
        <w:tabs>
          <w:tab w:leader="none" w:pos="127" w:val="left"/>
        </w:tabs>
        <w:numPr>
          <w:ilvl w:val="0"/>
          <w:numId w:val="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1"/>
          <w:szCs w:val="11"/>
          <w:color w:val="auto"/>
        </w:rPr>
        <w:t xml:space="preserve">Paid-in-kind preferred dividend is allocated between redeemable non-controlling interests and Class A common stockholders basis their weighted average percentage of ownership. Please see Note.13 </w:t>
      </w:r>
      <w:r>
        <w:rPr>
          <w:rFonts w:ascii="Times New Roman" w:cs="Times New Roman" w:eastAsia="Times New Roman" w:hAnsi="Times New Roman"/>
          <w:sz w:val="11"/>
          <w:szCs w:val="11"/>
          <w:i w:val="1"/>
          <w:iCs w:val="1"/>
          <w:color w:val="auto"/>
        </w:rPr>
        <w:t>Redeemable non-controlling</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i w:val="1"/>
          <w:iCs w:val="1"/>
          <w:color w:val="auto"/>
        </w:rPr>
        <w:t xml:space="preserve">interests, redeemable preferred non-controlling interests and Stockholders' deficit </w:t>
      </w:r>
      <w:r>
        <w:rPr>
          <w:rFonts w:ascii="Times New Roman" w:cs="Times New Roman" w:eastAsia="Times New Roman" w:hAnsi="Times New Roman"/>
          <w:sz w:val="11"/>
          <w:szCs w:val="11"/>
          <w:color w:val="auto"/>
        </w:rPr>
        <w:t>for additional information.</w:t>
      </w:r>
    </w:p>
    <w:p>
      <w:pPr>
        <w:spacing w:after="0" w:line="12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3"/>
          <w:szCs w:val="13"/>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161290</wp:posOffset>
            </wp:positionV>
            <wp:extent cx="7193280"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100"/>
          </w:cols>
          <w:pgMar w:left="300" w:top="723" w:right="499" w:bottom="1440" w:gutter="0" w:footer="0" w:header="0"/>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OPAL FUELS INC.</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CONDENSED CONSOLIDATED STATEMENTS OF COMPREHENSIVE INCOME (LOSS)</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(In thousands of U.S. dollars)</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600" w:type="dxa"/>
            <w:vAlign w:val="bottom"/>
            <w:shd w:val="clear" w:color="auto" w:fill="CCEEFF"/>
          </w:tcPr>
          <w:p>
            <w:pPr>
              <w:spacing w:after="0"/>
              <w:rPr>
                <w:sz w:val="14"/>
                <w:szCs w:val="14"/>
                <w:color w:val="auto"/>
              </w:rPr>
            </w:pPr>
          </w:p>
        </w:tc>
        <w:tc>
          <w:tcPr>
            <w:tcW w:w="236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460" w:type="dxa"/>
            <w:vAlign w:val="bottom"/>
            <w:tcBorders>
              <w:bottom w:val="single" w:sz="8" w:color="auto"/>
            </w:tcBorders>
            <w:shd w:val="clear" w:color="auto" w:fill="CCEEFF"/>
          </w:tcPr>
          <w:p>
            <w:pPr>
              <w:spacing w:after="0"/>
              <w:rPr>
                <w:sz w:val="14"/>
                <w:szCs w:val="14"/>
                <w:color w:val="auto"/>
              </w:rPr>
            </w:pPr>
          </w:p>
        </w:tc>
      </w:tr>
      <w:tr>
        <w:trPr>
          <w:trHeight w:val="160"/>
        </w:trPr>
        <w:tc>
          <w:tcPr>
            <w:tcW w:w="660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rPr>
              <w:t>2024</w:t>
            </w:r>
          </w:p>
        </w:tc>
        <w:tc>
          <w:tcPr>
            <w:tcW w:w="4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2023</w:t>
            </w:r>
          </w:p>
        </w:tc>
        <w:tc>
          <w:tcPr>
            <w:tcW w:w="460" w:type="dxa"/>
            <w:vAlign w:val="bottom"/>
            <w:tcBorders>
              <w:bottom w:val="single" w:sz="8" w:color="auto"/>
            </w:tcBorders>
          </w:tcPr>
          <w:p>
            <w:pPr>
              <w:spacing w:after="0"/>
              <w:rPr>
                <w:sz w:val="13"/>
                <w:szCs w:val="13"/>
                <w:color w:val="auto"/>
              </w:rPr>
            </w:pPr>
          </w:p>
        </w:tc>
      </w:tr>
      <w:tr>
        <w:trPr>
          <w:trHeight w:val="160"/>
        </w:trPr>
        <w:tc>
          <w:tcPr>
            <w:tcW w:w="6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Net income (loss)</w:t>
            </w:r>
          </w:p>
        </w:tc>
        <w:tc>
          <w:tcPr>
            <w:tcW w:w="920" w:type="dxa"/>
            <w:vAlign w:val="bottom"/>
            <w:shd w:val="clear" w:color="auto" w:fill="CCEEFF"/>
          </w:tcPr>
          <w:p>
            <w:pPr>
              <w:jc w:val="right"/>
              <w:ind w:right="773"/>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677</w:t>
            </w: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753"/>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(7,346)</w:t>
            </w:r>
          </w:p>
        </w:tc>
      </w:tr>
      <w:tr>
        <w:trPr>
          <w:trHeight w:val="170"/>
        </w:trPr>
        <w:tc>
          <w:tcPr>
            <w:tcW w:w="66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Other comprehensive income (loss):</w:t>
            </w:r>
          </w:p>
        </w:tc>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70"/>
        </w:trPr>
        <w:tc>
          <w:tcPr>
            <w:tcW w:w="6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Effective portion of the cash flow hedge attributable to equity method investments</w:t>
            </w:r>
          </w:p>
        </w:tc>
        <w:tc>
          <w:tcPr>
            <w:tcW w:w="9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350</w:t>
            </w: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66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Net unrealized loss on cash flow hedges</w:t>
            </w:r>
          </w:p>
        </w:tc>
        <w:tc>
          <w:tcPr>
            <w:tcW w:w="920" w:type="dxa"/>
            <w:vAlign w:val="bottom"/>
          </w:tcPr>
          <w:p>
            <w:pPr>
              <w:spacing w:after="0"/>
              <w:rPr>
                <w:sz w:val="14"/>
                <w:szCs w:val="14"/>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(356)</w:t>
            </w:r>
          </w:p>
        </w:tc>
      </w:tr>
      <w:tr>
        <w:trPr>
          <w:trHeight w:val="160"/>
        </w:trPr>
        <w:tc>
          <w:tcPr>
            <w:tcW w:w="660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Total comprehensive income (loss)</w:t>
            </w:r>
          </w:p>
        </w:tc>
        <w:tc>
          <w:tcPr>
            <w:tcW w:w="920" w:type="dxa"/>
            <w:vAlign w:val="bottom"/>
            <w:tcBorders>
              <w:top w:val="single" w:sz="8" w:color="auto"/>
              <w:bottom w:val="single" w:sz="8" w:color="auto"/>
            </w:tcBorders>
            <w:shd w:val="clear" w:color="auto" w:fill="CCEEFF"/>
          </w:tcPr>
          <w:p>
            <w:pPr>
              <w:spacing w:after="0"/>
              <w:rPr>
                <w:sz w:val="13"/>
                <w:szCs w:val="13"/>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1,027</w:t>
            </w:r>
          </w:p>
        </w:tc>
        <w:tc>
          <w:tcPr>
            <w:tcW w:w="8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spacing w:after="0"/>
              <w:rPr>
                <w:sz w:val="13"/>
                <w:szCs w:val="13"/>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(7,702)</w:t>
            </w:r>
          </w:p>
        </w:tc>
      </w:tr>
      <w:tr>
        <w:trPr>
          <w:trHeight w:val="170"/>
        </w:trPr>
        <w:tc>
          <w:tcPr>
            <w:tcW w:w="66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Net income (loss) attributable to redeemable non-controlling interests</w:t>
            </w:r>
          </w:p>
        </w:tc>
        <w:tc>
          <w:tcPr>
            <w:tcW w:w="9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565</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(5,915)</w:t>
            </w:r>
          </w:p>
        </w:tc>
      </w:tr>
      <w:tr>
        <w:trPr>
          <w:trHeight w:val="170"/>
        </w:trPr>
        <w:tc>
          <w:tcPr>
            <w:tcW w:w="6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Other comprehensive income (loss) attributable to redeemable non-controlling interests</w:t>
            </w:r>
          </w:p>
        </w:tc>
        <w:tc>
          <w:tcPr>
            <w:tcW w:w="9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293</w:t>
            </w: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(299)</w:t>
            </w:r>
          </w:p>
        </w:tc>
      </w:tr>
      <w:tr>
        <w:trPr>
          <w:trHeight w:val="170"/>
        </w:trPr>
        <w:tc>
          <w:tcPr>
            <w:tcW w:w="66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Comprehensive income (loss) attributable to non-redeemable non-controlling interests</w:t>
            </w:r>
          </w:p>
        </w:tc>
        <w:tc>
          <w:tcPr>
            <w:tcW w:w="9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(297)</w:t>
            </w:r>
          </w:p>
        </w:tc>
      </w:tr>
      <w:tr>
        <w:trPr>
          <w:trHeight w:val="170"/>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Dividends on Redeemable preferred non-controlling interests</w:t>
            </w:r>
          </w:p>
        </w:tc>
        <w:tc>
          <w:tcPr>
            <w:tcW w:w="92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426</w:t>
            </w:r>
          </w:p>
        </w:tc>
        <w:tc>
          <w:tcPr>
            <w:tcW w:w="80" w:type="dxa"/>
            <w:vAlign w:val="bottom"/>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445</w:t>
            </w:r>
          </w:p>
        </w:tc>
      </w:tr>
      <w:tr>
        <w:trPr>
          <w:trHeight w:val="160"/>
        </w:trPr>
        <w:tc>
          <w:tcPr>
            <w:tcW w:w="6600" w:type="dxa"/>
            <w:vAlign w:val="bottom"/>
          </w:tcPr>
          <w:p>
            <w:pPr>
              <w:spacing w:after="0"/>
              <w:rPr>
                <w:sz w:val="20"/>
                <w:szCs w:val="20"/>
                <w:color w:val="auto"/>
              </w:rPr>
            </w:pPr>
            <w:r>
              <w:rPr>
                <w:rFonts w:ascii="Times New Roman" w:cs="Times New Roman" w:eastAsia="Times New Roman" w:hAnsi="Times New Roman"/>
                <w:sz w:val="13"/>
                <w:szCs w:val="13"/>
                <w:color w:val="auto"/>
              </w:rPr>
              <w:t>Comprehensive loss attributable to Class A common stockholders</w:t>
            </w:r>
          </w:p>
        </w:tc>
        <w:tc>
          <w:tcPr>
            <w:tcW w:w="920" w:type="dxa"/>
            <w:vAlign w:val="bottom"/>
            <w:tcBorders>
              <w:bottom w:val="single" w:sz="8" w:color="auto"/>
            </w:tcBorders>
          </w:tcPr>
          <w:p>
            <w:pPr>
              <w:jc w:val="right"/>
              <w:ind w:right="773"/>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(259)</w:t>
            </w:r>
          </w:p>
        </w:tc>
        <w:tc>
          <w:tcPr>
            <w:tcW w:w="80" w:type="dxa"/>
            <w:vAlign w:val="bottom"/>
          </w:tcPr>
          <w:p>
            <w:pPr>
              <w:spacing w:after="0"/>
              <w:rPr>
                <w:sz w:val="13"/>
                <w:szCs w:val="13"/>
                <w:color w:val="auto"/>
              </w:rPr>
            </w:pPr>
          </w:p>
        </w:tc>
        <w:tc>
          <w:tcPr>
            <w:tcW w:w="900" w:type="dxa"/>
            <w:vAlign w:val="bottom"/>
            <w:tcBorders>
              <w:bottom w:val="single" w:sz="8" w:color="auto"/>
            </w:tcBorders>
          </w:tcPr>
          <w:p>
            <w:pPr>
              <w:jc w:val="right"/>
              <w:ind w:right="753"/>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(1,636)</w:t>
            </w:r>
          </w:p>
        </w:tc>
      </w:tr>
      <w:tr>
        <w:trPr>
          <w:trHeight w:val="20"/>
        </w:trPr>
        <w:tc>
          <w:tcPr>
            <w:tcW w:w="66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-608965</wp:posOffset>
            </wp:positionH>
            <wp:positionV relativeFrom="paragraph">
              <wp:posOffset>161290</wp:posOffset>
            </wp:positionV>
            <wp:extent cx="7193280"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9420"/>
          </w:cols>
          <w:pgMar w:left="1240" w:top="1264" w:right="1239" w:bottom="1440" w:gutter="0" w:footer="0" w:header="0"/>
        </w:sectPr>
      </w:pPr>
    </w:p>
    <w:bookmarkStart w:id="8" w:name="page9"/>
    <w:bookmarkEnd w:id="8"/>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OPAL FUELS INC.</w:t>
      </w:r>
    </w:p>
    <w:p>
      <w:pPr>
        <w:spacing w:after="0" w:line="1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CONDENSED CONSOLIDATED STATEMENTS OF CHANGES IN REDEEMABLE NON-CONTROLLING INTEREST, REDEEMABLE PREFERRED NON-CONTROLLING INTEREST AND STOCKHOLDERS'</w:t>
      </w:r>
    </w:p>
    <w:p>
      <w:pPr>
        <w:spacing w:after="0" w:line="1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(DEFICIT) EQUITY</w:t>
      </w:r>
    </w:p>
    <w:p>
      <w:pPr>
        <w:spacing w:after="0" w:line="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(In thousands of U.S. dollars, except share and per share data)</w:t>
      </w:r>
    </w:p>
    <w:p>
      <w:pPr>
        <w:spacing w:after="0" w:line="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00" w:type="dxa"/>
            <w:vAlign w:val="bottom"/>
            <w:shd w:val="clear" w:color="auto" w:fill="CCEEFF"/>
          </w:tcPr>
          <w:p>
            <w:pPr>
              <w:spacing w:after="0"/>
              <w:rPr>
                <w:sz w:val="12"/>
                <w:szCs w:val="12"/>
                <w:color w:val="auto"/>
              </w:rPr>
            </w:pPr>
          </w:p>
        </w:tc>
        <w:tc>
          <w:tcPr>
            <w:tcW w:w="126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Class A common</w:t>
            </w:r>
          </w:p>
        </w:tc>
        <w:tc>
          <w:tcPr>
            <w:tcW w:w="124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Class B common</w:t>
            </w: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34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Class A common stock</w:t>
            </w:r>
          </w:p>
        </w:tc>
        <w:tc>
          <w:tcPr>
            <w:tcW w:w="140" w:type="dxa"/>
            <w:vAlign w:val="bottom"/>
            <w:shd w:val="clear" w:color="auto" w:fill="CCEEFF"/>
          </w:tcPr>
          <w:p>
            <w:pPr>
              <w:spacing w:after="0"/>
              <w:rPr>
                <w:sz w:val="12"/>
                <w:szCs w:val="12"/>
                <w:color w:val="auto"/>
              </w:rPr>
            </w:pPr>
          </w:p>
        </w:tc>
        <w:tc>
          <w:tcPr>
            <w:tcW w:w="6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900" w:type="dxa"/>
            <w:vAlign w:val="bottom"/>
            <w:shd w:val="clear" w:color="auto" w:fill="CCEEFF"/>
          </w:tcPr>
          <w:p>
            <w:pPr>
              <w:spacing w:after="0"/>
              <w:rPr>
                <w:sz w:val="15"/>
                <w:szCs w:val="15"/>
                <w:color w:val="auto"/>
              </w:rPr>
            </w:pPr>
          </w:p>
        </w:tc>
        <w:tc>
          <w:tcPr>
            <w:tcW w:w="90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stock</w:t>
            </w:r>
          </w:p>
        </w:tc>
        <w:tc>
          <w:tcPr>
            <w:tcW w:w="3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0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stock</w:t>
            </w:r>
          </w:p>
        </w:tc>
        <w:tc>
          <w:tcPr>
            <w:tcW w:w="2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32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Class D common stock</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34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in treasury</w:t>
            </w:r>
          </w:p>
        </w:tc>
        <w:tc>
          <w:tcPr>
            <w:tcW w:w="140" w:type="dxa"/>
            <w:vAlign w:val="bottom"/>
            <w:shd w:val="clear" w:color="auto" w:fill="CCEEFF"/>
          </w:tcPr>
          <w:p>
            <w:pPr>
              <w:spacing w:after="0"/>
              <w:rPr>
                <w:sz w:val="15"/>
                <w:szCs w:val="15"/>
                <w:color w:val="auto"/>
              </w:rPr>
            </w:pPr>
          </w:p>
        </w:tc>
        <w:tc>
          <w:tcPr>
            <w:tcW w:w="62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gridSpan w:val="4"/>
            <w:shd w:val="clear" w:color="auto" w:fill="CCEEFF"/>
          </w:tcPr>
          <w:p>
            <w:pPr>
              <w:jc w:val="right"/>
              <w:ind w:right="153"/>
              <w:spacing w:after="0"/>
              <w:rPr>
                <w:sz w:val="20"/>
                <w:szCs w:val="20"/>
                <w:color w:val="auto"/>
              </w:rPr>
            </w:pPr>
            <w:r>
              <w:rPr>
                <w:rFonts w:ascii="Times New Roman" w:cs="Times New Roman" w:eastAsia="Times New Roman" w:hAnsi="Times New Roman"/>
                <w:sz w:val="13"/>
                <w:szCs w:val="13"/>
                <w:color w:val="auto"/>
              </w:rPr>
              <w:t>Mezzanine Equity</w:t>
            </w:r>
          </w:p>
        </w:tc>
        <w:tc>
          <w:tcPr>
            <w:tcW w:w="0" w:type="dxa"/>
            <w:vAlign w:val="bottom"/>
          </w:tcPr>
          <w:p>
            <w:pPr>
              <w:spacing w:after="0"/>
              <w:rPr>
                <w:sz w:val="1"/>
                <w:szCs w:val="1"/>
                <w:color w:val="auto"/>
              </w:rPr>
            </w:pPr>
          </w:p>
        </w:tc>
      </w:tr>
      <w:tr>
        <w:trPr>
          <w:trHeight w:val="127"/>
        </w:trPr>
        <w:tc>
          <w:tcPr>
            <w:tcW w:w="90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center"/>
              <w:ind w:right="13"/>
              <w:spacing w:after="0" w:line="128" w:lineRule="exact"/>
              <w:rPr>
                <w:sz w:val="20"/>
                <w:szCs w:val="20"/>
                <w:color w:val="auto"/>
              </w:rPr>
            </w:pPr>
            <w:r>
              <w:rPr>
                <w:rFonts w:ascii="Times New Roman" w:cs="Times New Roman" w:eastAsia="Times New Roman" w:hAnsi="Times New Roman"/>
                <w:sz w:val="13"/>
                <w:szCs w:val="13"/>
                <w:color w:val="auto"/>
              </w:rPr>
              <w:t>Non-</w:t>
            </w:r>
          </w:p>
        </w:tc>
        <w:tc>
          <w:tcPr>
            <w:tcW w:w="6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20" w:type="dxa"/>
            <w:vAlign w:val="bottom"/>
            <w:tcBorders>
              <w:top w:val="single" w:sz="8" w:color="auto"/>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Borders>
              <w:top w:val="single" w:sz="8" w:color="auto"/>
            </w:tcBorders>
            <w:gridSpan w:val="3"/>
          </w:tcPr>
          <w:p>
            <w:pPr>
              <w:jc w:val="center"/>
              <w:ind w:right="60"/>
              <w:spacing w:after="0" w:line="128" w:lineRule="exact"/>
              <w:rPr>
                <w:sz w:val="20"/>
                <w:szCs w:val="20"/>
                <w:color w:val="auto"/>
              </w:rPr>
            </w:pPr>
            <w:r>
              <w:rPr>
                <w:rFonts w:ascii="Times New Roman" w:cs="Times New Roman" w:eastAsia="Times New Roman" w:hAnsi="Times New Roman"/>
                <w:sz w:val="13"/>
                <w:szCs w:val="13"/>
                <w:color w:val="auto"/>
              </w:rPr>
              <w:t>Redeemable</w:t>
            </w: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3"/>
          </w:tcPr>
          <w:p>
            <w:pPr>
              <w:jc w:val="center"/>
              <w:ind w:right="60"/>
              <w:spacing w:after="0" w:line="133" w:lineRule="exact"/>
              <w:rPr>
                <w:sz w:val="20"/>
                <w:szCs w:val="20"/>
                <w:color w:val="auto"/>
              </w:rPr>
            </w:pPr>
            <w:r>
              <w:rPr>
                <w:rFonts w:ascii="Times New Roman" w:cs="Times New Roman" w:eastAsia="Times New Roman" w:hAnsi="Times New Roman"/>
                <w:sz w:val="13"/>
                <w:szCs w:val="13"/>
                <w:color w:val="auto"/>
              </w:rPr>
              <w:t>redeemable</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center"/>
              <w:ind w:right="160"/>
              <w:spacing w:after="0" w:line="133" w:lineRule="exact"/>
              <w:rPr>
                <w:sz w:val="20"/>
                <w:szCs w:val="20"/>
                <w:color w:val="auto"/>
              </w:rPr>
            </w:pPr>
            <w:r>
              <w:rPr>
                <w:rFonts w:ascii="Times New Roman" w:cs="Times New Roman" w:eastAsia="Times New Roman" w:hAnsi="Times New Roman"/>
                <w:sz w:val="13"/>
                <w:szCs w:val="13"/>
                <w:color w:val="auto"/>
              </w:rPr>
              <w:t>Preferred</w:t>
            </w:r>
          </w:p>
        </w:tc>
        <w:tc>
          <w:tcPr>
            <w:tcW w:w="68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3"/>
                <w:szCs w:val="13"/>
                <w:color w:val="auto"/>
              </w:rPr>
              <w:t>Redeemable</w:t>
            </w:r>
          </w:p>
        </w:tc>
        <w:tc>
          <w:tcPr>
            <w:tcW w:w="0" w:type="dxa"/>
            <w:vAlign w:val="bottom"/>
          </w:tcPr>
          <w:p>
            <w:pPr>
              <w:spacing w:after="0"/>
              <w:rPr>
                <w:sz w:val="1"/>
                <w:szCs w:val="1"/>
                <w:color w:val="auto"/>
              </w:rPr>
            </w:pPr>
          </w:p>
        </w:tc>
      </w:tr>
      <w:tr>
        <w:trPr>
          <w:trHeight w:val="140"/>
        </w:trPr>
        <w:tc>
          <w:tcPr>
            <w:tcW w:w="9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3"/>
          </w:tcPr>
          <w:p>
            <w:pPr>
              <w:ind w:left="20"/>
              <w:spacing w:after="0" w:line="140" w:lineRule="exact"/>
              <w:rPr>
                <w:sz w:val="20"/>
                <w:szCs w:val="20"/>
                <w:color w:val="auto"/>
              </w:rPr>
            </w:pPr>
            <w:r>
              <w:rPr>
                <w:rFonts w:ascii="Times New Roman" w:cs="Times New Roman" w:eastAsia="Times New Roman" w:hAnsi="Times New Roman"/>
                <w:sz w:val="13"/>
                <w:szCs w:val="13"/>
                <w:color w:val="auto"/>
              </w:rPr>
              <w:t>Additional</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center"/>
              <w:ind w:right="220"/>
              <w:spacing w:after="0" w:line="140" w:lineRule="exact"/>
              <w:rPr>
                <w:sz w:val="20"/>
                <w:szCs w:val="20"/>
                <w:color w:val="auto"/>
              </w:rPr>
            </w:pPr>
            <w:r>
              <w:rPr>
                <w:rFonts w:ascii="Times New Roman" w:cs="Times New Roman" w:eastAsia="Times New Roman" w:hAnsi="Times New Roman"/>
                <w:sz w:val="13"/>
                <w:szCs w:val="13"/>
                <w:color w:val="auto"/>
              </w:rPr>
              <w:t>Other</w:t>
            </w:r>
          </w:p>
        </w:tc>
        <w:tc>
          <w:tcPr>
            <w:tcW w:w="80" w:type="dxa"/>
            <w:vAlign w:val="bottom"/>
          </w:tcPr>
          <w:p>
            <w:pPr>
              <w:spacing w:after="0"/>
              <w:rPr>
                <w:sz w:val="12"/>
                <w:szCs w:val="12"/>
                <w:color w:val="auto"/>
              </w:rPr>
            </w:pPr>
          </w:p>
        </w:tc>
        <w:tc>
          <w:tcPr>
            <w:tcW w:w="620" w:type="dxa"/>
            <w:vAlign w:val="bottom"/>
            <w:gridSpan w:val="2"/>
          </w:tcPr>
          <w:p>
            <w:pPr>
              <w:jc w:val="center"/>
              <w:ind w:right="140"/>
              <w:spacing w:after="0" w:line="140" w:lineRule="exact"/>
              <w:rPr>
                <w:sz w:val="20"/>
                <w:szCs w:val="20"/>
                <w:color w:val="auto"/>
              </w:rPr>
            </w:pPr>
            <w:r>
              <w:rPr>
                <w:rFonts w:ascii="Times New Roman" w:cs="Times New Roman" w:eastAsia="Times New Roman" w:hAnsi="Times New Roman"/>
                <w:sz w:val="13"/>
                <w:szCs w:val="13"/>
                <w:color w:val="auto"/>
              </w:rPr>
              <w:t>non-</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Borders>
              <w:right w:val="single" w:sz="8" w:color="auto"/>
            </w:tcBorders>
          </w:tcPr>
          <w:p>
            <w:pPr>
              <w:jc w:val="right"/>
              <w:ind w:right="193"/>
              <w:spacing w:after="0" w:line="140" w:lineRule="exact"/>
              <w:rPr>
                <w:sz w:val="20"/>
                <w:szCs w:val="20"/>
                <w:color w:val="auto"/>
              </w:rPr>
            </w:pPr>
            <w:r>
              <w:rPr>
                <w:rFonts w:ascii="Times New Roman" w:cs="Times New Roman" w:eastAsia="Times New Roman" w:hAnsi="Times New Roman"/>
                <w:sz w:val="13"/>
                <w:szCs w:val="13"/>
                <w:color w:val="auto"/>
              </w:rPr>
              <w:t>Total</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140"/>
              <w:spacing w:after="0" w:line="140" w:lineRule="exact"/>
              <w:rPr>
                <w:sz w:val="20"/>
                <w:szCs w:val="20"/>
                <w:color w:val="auto"/>
              </w:rPr>
            </w:pPr>
            <w:r>
              <w:rPr>
                <w:rFonts w:ascii="Times New Roman" w:cs="Times New Roman" w:eastAsia="Times New Roman" w:hAnsi="Times New Roman"/>
                <w:sz w:val="13"/>
                <w:szCs w:val="13"/>
                <w:color w:val="auto"/>
              </w:rPr>
              <w:t>non-</w:t>
            </w:r>
          </w:p>
        </w:tc>
        <w:tc>
          <w:tcPr>
            <w:tcW w:w="100" w:type="dxa"/>
            <w:vAlign w:val="bottom"/>
          </w:tcPr>
          <w:p>
            <w:pPr>
              <w:spacing w:after="0"/>
              <w:rPr>
                <w:sz w:val="12"/>
                <w:szCs w:val="12"/>
                <w:color w:val="auto"/>
              </w:rPr>
            </w:pPr>
          </w:p>
        </w:tc>
        <w:tc>
          <w:tcPr>
            <w:tcW w:w="580" w:type="dxa"/>
            <w:vAlign w:val="bottom"/>
          </w:tcPr>
          <w:p>
            <w:pPr>
              <w:jc w:val="center"/>
              <w:ind w:right="33"/>
              <w:spacing w:after="0" w:line="140" w:lineRule="exact"/>
              <w:rPr>
                <w:sz w:val="20"/>
                <w:szCs w:val="20"/>
                <w:color w:val="auto"/>
              </w:rPr>
            </w:pPr>
            <w:r>
              <w:rPr>
                <w:rFonts w:ascii="Times New Roman" w:cs="Times New Roman" w:eastAsia="Times New Roman" w:hAnsi="Times New Roman"/>
                <w:sz w:val="13"/>
                <w:szCs w:val="13"/>
                <w:color w:val="auto"/>
              </w:rPr>
              <w:t>non-</w:t>
            </w:r>
          </w:p>
        </w:tc>
        <w:tc>
          <w:tcPr>
            <w:tcW w:w="0" w:type="dxa"/>
            <w:vAlign w:val="bottom"/>
          </w:tcPr>
          <w:p>
            <w:pPr>
              <w:spacing w:after="0"/>
              <w:rPr>
                <w:sz w:val="1"/>
                <w:szCs w:val="1"/>
                <w:color w:val="auto"/>
              </w:rPr>
            </w:pPr>
          </w:p>
        </w:tc>
      </w:tr>
      <w:tr>
        <w:trPr>
          <w:trHeight w:val="130"/>
        </w:trPr>
        <w:tc>
          <w:tcPr>
            <w:tcW w:w="900" w:type="dxa"/>
            <w:vAlign w:val="bottom"/>
          </w:tcPr>
          <w:p>
            <w:pPr>
              <w:spacing w:after="0"/>
              <w:rPr>
                <w:sz w:val="11"/>
                <w:szCs w:val="11"/>
                <w:color w:val="auto"/>
              </w:rPr>
            </w:pPr>
          </w:p>
        </w:tc>
        <w:tc>
          <w:tcPr>
            <w:tcW w:w="7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color w:val="auto"/>
              </w:rPr>
              <w:t>Shares</w:t>
            </w:r>
          </w:p>
        </w:tc>
        <w:tc>
          <w:tcPr>
            <w:tcW w:w="54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color w:val="auto"/>
              </w:rPr>
              <w:t>Amount</w:t>
            </w:r>
          </w:p>
        </w:tc>
        <w:tc>
          <w:tcPr>
            <w:tcW w:w="7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3"/>
                <w:szCs w:val="13"/>
                <w:color w:val="auto"/>
              </w:rPr>
              <w:t>Shares</w:t>
            </w:r>
          </w:p>
        </w:tc>
        <w:tc>
          <w:tcPr>
            <w:tcW w:w="52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color w:val="auto"/>
              </w:rPr>
              <w:t>Amount</w:t>
            </w:r>
          </w:p>
        </w:tc>
        <w:tc>
          <w:tcPr>
            <w:tcW w:w="8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3"/>
                <w:szCs w:val="13"/>
                <w:color w:val="auto"/>
              </w:rPr>
              <w:t>Shares</w:t>
            </w:r>
          </w:p>
        </w:tc>
        <w:tc>
          <w:tcPr>
            <w:tcW w:w="52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w w:val="98"/>
              </w:rPr>
              <w:t>Amount</w:t>
            </w:r>
          </w:p>
        </w:tc>
        <w:tc>
          <w:tcPr>
            <w:tcW w:w="10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Times New Roman" w:cs="Times New Roman" w:eastAsia="Times New Roman" w:hAnsi="Times New Roman"/>
                <w:sz w:val="13"/>
                <w:szCs w:val="13"/>
                <w:color w:val="auto"/>
              </w:rPr>
              <w:t>paid-in</w:t>
            </w:r>
          </w:p>
        </w:tc>
        <w:tc>
          <w:tcPr>
            <w:tcW w:w="1700" w:type="dxa"/>
            <w:vAlign w:val="bottom"/>
            <w:gridSpan w:val="6"/>
          </w:tcPr>
          <w:p>
            <w:pPr>
              <w:ind w:left="20"/>
              <w:spacing w:after="0" w:line="130" w:lineRule="exact"/>
              <w:rPr>
                <w:sz w:val="20"/>
                <w:szCs w:val="20"/>
                <w:color w:val="auto"/>
              </w:rPr>
            </w:pPr>
            <w:r>
              <w:rPr>
                <w:rFonts w:ascii="Times New Roman" w:cs="Times New Roman" w:eastAsia="Times New Roman" w:hAnsi="Times New Roman"/>
                <w:sz w:val="13"/>
                <w:szCs w:val="13"/>
                <w:color w:val="auto"/>
              </w:rPr>
              <w:t>Accumulated  comprehensive</w:t>
            </w:r>
          </w:p>
        </w:tc>
        <w:tc>
          <w:tcPr>
            <w:tcW w:w="700" w:type="dxa"/>
            <w:vAlign w:val="bottom"/>
            <w:gridSpan w:val="3"/>
          </w:tcPr>
          <w:p>
            <w:pPr>
              <w:jc w:val="center"/>
              <w:ind w:right="60"/>
              <w:spacing w:after="0" w:line="130" w:lineRule="exact"/>
              <w:rPr>
                <w:sz w:val="20"/>
                <w:szCs w:val="20"/>
                <w:color w:val="auto"/>
              </w:rPr>
            </w:pPr>
            <w:r>
              <w:rPr>
                <w:rFonts w:ascii="Times New Roman" w:cs="Times New Roman" w:eastAsia="Times New Roman" w:hAnsi="Times New Roman"/>
                <w:sz w:val="13"/>
                <w:szCs w:val="13"/>
                <w:color w:val="auto"/>
              </w:rPr>
              <w:t>controlling</w:t>
            </w:r>
          </w:p>
        </w:tc>
        <w:tc>
          <w:tcPr>
            <w:tcW w:w="7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color w:val="auto"/>
              </w:rPr>
              <w:t>Shares</w:t>
            </w:r>
          </w:p>
        </w:tc>
        <w:tc>
          <w:tcPr>
            <w:tcW w:w="6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auto"/>
              </w:rPr>
              <w:t>Amount</w:t>
            </w:r>
          </w:p>
        </w:tc>
        <w:tc>
          <w:tcPr>
            <w:tcW w:w="760" w:type="dxa"/>
            <w:vAlign w:val="bottom"/>
            <w:tcBorders>
              <w:right w:val="single" w:sz="8" w:color="auto"/>
            </w:tcBorders>
            <w:gridSpan w:val="2"/>
          </w:tcPr>
          <w:p>
            <w:pPr>
              <w:ind w:left="20"/>
              <w:spacing w:after="0" w:line="130" w:lineRule="exact"/>
              <w:rPr>
                <w:sz w:val="20"/>
                <w:szCs w:val="20"/>
                <w:color w:val="auto"/>
              </w:rPr>
            </w:pPr>
            <w:r>
              <w:rPr>
                <w:rFonts w:ascii="Times New Roman" w:cs="Times New Roman" w:eastAsia="Times New Roman" w:hAnsi="Times New Roman"/>
                <w:sz w:val="13"/>
                <w:szCs w:val="13"/>
                <w:color w:val="auto"/>
                <w:w w:val="99"/>
              </w:rPr>
              <w:t>Stockholders'</w:t>
            </w:r>
          </w:p>
        </w:tc>
        <w:tc>
          <w:tcPr>
            <w:tcW w:w="40" w:type="dxa"/>
            <w:vAlign w:val="bottom"/>
          </w:tcPr>
          <w:p>
            <w:pPr>
              <w:spacing w:after="0"/>
              <w:rPr>
                <w:sz w:val="11"/>
                <w:szCs w:val="11"/>
                <w:color w:val="auto"/>
              </w:rPr>
            </w:pPr>
          </w:p>
        </w:tc>
        <w:tc>
          <w:tcPr>
            <w:tcW w:w="760" w:type="dxa"/>
            <w:vAlign w:val="bottom"/>
            <w:gridSpan w:val="3"/>
          </w:tcPr>
          <w:p>
            <w:pPr>
              <w:jc w:val="center"/>
              <w:ind w:right="60"/>
              <w:spacing w:after="0" w:line="130" w:lineRule="exact"/>
              <w:rPr>
                <w:sz w:val="20"/>
                <w:szCs w:val="20"/>
                <w:color w:val="auto"/>
              </w:rPr>
            </w:pPr>
            <w:r>
              <w:rPr>
                <w:rFonts w:ascii="Times New Roman" w:cs="Times New Roman" w:eastAsia="Times New Roman" w:hAnsi="Times New Roman"/>
                <w:sz w:val="13"/>
                <w:szCs w:val="13"/>
                <w:color w:val="auto"/>
              </w:rPr>
              <w:t>controlling</w:t>
            </w:r>
          </w:p>
        </w:tc>
        <w:tc>
          <w:tcPr>
            <w:tcW w:w="680" w:type="dxa"/>
            <w:vAlign w:val="bottom"/>
            <w:gridSpan w:val="2"/>
          </w:tcPr>
          <w:p>
            <w:pPr>
              <w:jc w:val="center"/>
              <w:spacing w:after="0" w:line="130" w:lineRule="exact"/>
              <w:rPr>
                <w:sz w:val="20"/>
                <w:szCs w:val="20"/>
                <w:color w:val="auto"/>
              </w:rPr>
            </w:pPr>
            <w:r>
              <w:rPr>
                <w:rFonts w:ascii="Times New Roman" w:cs="Times New Roman" w:eastAsia="Times New Roman" w:hAnsi="Times New Roman"/>
                <w:sz w:val="13"/>
                <w:szCs w:val="13"/>
                <w:color w:val="auto"/>
              </w:rPr>
              <w:t>controlling</w:t>
            </w:r>
          </w:p>
        </w:tc>
        <w:tc>
          <w:tcPr>
            <w:tcW w:w="0" w:type="dxa"/>
            <w:vAlign w:val="bottom"/>
          </w:tcPr>
          <w:p>
            <w:pPr>
              <w:spacing w:after="0"/>
              <w:rPr>
                <w:sz w:val="1"/>
                <w:szCs w:val="1"/>
                <w:color w:val="auto"/>
              </w:rPr>
            </w:pPr>
          </w:p>
        </w:tc>
      </w:tr>
      <w:tr>
        <w:trPr>
          <w:trHeight w:val="170"/>
        </w:trPr>
        <w:tc>
          <w:tcPr>
            <w:tcW w:w="9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40" w:type="dxa"/>
            <w:vAlign w:val="bottom"/>
            <w:gridSpan w:val="3"/>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20" w:type="dxa"/>
            <w:vAlign w:val="bottom"/>
            <w:gridSpan w:val="3"/>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5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capital</w:t>
            </w:r>
          </w:p>
        </w:tc>
        <w:tc>
          <w:tcPr>
            <w:tcW w:w="14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deficit</w:t>
            </w:r>
          </w:p>
        </w:tc>
        <w:tc>
          <w:tcPr>
            <w:tcW w:w="160" w:type="dxa"/>
            <w:vAlign w:val="bottom"/>
          </w:tcPr>
          <w:p>
            <w:pPr>
              <w:spacing w:after="0"/>
              <w:rPr>
                <w:sz w:val="14"/>
                <w:szCs w:val="14"/>
                <w:color w:val="auto"/>
              </w:rPr>
            </w:pPr>
          </w:p>
        </w:tc>
        <w:tc>
          <w:tcPr>
            <w:tcW w:w="7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color w:val="auto"/>
              </w:rPr>
              <w:t>income</w:t>
            </w:r>
          </w:p>
        </w:tc>
        <w:tc>
          <w:tcPr>
            <w:tcW w:w="80" w:type="dxa"/>
            <w:vAlign w:val="bottom"/>
          </w:tcPr>
          <w:p>
            <w:pPr>
              <w:spacing w:after="0"/>
              <w:rPr>
                <w:sz w:val="14"/>
                <w:szCs w:val="14"/>
                <w:color w:val="auto"/>
              </w:rPr>
            </w:pPr>
          </w:p>
        </w:tc>
        <w:tc>
          <w:tcPr>
            <w:tcW w:w="62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color w:val="auto"/>
              </w:rPr>
              <w:t>interests</w:t>
            </w:r>
          </w:p>
        </w:tc>
        <w:tc>
          <w:tcPr>
            <w:tcW w:w="72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Borders>
              <w:right w:val="single" w:sz="8" w:color="auto"/>
            </w:tcBorders>
          </w:tcPr>
          <w:p>
            <w:pPr>
              <w:jc w:val="right"/>
              <w:ind w:right="133"/>
              <w:spacing w:after="0"/>
              <w:rPr>
                <w:sz w:val="20"/>
                <w:szCs w:val="20"/>
                <w:color w:val="auto"/>
              </w:rPr>
            </w:pPr>
            <w:r>
              <w:rPr>
                <w:rFonts w:ascii="Times New Roman" w:cs="Times New Roman" w:eastAsia="Times New Roman" w:hAnsi="Times New Roman"/>
                <w:sz w:val="13"/>
                <w:szCs w:val="13"/>
                <w:color w:val="auto"/>
              </w:rPr>
              <w:t>Deficit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color w:val="auto"/>
              </w:rPr>
              <w:t>interests</w:t>
            </w:r>
          </w:p>
        </w:tc>
        <w:tc>
          <w:tcPr>
            <w:tcW w:w="100" w:type="dxa"/>
            <w:vAlign w:val="bottom"/>
          </w:tcPr>
          <w:p>
            <w:pPr>
              <w:spacing w:after="0"/>
              <w:rPr>
                <w:sz w:val="14"/>
                <w:szCs w:val="14"/>
                <w:color w:val="auto"/>
              </w:rPr>
            </w:pPr>
          </w:p>
        </w:tc>
        <w:tc>
          <w:tcPr>
            <w:tcW w:w="580" w:type="dxa"/>
            <w:vAlign w:val="bottom"/>
          </w:tcPr>
          <w:p>
            <w:pPr>
              <w:jc w:val="center"/>
              <w:ind w:right="33"/>
              <w:spacing w:after="0"/>
              <w:rPr>
                <w:sz w:val="20"/>
                <w:szCs w:val="20"/>
                <w:color w:val="auto"/>
              </w:rPr>
            </w:pPr>
            <w:r>
              <w:rPr>
                <w:rFonts w:ascii="Times New Roman" w:cs="Times New Roman" w:eastAsia="Times New Roman" w:hAnsi="Times New Roman"/>
                <w:sz w:val="13"/>
                <w:szCs w:val="13"/>
                <w:color w:val="auto"/>
              </w:rPr>
              <w:t>interests</w:t>
            </w:r>
          </w:p>
        </w:tc>
        <w:tc>
          <w:tcPr>
            <w:tcW w:w="0" w:type="dxa"/>
            <w:vAlign w:val="bottom"/>
          </w:tcPr>
          <w:p>
            <w:pPr>
              <w:spacing w:after="0"/>
              <w:rPr>
                <w:sz w:val="1"/>
                <w:szCs w:val="1"/>
                <w:color w:val="auto"/>
              </w:rPr>
            </w:pPr>
          </w:p>
        </w:tc>
      </w:tr>
      <w:tr>
        <w:trPr>
          <w:trHeight w:val="113"/>
        </w:trPr>
        <w:tc>
          <w:tcPr>
            <w:tcW w:w="900" w:type="dxa"/>
            <w:vAlign w:val="bottom"/>
            <w:tcBorders>
              <w:top w:val="single" w:sz="8" w:color="CCEEFF"/>
            </w:tcBorders>
            <w:shd w:val="clear" w:color="auto" w:fill="CCEEFF"/>
          </w:tcPr>
          <w:p>
            <w:pPr>
              <w:ind w:left="20"/>
              <w:spacing w:after="0" w:line="113"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66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28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28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right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7"/>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2023</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29,701,146</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6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144,399,037</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(467,195)</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center"/>
              <w:ind w:left="353"/>
              <w:spacing w:after="0"/>
              <w:rPr>
                <w:sz w:val="20"/>
                <w:szCs w:val="20"/>
                <w:color w:val="auto"/>
              </w:rPr>
            </w:pPr>
            <w:r>
              <w:rPr>
                <w:rFonts w:ascii="Times New Roman" w:cs="Times New Roman" w:eastAsia="Times New Roman" w:hAnsi="Times New Roman"/>
                <w:sz w:val="13"/>
                <w:szCs w:val="13"/>
                <w:color w:val="auto"/>
              </w:rPr>
              <w:t>(15)</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955</w:t>
            </w: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(1,635,783)</w:t>
            </w:r>
          </w:p>
        </w:tc>
        <w:tc>
          <w:tcPr>
            <w:tcW w:w="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$(11,614)</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(477,852)</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132,617</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802,720</w:t>
            </w:r>
          </w:p>
        </w:tc>
        <w:tc>
          <w:tcPr>
            <w:tcW w:w="0" w:type="dxa"/>
            <w:vAlign w:val="bottom"/>
          </w:tcPr>
          <w:p>
            <w:pPr>
              <w:spacing w:after="0"/>
              <w:rPr>
                <w:sz w:val="1"/>
                <w:szCs w:val="1"/>
                <w:color w:val="auto"/>
              </w:rPr>
            </w:pPr>
          </w:p>
        </w:tc>
      </w:tr>
      <w:tr>
        <w:trPr>
          <w:trHeight w:val="170"/>
        </w:trPr>
        <w:tc>
          <w:tcPr>
            <w:tcW w:w="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center"/>
              <w:ind w:left="293"/>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6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6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112</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565</w:t>
            </w:r>
          </w:p>
        </w:tc>
        <w:tc>
          <w:tcPr>
            <w:tcW w:w="0" w:type="dxa"/>
            <w:vAlign w:val="bottom"/>
          </w:tcPr>
          <w:p>
            <w:pPr>
              <w:spacing w:after="0"/>
              <w:rPr>
                <w:sz w:val="1"/>
                <w:szCs w:val="1"/>
                <w:color w:val="auto"/>
              </w:rPr>
            </w:pPr>
          </w:p>
        </w:tc>
      </w:tr>
      <w:tr>
        <w:trPr>
          <w:trHeight w:val="137"/>
        </w:trPr>
        <w:tc>
          <w:tcPr>
            <w:tcW w:w="90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3"/>
                <w:szCs w:val="13"/>
                <w:color w:val="auto"/>
              </w:rPr>
              <w:t>Other</w:t>
            </w: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900" w:type="dxa"/>
            <w:vAlign w:val="bottom"/>
            <w:shd w:val="clear" w:color="auto" w:fill="CCEEFF"/>
          </w:tcPr>
          <w:p>
            <w:pPr>
              <w:ind w:left="20"/>
              <w:spacing w:after="0" w:line="133" w:lineRule="exact"/>
              <w:rPr>
                <w:sz w:val="20"/>
                <w:szCs w:val="20"/>
                <w:color w:val="auto"/>
              </w:rPr>
            </w:pPr>
            <w:r>
              <w:rPr>
                <w:rFonts w:ascii="Times New Roman" w:cs="Times New Roman" w:eastAsia="Times New Roman" w:hAnsi="Times New Roman"/>
                <w:sz w:val="13"/>
                <w:szCs w:val="13"/>
                <w:color w:val="auto"/>
              </w:rPr>
              <w:t>comprehensive</w:t>
            </w:r>
          </w:p>
        </w:tc>
        <w:tc>
          <w:tcPr>
            <w:tcW w:w="7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3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3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3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6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center"/>
              <w:ind w:left="353"/>
              <w:spacing w:after="0"/>
              <w:rPr>
                <w:sz w:val="20"/>
                <w:szCs w:val="20"/>
                <w:color w:val="auto"/>
              </w:rPr>
            </w:pPr>
            <w:r>
              <w:rPr>
                <w:rFonts w:ascii="Times New Roman" w:cs="Times New Roman" w:eastAsia="Times New Roman" w:hAnsi="Times New Roman"/>
                <w:sz w:val="13"/>
                <w:szCs w:val="13"/>
                <w:color w:val="auto"/>
              </w:rPr>
              <w:t>57</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62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293</w:t>
            </w:r>
          </w:p>
        </w:tc>
        <w:tc>
          <w:tcPr>
            <w:tcW w:w="0" w:type="dxa"/>
            <w:vAlign w:val="bottom"/>
          </w:tcPr>
          <w:p>
            <w:pPr>
              <w:spacing w:after="0"/>
              <w:rPr>
                <w:sz w:val="1"/>
                <w:szCs w:val="1"/>
                <w:color w:val="auto"/>
              </w:rPr>
            </w:pPr>
          </w:p>
        </w:tc>
      </w:tr>
      <w:tr>
        <w:trPr>
          <w:trHeight w:val="170"/>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w:t>
            </w:r>
          </w:p>
        </w:tc>
        <w:tc>
          <w:tcPr>
            <w:tcW w:w="72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6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tcBorders>
              <w:right w:val="single" w:sz="8" w:color="auto"/>
            </w:tcBorders>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900" w:type="dxa"/>
            <w:vAlign w:val="bottom"/>
          </w:tcPr>
          <w:p>
            <w:pPr>
              <w:ind w:left="20"/>
              <w:spacing w:after="0" w:line="138" w:lineRule="exact"/>
              <w:rPr>
                <w:sz w:val="20"/>
                <w:szCs w:val="20"/>
                <w:color w:val="auto"/>
              </w:rPr>
            </w:pPr>
            <w:r>
              <w:rPr>
                <w:rFonts w:ascii="Times New Roman" w:cs="Times New Roman" w:eastAsia="Times New Roman" w:hAnsi="Times New Roman"/>
                <w:sz w:val="13"/>
                <w:szCs w:val="13"/>
                <w:color w:val="auto"/>
              </w:rPr>
              <w:t>Issuance of</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900" w:type="dxa"/>
            <w:vAlign w:val="bottom"/>
          </w:tcPr>
          <w:p>
            <w:pPr>
              <w:ind w:left="20"/>
              <w:spacing w:after="0" w:line="133" w:lineRule="exact"/>
              <w:rPr>
                <w:sz w:val="20"/>
                <w:szCs w:val="20"/>
                <w:color w:val="auto"/>
              </w:rPr>
            </w:pPr>
            <w:r>
              <w:rPr>
                <w:rFonts w:ascii="Times New Roman" w:cs="Times New Roman" w:eastAsia="Times New Roman" w:hAnsi="Times New Roman"/>
                <w:sz w:val="13"/>
                <w:szCs w:val="13"/>
                <w:color w:val="auto"/>
              </w:rPr>
              <w:t>Class A</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900" w:type="dxa"/>
            <w:vAlign w:val="bottom"/>
          </w:tcPr>
          <w:p>
            <w:pPr>
              <w:ind w:left="20"/>
              <w:spacing w:after="0" w:line="130" w:lineRule="exact"/>
              <w:rPr>
                <w:sz w:val="20"/>
                <w:szCs w:val="20"/>
                <w:color w:val="auto"/>
              </w:rPr>
            </w:pPr>
            <w:r>
              <w:rPr>
                <w:rFonts w:ascii="Times New Roman" w:cs="Times New Roman" w:eastAsia="Times New Roman" w:hAnsi="Times New Roman"/>
                <w:sz w:val="13"/>
                <w:szCs w:val="13"/>
                <w:color w:val="auto"/>
              </w:rPr>
              <w:t>common stock</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900" w:type="dxa"/>
            <w:vAlign w:val="bottom"/>
          </w:tcPr>
          <w:p>
            <w:pPr>
              <w:ind w:left="20"/>
              <w:spacing w:after="0" w:line="130" w:lineRule="exact"/>
              <w:rPr>
                <w:sz w:val="20"/>
                <w:szCs w:val="20"/>
                <w:color w:val="auto"/>
              </w:rPr>
            </w:pPr>
            <w:r>
              <w:rPr>
                <w:rFonts w:ascii="Times New Roman" w:cs="Times New Roman" w:eastAsia="Times New Roman" w:hAnsi="Times New Roman"/>
                <w:sz w:val="13"/>
                <w:szCs w:val="13"/>
                <w:color w:val="auto"/>
              </w:rPr>
              <w:t>under the</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900" w:type="dxa"/>
            <w:vAlign w:val="bottom"/>
          </w:tcPr>
          <w:p>
            <w:pPr>
              <w:ind w:left="20"/>
              <w:spacing w:after="0" w:line="130" w:lineRule="exact"/>
              <w:rPr>
                <w:sz w:val="20"/>
                <w:szCs w:val="20"/>
                <w:color w:val="auto"/>
              </w:rPr>
            </w:pPr>
            <w:r>
              <w:rPr>
                <w:rFonts w:ascii="Times New Roman" w:cs="Times New Roman" w:eastAsia="Times New Roman" w:hAnsi="Times New Roman"/>
                <w:sz w:val="13"/>
                <w:szCs w:val="13"/>
                <w:color w:val="auto"/>
              </w:rPr>
              <w:t>ATM program</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14,005</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3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3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97</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740" w:type="dxa"/>
            <w:vAlign w:val="bottom"/>
            <w:gridSpan w:val="2"/>
            <w:vMerge w:val="restart"/>
          </w:tcPr>
          <w:p>
            <w:pPr>
              <w:jc w:val="center"/>
              <w:ind w:left="293"/>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vMerge w:val="restart"/>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2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97</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0"/>
        </w:trPr>
        <w:tc>
          <w:tcPr>
            <w:tcW w:w="900" w:type="dxa"/>
            <w:vAlign w:val="bottom"/>
          </w:tcPr>
          <w:p>
            <w:pPr>
              <w:ind w:left="20"/>
              <w:spacing w:after="0"/>
              <w:rPr>
                <w:sz w:val="20"/>
                <w:szCs w:val="20"/>
                <w:color w:val="auto"/>
              </w:rPr>
            </w:pPr>
            <w:r>
              <w:rPr>
                <w:rFonts w:ascii="Times New Roman" w:cs="Times New Roman" w:eastAsia="Times New Roman" w:hAnsi="Times New Roman"/>
                <w:sz w:val="9"/>
                <w:szCs w:val="9"/>
                <w:color w:val="auto"/>
              </w:rPr>
              <w:t>(1)</w:t>
            </w:r>
          </w:p>
        </w:tc>
        <w:tc>
          <w:tcPr>
            <w:tcW w:w="6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gridSpan w:val="2"/>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gridSpan w:val="2"/>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Borders>
              <w:right w:val="single" w:sz="8" w:color="auto"/>
            </w:tcBorders>
            <w:vMerge w:val="continue"/>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90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3"/>
                <w:szCs w:val="13"/>
                <w:color w:val="auto"/>
              </w:rPr>
              <w:t>Share</w:t>
            </w: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conversion</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71,500,000</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(71,500,000)</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center"/>
              <w:ind w:left="293"/>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6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7"/>
        </w:trPr>
        <w:tc>
          <w:tcPr>
            <w:tcW w:w="900" w:type="dxa"/>
            <w:vAlign w:val="bottom"/>
          </w:tcPr>
          <w:p>
            <w:pPr>
              <w:ind w:left="20"/>
              <w:spacing w:after="0" w:line="138" w:lineRule="exact"/>
              <w:rPr>
                <w:sz w:val="20"/>
                <w:szCs w:val="20"/>
                <w:color w:val="auto"/>
              </w:rPr>
            </w:pPr>
            <w:r>
              <w:rPr>
                <w:rFonts w:ascii="Times New Roman" w:cs="Times New Roman" w:eastAsia="Times New Roman" w:hAnsi="Times New Roman"/>
                <w:sz w:val="13"/>
                <w:szCs w:val="13"/>
                <w:color w:val="auto"/>
              </w:rPr>
              <w:t>Issuance of</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900" w:type="dxa"/>
            <w:vAlign w:val="bottom"/>
          </w:tcPr>
          <w:p>
            <w:pPr>
              <w:ind w:left="20"/>
              <w:spacing w:after="0" w:line="133" w:lineRule="exact"/>
              <w:rPr>
                <w:sz w:val="20"/>
                <w:szCs w:val="20"/>
                <w:color w:val="auto"/>
              </w:rPr>
            </w:pPr>
            <w:r>
              <w:rPr>
                <w:rFonts w:ascii="Times New Roman" w:cs="Times New Roman" w:eastAsia="Times New Roman" w:hAnsi="Times New Roman"/>
                <w:sz w:val="13"/>
                <w:szCs w:val="13"/>
                <w:color w:val="auto"/>
              </w:rPr>
              <w:t>Class A</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900" w:type="dxa"/>
            <w:vAlign w:val="bottom"/>
          </w:tcPr>
          <w:p>
            <w:pPr>
              <w:ind w:left="20"/>
              <w:spacing w:after="0" w:line="130" w:lineRule="exact"/>
              <w:rPr>
                <w:sz w:val="20"/>
                <w:szCs w:val="20"/>
                <w:color w:val="auto"/>
              </w:rPr>
            </w:pPr>
            <w:r>
              <w:rPr>
                <w:rFonts w:ascii="Times New Roman" w:cs="Times New Roman" w:eastAsia="Times New Roman" w:hAnsi="Times New Roman"/>
                <w:sz w:val="13"/>
                <w:szCs w:val="13"/>
                <w:color w:val="auto"/>
              </w:rPr>
              <w:t>common stock</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900" w:type="dxa"/>
            <w:vAlign w:val="bottom"/>
          </w:tcPr>
          <w:p>
            <w:pPr>
              <w:ind w:left="20"/>
              <w:spacing w:after="0" w:line="130" w:lineRule="exact"/>
              <w:rPr>
                <w:sz w:val="20"/>
                <w:szCs w:val="20"/>
                <w:color w:val="auto"/>
              </w:rPr>
            </w:pPr>
            <w:r>
              <w:rPr>
                <w:rFonts w:ascii="Times New Roman" w:cs="Times New Roman" w:eastAsia="Times New Roman" w:hAnsi="Times New Roman"/>
                <w:sz w:val="13"/>
                <w:szCs w:val="13"/>
                <w:color w:val="auto"/>
              </w:rPr>
              <w:t>for vesting of</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900" w:type="dxa"/>
            <w:vAlign w:val="bottom"/>
          </w:tcPr>
          <w:p>
            <w:pPr>
              <w:ind w:left="20"/>
              <w:spacing w:after="0" w:line="130" w:lineRule="exact"/>
              <w:rPr>
                <w:sz w:val="20"/>
                <w:szCs w:val="20"/>
                <w:color w:val="auto"/>
              </w:rPr>
            </w:pPr>
            <w:r>
              <w:rPr>
                <w:rFonts w:ascii="Times New Roman" w:cs="Times New Roman" w:eastAsia="Times New Roman" w:hAnsi="Times New Roman"/>
                <w:sz w:val="13"/>
                <w:szCs w:val="13"/>
                <w:color w:val="auto"/>
              </w:rPr>
              <w:t>equity awards</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307,137</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3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3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(627)</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740" w:type="dxa"/>
            <w:vAlign w:val="bottom"/>
            <w:gridSpan w:val="2"/>
            <w:vMerge w:val="restart"/>
          </w:tcPr>
          <w:p>
            <w:pPr>
              <w:jc w:val="center"/>
              <w:ind w:left="293"/>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vMerge w:val="restart"/>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2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(627)</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0"/>
        </w:trPr>
        <w:tc>
          <w:tcPr>
            <w:tcW w:w="900" w:type="dxa"/>
            <w:vAlign w:val="bottom"/>
          </w:tcPr>
          <w:p>
            <w:pPr>
              <w:ind w:left="20"/>
              <w:spacing w:after="0"/>
              <w:rPr>
                <w:sz w:val="20"/>
                <w:szCs w:val="20"/>
                <w:color w:val="auto"/>
              </w:rPr>
            </w:pPr>
            <w:r>
              <w:rPr>
                <w:rFonts w:ascii="Times New Roman" w:cs="Times New Roman" w:eastAsia="Times New Roman" w:hAnsi="Times New Roman"/>
                <w:sz w:val="9"/>
                <w:szCs w:val="9"/>
                <w:color w:val="auto"/>
              </w:rPr>
              <w:t>(2)</w:t>
            </w:r>
          </w:p>
        </w:tc>
        <w:tc>
          <w:tcPr>
            <w:tcW w:w="6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gridSpan w:val="2"/>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gridSpan w:val="2"/>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Borders>
              <w:right w:val="single" w:sz="8" w:color="auto"/>
            </w:tcBorders>
            <w:vMerge w:val="continue"/>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90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3"/>
                <w:szCs w:val="13"/>
                <w:color w:val="auto"/>
              </w:rPr>
              <w:t>Stock-based</w:t>
            </w: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compensation</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center"/>
              <w:ind w:left="293"/>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6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848</w:t>
            </w:r>
          </w:p>
        </w:tc>
        <w:tc>
          <w:tcPr>
            <w:tcW w:w="0" w:type="dxa"/>
            <w:vAlign w:val="bottom"/>
          </w:tcPr>
          <w:p>
            <w:pPr>
              <w:spacing w:after="0"/>
              <w:rPr>
                <w:sz w:val="1"/>
                <w:szCs w:val="1"/>
                <w:color w:val="auto"/>
              </w:rPr>
            </w:pPr>
          </w:p>
        </w:tc>
      </w:tr>
      <w:tr>
        <w:trPr>
          <w:trHeight w:val="137"/>
        </w:trPr>
        <w:tc>
          <w:tcPr>
            <w:tcW w:w="900" w:type="dxa"/>
            <w:vAlign w:val="bottom"/>
          </w:tcPr>
          <w:p>
            <w:pPr>
              <w:ind w:left="20"/>
              <w:spacing w:after="0" w:line="138" w:lineRule="exact"/>
              <w:rPr>
                <w:sz w:val="20"/>
                <w:szCs w:val="20"/>
                <w:color w:val="auto"/>
              </w:rPr>
            </w:pPr>
            <w:r>
              <w:rPr>
                <w:rFonts w:ascii="Times New Roman" w:cs="Times New Roman" w:eastAsia="Times New Roman" w:hAnsi="Times New Roman"/>
                <w:sz w:val="13"/>
                <w:szCs w:val="13"/>
                <w:color w:val="auto"/>
              </w:rPr>
              <w:t>Distributions</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900" w:type="dxa"/>
            <w:vAlign w:val="bottom"/>
          </w:tcPr>
          <w:p>
            <w:pPr>
              <w:ind w:left="20"/>
              <w:spacing w:after="0" w:line="133" w:lineRule="exact"/>
              <w:rPr>
                <w:sz w:val="20"/>
                <w:szCs w:val="20"/>
                <w:color w:val="auto"/>
              </w:rPr>
            </w:pPr>
            <w:r>
              <w:rPr>
                <w:rFonts w:ascii="Times New Roman" w:cs="Times New Roman" w:eastAsia="Times New Roman" w:hAnsi="Times New Roman"/>
                <w:sz w:val="13"/>
                <w:szCs w:val="13"/>
                <w:color w:val="auto"/>
              </w:rPr>
              <w:t>to non-</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900" w:type="dxa"/>
            <w:vAlign w:val="bottom"/>
          </w:tcPr>
          <w:p>
            <w:pPr>
              <w:ind w:left="20"/>
              <w:spacing w:after="0" w:line="130" w:lineRule="exact"/>
              <w:rPr>
                <w:sz w:val="20"/>
                <w:szCs w:val="20"/>
                <w:color w:val="auto"/>
              </w:rPr>
            </w:pPr>
            <w:r>
              <w:rPr>
                <w:rFonts w:ascii="Times New Roman" w:cs="Times New Roman" w:eastAsia="Times New Roman" w:hAnsi="Times New Roman"/>
                <w:sz w:val="13"/>
                <w:szCs w:val="13"/>
                <w:color w:val="auto"/>
              </w:rPr>
              <w:t>redeemable</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900" w:type="dxa"/>
            <w:vAlign w:val="bottom"/>
          </w:tcPr>
          <w:p>
            <w:pPr>
              <w:ind w:left="20"/>
              <w:spacing w:after="0" w:line="130" w:lineRule="exact"/>
              <w:rPr>
                <w:sz w:val="20"/>
                <w:szCs w:val="20"/>
                <w:color w:val="auto"/>
              </w:rPr>
            </w:pPr>
            <w:r>
              <w:rPr>
                <w:rFonts w:ascii="Times New Roman" w:cs="Times New Roman" w:eastAsia="Times New Roman" w:hAnsi="Times New Roman"/>
                <w:sz w:val="13"/>
                <w:szCs w:val="13"/>
                <w:color w:val="auto"/>
              </w:rPr>
              <w:t>non-</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900" w:type="dxa"/>
            <w:vAlign w:val="bottom"/>
          </w:tcPr>
          <w:p>
            <w:pPr>
              <w:ind w:left="20"/>
              <w:spacing w:after="0" w:line="138" w:lineRule="exact"/>
              <w:rPr>
                <w:sz w:val="20"/>
                <w:szCs w:val="20"/>
                <w:color w:val="auto"/>
              </w:rPr>
            </w:pPr>
            <w:r>
              <w:rPr>
                <w:rFonts w:ascii="Times New Roman" w:cs="Times New Roman" w:eastAsia="Times New Roman" w:hAnsi="Times New Roman"/>
                <w:sz w:val="13"/>
                <w:szCs w:val="13"/>
                <w:color w:val="auto"/>
              </w:rPr>
              <w:t>controlling</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interests</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40" w:type="dxa"/>
            <w:vAlign w:val="bottom"/>
            <w:gridSpan w:val="2"/>
          </w:tcPr>
          <w:p>
            <w:pPr>
              <w:jc w:val="center"/>
              <w:ind w:left="293"/>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(233)</w:t>
            </w:r>
          </w:p>
        </w:tc>
        <w:tc>
          <w:tcPr>
            <w:tcW w:w="6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6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(233)</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7"/>
        </w:trPr>
        <w:tc>
          <w:tcPr>
            <w:tcW w:w="90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3"/>
                <w:szCs w:val="13"/>
                <w:color w:val="auto"/>
              </w:rPr>
              <w:t>Dividends on</w:t>
            </w: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900" w:type="dxa"/>
            <w:vAlign w:val="bottom"/>
            <w:shd w:val="clear" w:color="auto" w:fill="CCEEFF"/>
          </w:tcPr>
          <w:p>
            <w:pPr>
              <w:ind w:left="20"/>
              <w:spacing w:after="0" w:line="133" w:lineRule="exact"/>
              <w:rPr>
                <w:sz w:val="20"/>
                <w:szCs w:val="20"/>
                <w:color w:val="auto"/>
              </w:rPr>
            </w:pPr>
            <w:r>
              <w:rPr>
                <w:rFonts w:ascii="Times New Roman" w:cs="Times New Roman" w:eastAsia="Times New Roman" w:hAnsi="Times New Roman"/>
                <w:sz w:val="13"/>
                <w:szCs w:val="13"/>
                <w:color w:val="auto"/>
              </w:rPr>
              <w:t>redeemable</w:t>
            </w: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900" w:type="dxa"/>
            <w:vAlign w:val="bottom"/>
            <w:shd w:val="clear" w:color="auto" w:fill="CCEEFF"/>
          </w:tcPr>
          <w:p>
            <w:pPr>
              <w:ind w:left="20"/>
              <w:spacing w:after="0" w:line="130" w:lineRule="exact"/>
              <w:rPr>
                <w:sz w:val="20"/>
                <w:szCs w:val="20"/>
                <w:color w:val="auto"/>
              </w:rPr>
            </w:pPr>
            <w:r>
              <w:rPr>
                <w:rFonts w:ascii="Times New Roman" w:cs="Times New Roman" w:eastAsia="Times New Roman" w:hAnsi="Times New Roman"/>
                <w:sz w:val="13"/>
                <w:szCs w:val="13"/>
                <w:color w:val="auto"/>
              </w:rPr>
              <w:t>preferred non-</w:t>
            </w: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900" w:type="dxa"/>
            <w:vAlign w:val="bottom"/>
            <w:shd w:val="clear" w:color="auto" w:fill="CCEEFF"/>
          </w:tcPr>
          <w:p>
            <w:pPr>
              <w:ind w:left="20"/>
              <w:spacing w:after="0" w:line="130" w:lineRule="exact"/>
              <w:rPr>
                <w:sz w:val="20"/>
                <w:szCs w:val="20"/>
                <w:color w:val="auto"/>
              </w:rPr>
            </w:pPr>
            <w:r>
              <w:rPr>
                <w:rFonts w:ascii="Times New Roman" w:cs="Times New Roman" w:eastAsia="Times New Roman" w:hAnsi="Times New Roman"/>
                <w:sz w:val="13"/>
                <w:szCs w:val="13"/>
                <w:color w:val="auto"/>
              </w:rPr>
              <w:t>controlling</w:t>
            </w: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interests</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(426)</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center"/>
              <w:ind w:left="293"/>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6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(426)</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2,618</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(2,192)</w:t>
            </w:r>
          </w:p>
        </w:tc>
        <w:tc>
          <w:tcPr>
            <w:tcW w:w="0" w:type="dxa"/>
            <w:vAlign w:val="bottom"/>
          </w:tcPr>
          <w:p>
            <w:pPr>
              <w:spacing w:after="0"/>
              <w:rPr>
                <w:sz w:val="1"/>
                <w:szCs w:val="1"/>
                <w:color w:val="auto"/>
              </w:rPr>
            </w:pPr>
          </w:p>
        </w:tc>
      </w:tr>
      <w:tr>
        <w:trPr>
          <w:trHeight w:val="137"/>
        </w:trPr>
        <w:tc>
          <w:tcPr>
            <w:tcW w:w="900" w:type="dxa"/>
            <w:vAlign w:val="bottom"/>
          </w:tcPr>
          <w:p>
            <w:pPr>
              <w:ind w:left="20"/>
              <w:spacing w:after="0" w:line="138" w:lineRule="exact"/>
              <w:rPr>
                <w:sz w:val="20"/>
                <w:szCs w:val="20"/>
                <w:color w:val="auto"/>
              </w:rPr>
            </w:pPr>
            <w:r>
              <w:rPr>
                <w:rFonts w:ascii="Times New Roman" w:cs="Times New Roman" w:eastAsia="Times New Roman" w:hAnsi="Times New Roman"/>
                <w:sz w:val="13"/>
                <w:szCs w:val="13"/>
                <w:color w:val="auto"/>
              </w:rPr>
              <w:t>Change in</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900" w:type="dxa"/>
            <w:vAlign w:val="bottom"/>
          </w:tcPr>
          <w:p>
            <w:pPr>
              <w:ind w:left="20"/>
              <w:spacing w:after="0" w:line="133" w:lineRule="exact"/>
              <w:rPr>
                <w:sz w:val="20"/>
                <w:szCs w:val="20"/>
                <w:color w:val="auto"/>
              </w:rPr>
            </w:pPr>
            <w:r>
              <w:rPr>
                <w:rFonts w:ascii="Times New Roman" w:cs="Times New Roman" w:eastAsia="Times New Roman" w:hAnsi="Times New Roman"/>
                <w:sz w:val="13"/>
                <w:szCs w:val="13"/>
                <w:color w:val="auto"/>
              </w:rPr>
              <w:t>redemption</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900" w:type="dxa"/>
            <w:vAlign w:val="bottom"/>
          </w:tcPr>
          <w:p>
            <w:pPr>
              <w:ind w:left="20"/>
              <w:spacing w:after="0" w:line="130" w:lineRule="exact"/>
              <w:rPr>
                <w:sz w:val="20"/>
                <w:szCs w:val="20"/>
                <w:color w:val="auto"/>
              </w:rPr>
            </w:pPr>
            <w:r>
              <w:rPr>
                <w:rFonts w:ascii="Times New Roman" w:cs="Times New Roman" w:eastAsia="Times New Roman" w:hAnsi="Times New Roman"/>
                <w:sz w:val="13"/>
                <w:szCs w:val="13"/>
                <w:color w:val="auto"/>
              </w:rPr>
              <w:t>value of</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900" w:type="dxa"/>
            <w:vAlign w:val="bottom"/>
          </w:tcPr>
          <w:p>
            <w:pPr>
              <w:ind w:left="20"/>
              <w:spacing w:after="0" w:line="130" w:lineRule="exact"/>
              <w:rPr>
                <w:sz w:val="20"/>
                <w:szCs w:val="20"/>
                <w:color w:val="auto"/>
              </w:rPr>
            </w:pPr>
            <w:r>
              <w:rPr>
                <w:rFonts w:ascii="Times New Roman" w:cs="Times New Roman" w:eastAsia="Times New Roman" w:hAnsi="Times New Roman"/>
                <w:sz w:val="13"/>
                <w:szCs w:val="13"/>
                <w:color w:val="auto"/>
              </w:rPr>
              <w:t>Redeemable</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900" w:type="dxa"/>
            <w:vAlign w:val="bottom"/>
          </w:tcPr>
          <w:p>
            <w:pPr>
              <w:ind w:left="20"/>
              <w:spacing w:after="0" w:line="138" w:lineRule="exact"/>
              <w:rPr>
                <w:sz w:val="20"/>
                <w:szCs w:val="20"/>
                <w:color w:val="auto"/>
              </w:rPr>
            </w:pPr>
            <w:r>
              <w:rPr>
                <w:rFonts w:ascii="Times New Roman" w:cs="Times New Roman" w:eastAsia="Times New Roman" w:hAnsi="Times New Roman"/>
                <w:sz w:val="13"/>
                <w:szCs w:val="13"/>
                <w:color w:val="auto"/>
              </w:rPr>
              <w:t>non-</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900" w:type="dxa"/>
            <w:vAlign w:val="bottom"/>
          </w:tcPr>
          <w:p>
            <w:pPr>
              <w:ind w:left="20"/>
              <w:spacing w:after="0" w:line="133" w:lineRule="exact"/>
              <w:rPr>
                <w:sz w:val="20"/>
                <w:szCs w:val="20"/>
                <w:color w:val="auto"/>
              </w:rPr>
            </w:pPr>
            <w:r>
              <w:rPr>
                <w:rFonts w:ascii="Times New Roman" w:cs="Times New Roman" w:eastAsia="Times New Roman" w:hAnsi="Times New Roman"/>
                <w:sz w:val="13"/>
                <w:szCs w:val="13"/>
                <w:color w:val="auto"/>
              </w:rPr>
              <w:t>controlling</w:t>
            </w: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3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3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3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365</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96,679</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2"/>
            <w:vMerge w:val="restart"/>
          </w:tcPr>
          <w:p>
            <w:pPr>
              <w:jc w:val="center"/>
              <w:ind w:left="293"/>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vMerge w:val="restart"/>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2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97,044</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(97,044)</w:t>
            </w:r>
          </w:p>
        </w:tc>
        <w:tc>
          <w:tcPr>
            <w:tcW w:w="0" w:type="dxa"/>
            <w:vAlign w:val="bottom"/>
          </w:tcPr>
          <w:p>
            <w:pPr>
              <w:spacing w:after="0"/>
              <w:rPr>
                <w:sz w:val="1"/>
                <w:szCs w:val="1"/>
                <w:color w:val="auto"/>
              </w:rPr>
            </w:pPr>
          </w:p>
        </w:tc>
      </w:tr>
      <w:tr>
        <w:trPr>
          <w:trHeight w:val="170"/>
        </w:trPr>
        <w:tc>
          <w:tcPr>
            <w:tcW w:w="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interests</w:t>
            </w:r>
          </w:p>
        </w:tc>
        <w:tc>
          <w:tcPr>
            <w:tcW w:w="7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Borders>
              <w:right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90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3"/>
                <w:szCs w:val="13"/>
                <w:color w:val="auto"/>
              </w:rPr>
              <w:t>Payment of</w:t>
            </w: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900" w:type="dxa"/>
            <w:vAlign w:val="bottom"/>
            <w:shd w:val="clear" w:color="auto" w:fill="CCEEFF"/>
          </w:tcPr>
          <w:p>
            <w:pPr>
              <w:ind w:left="20"/>
              <w:spacing w:after="0" w:line="133" w:lineRule="exact"/>
              <w:rPr>
                <w:sz w:val="20"/>
                <w:szCs w:val="20"/>
                <w:color w:val="auto"/>
              </w:rPr>
            </w:pPr>
            <w:r>
              <w:rPr>
                <w:rFonts w:ascii="Times New Roman" w:cs="Times New Roman" w:eastAsia="Times New Roman" w:hAnsi="Times New Roman"/>
                <w:sz w:val="13"/>
                <w:szCs w:val="13"/>
                <w:color w:val="auto"/>
              </w:rPr>
              <w:t>preferred</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vMerge w:val="restart"/>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vMerge w:val="restart"/>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vMerge w:val="restart"/>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vMerge w:val="restart"/>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vMerge w:val="restart"/>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vMerge w:val="restart"/>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vMerge w:val="restart"/>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vMerge w:val="restart"/>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center"/>
              <w:ind w:left="353"/>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vMerge w:val="restart"/>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vMerge w:val="restart"/>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vMerge w:val="restart"/>
            <w:shd w:val="clear" w:color="auto" w:fill="CCEEFF"/>
          </w:tcPr>
          <w:p>
            <w:pPr>
              <w:spacing w:after="0"/>
              <w:rPr>
                <w:sz w:val="11"/>
                <w:szCs w:val="11"/>
                <w:color w:val="auto"/>
              </w:rPr>
            </w:pPr>
          </w:p>
        </w:tc>
        <w:tc>
          <w:tcPr>
            <w:tcW w:w="560" w:type="dxa"/>
            <w:vAlign w:val="bottom"/>
            <w:vMerge w:val="restart"/>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vMerge w:val="restart"/>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(5,235)</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dividend</w:t>
            </w:r>
          </w:p>
        </w:tc>
        <w:tc>
          <w:tcPr>
            <w:tcW w:w="660" w:type="dxa"/>
            <w:vAlign w:val="bottom"/>
            <w:tcBorders>
              <w:bottom w:val="single" w:sz="8" w:color="auto"/>
            </w:tcBorders>
            <w:vMerge w:val="continue"/>
            <w:shd w:val="clear" w:color="auto" w:fill="CCEEFF"/>
          </w:tcPr>
          <w:p>
            <w:pPr>
              <w:spacing w:after="0"/>
              <w:rPr>
                <w:sz w:val="14"/>
                <w:szCs w:val="14"/>
                <w:color w:val="auto"/>
              </w:rPr>
            </w:pPr>
          </w:p>
        </w:tc>
        <w:tc>
          <w:tcPr>
            <w:tcW w:w="60" w:type="dxa"/>
            <w:vAlign w:val="bottom"/>
            <w:vMerge w:val="continue"/>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300" w:type="dxa"/>
            <w:vAlign w:val="bottom"/>
            <w:tcBorders>
              <w:bottom w:val="single" w:sz="8" w:color="auto"/>
            </w:tcBorders>
            <w:vMerge w:val="continue"/>
            <w:shd w:val="clear" w:color="auto" w:fill="CCEEFF"/>
          </w:tcPr>
          <w:p>
            <w:pPr>
              <w:spacing w:after="0"/>
              <w:rPr>
                <w:sz w:val="14"/>
                <w:szCs w:val="14"/>
                <w:color w:val="auto"/>
              </w:rPr>
            </w:pPr>
          </w:p>
        </w:tc>
        <w:tc>
          <w:tcPr>
            <w:tcW w:w="60" w:type="dxa"/>
            <w:vAlign w:val="bottom"/>
            <w:vMerge w:val="continue"/>
            <w:shd w:val="clear" w:color="auto" w:fill="CCEEFF"/>
          </w:tcPr>
          <w:p>
            <w:pPr>
              <w:spacing w:after="0"/>
              <w:rPr>
                <w:sz w:val="14"/>
                <w:szCs w:val="14"/>
                <w:color w:val="auto"/>
              </w:rPr>
            </w:pPr>
          </w:p>
        </w:tc>
        <w:tc>
          <w:tcPr>
            <w:tcW w:w="660" w:type="dxa"/>
            <w:vAlign w:val="bottom"/>
            <w:tcBorders>
              <w:bottom w:val="single" w:sz="8" w:color="auto"/>
            </w:tcBorders>
            <w:vMerge w:val="continue"/>
            <w:shd w:val="clear" w:color="auto" w:fill="CCEEFF"/>
          </w:tcPr>
          <w:p>
            <w:pPr>
              <w:spacing w:after="0"/>
              <w:rPr>
                <w:sz w:val="14"/>
                <w:szCs w:val="14"/>
                <w:color w:val="auto"/>
              </w:rPr>
            </w:pPr>
          </w:p>
        </w:tc>
        <w:tc>
          <w:tcPr>
            <w:tcW w:w="60" w:type="dxa"/>
            <w:vAlign w:val="bottom"/>
            <w:vMerge w:val="continue"/>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280" w:type="dxa"/>
            <w:vAlign w:val="bottom"/>
            <w:tcBorders>
              <w:bottom w:val="single" w:sz="8" w:color="auto"/>
            </w:tcBorders>
            <w:vMerge w:val="continue"/>
            <w:shd w:val="clear" w:color="auto" w:fill="CCEEFF"/>
          </w:tcPr>
          <w:p>
            <w:pPr>
              <w:spacing w:after="0"/>
              <w:rPr>
                <w:sz w:val="14"/>
                <w:szCs w:val="14"/>
                <w:color w:val="auto"/>
              </w:rPr>
            </w:pPr>
          </w:p>
        </w:tc>
        <w:tc>
          <w:tcPr>
            <w:tcW w:w="60" w:type="dxa"/>
            <w:vAlign w:val="bottom"/>
            <w:vMerge w:val="continue"/>
            <w:shd w:val="clear" w:color="auto" w:fill="CCEEFF"/>
          </w:tcPr>
          <w:p>
            <w:pPr>
              <w:spacing w:after="0"/>
              <w:rPr>
                <w:sz w:val="14"/>
                <w:szCs w:val="14"/>
                <w:color w:val="auto"/>
              </w:rPr>
            </w:pPr>
          </w:p>
        </w:tc>
        <w:tc>
          <w:tcPr>
            <w:tcW w:w="740" w:type="dxa"/>
            <w:vAlign w:val="bottom"/>
            <w:tcBorders>
              <w:bottom w:val="single" w:sz="8" w:color="auto"/>
            </w:tcBorders>
            <w:vMerge w:val="continue"/>
            <w:shd w:val="clear" w:color="auto" w:fill="CCEEFF"/>
          </w:tcPr>
          <w:p>
            <w:pPr>
              <w:spacing w:after="0"/>
              <w:rPr>
                <w:sz w:val="14"/>
                <w:szCs w:val="14"/>
                <w:color w:val="auto"/>
              </w:rPr>
            </w:pPr>
          </w:p>
        </w:tc>
        <w:tc>
          <w:tcPr>
            <w:tcW w:w="60" w:type="dxa"/>
            <w:vAlign w:val="bottom"/>
            <w:vMerge w:val="continue"/>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280" w:type="dxa"/>
            <w:vAlign w:val="bottom"/>
            <w:tcBorders>
              <w:bottom w:val="single" w:sz="8" w:color="auto"/>
            </w:tcBorders>
            <w:vMerge w:val="continue"/>
            <w:shd w:val="clear" w:color="auto" w:fill="CCEEFF"/>
          </w:tcPr>
          <w:p>
            <w:pPr>
              <w:spacing w:after="0"/>
              <w:rPr>
                <w:sz w:val="14"/>
                <w:szCs w:val="14"/>
                <w:color w:val="auto"/>
              </w:rPr>
            </w:pPr>
          </w:p>
        </w:tc>
        <w:tc>
          <w:tcPr>
            <w:tcW w:w="60" w:type="dxa"/>
            <w:vAlign w:val="bottom"/>
            <w:vMerge w:val="continue"/>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vMerge w:val="continue"/>
            <w:shd w:val="clear" w:color="auto" w:fill="CCEEFF"/>
          </w:tcPr>
          <w:p>
            <w:pPr>
              <w:spacing w:after="0"/>
              <w:rPr>
                <w:sz w:val="14"/>
                <w:szCs w:val="14"/>
                <w:color w:val="auto"/>
              </w:rPr>
            </w:pPr>
          </w:p>
        </w:tc>
        <w:tc>
          <w:tcPr>
            <w:tcW w:w="60" w:type="dxa"/>
            <w:vAlign w:val="bottom"/>
            <w:vMerge w:val="continue"/>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vMerge w:val="continue"/>
            <w:shd w:val="clear" w:color="auto" w:fill="CCEEFF"/>
          </w:tcPr>
          <w:p>
            <w:pPr>
              <w:spacing w:after="0"/>
              <w:rPr>
                <w:sz w:val="14"/>
                <w:szCs w:val="14"/>
                <w:color w:val="auto"/>
              </w:rPr>
            </w:pPr>
          </w:p>
        </w:tc>
        <w:tc>
          <w:tcPr>
            <w:tcW w:w="60" w:type="dxa"/>
            <w:vAlign w:val="bottom"/>
            <w:vMerge w:val="continue"/>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vMerge w:val="continue"/>
            <w:shd w:val="clear" w:color="auto" w:fill="CCEEFF"/>
          </w:tcPr>
          <w:p>
            <w:pPr>
              <w:spacing w:after="0"/>
              <w:rPr>
                <w:sz w:val="14"/>
                <w:szCs w:val="14"/>
                <w:color w:val="auto"/>
              </w:rPr>
            </w:pPr>
          </w:p>
        </w:tc>
        <w:tc>
          <w:tcPr>
            <w:tcW w:w="60" w:type="dxa"/>
            <w:vAlign w:val="bottom"/>
            <w:vMerge w:val="continue"/>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vMerge w:val="continue"/>
            <w:shd w:val="clear" w:color="auto" w:fill="CCEEFF"/>
          </w:tcPr>
          <w:p>
            <w:pPr>
              <w:spacing w:after="0"/>
              <w:rPr>
                <w:sz w:val="14"/>
                <w:szCs w:val="14"/>
                <w:color w:val="auto"/>
              </w:rPr>
            </w:pPr>
          </w:p>
        </w:tc>
        <w:tc>
          <w:tcPr>
            <w:tcW w:w="60" w:type="dxa"/>
            <w:vAlign w:val="bottom"/>
            <w:vMerge w:val="continue"/>
            <w:shd w:val="clear" w:color="auto" w:fill="CCEEFF"/>
          </w:tcPr>
          <w:p>
            <w:pPr>
              <w:spacing w:after="0"/>
              <w:rPr>
                <w:sz w:val="14"/>
                <w:szCs w:val="14"/>
                <w:color w:val="auto"/>
              </w:rPr>
            </w:pPr>
          </w:p>
        </w:tc>
        <w:tc>
          <w:tcPr>
            <w:tcW w:w="660" w:type="dxa"/>
            <w:vAlign w:val="bottom"/>
            <w:tcBorders>
              <w:bottom w:val="single" w:sz="8" w:color="auto"/>
            </w:tcBorders>
            <w:vMerge w:val="continue"/>
            <w:shd w:val="clear" w:color="auto" w:fill="CCEEFF"/>
          </w:tcPr>
          <w:p>
            <w:pPr>
              <w:spacing w:after="0"/>
              <w:rPr>
                <w:sz w:val="14"/>
                <w:szCs w:val="14"/>
                <w:color w:val="auto"/>
              </w:rPr>
            </w:pPr>
          </w:p>
        </w:tc>
        <w:tc>
          <w:tcPr>
            <w:tcW w:w="60" w:type="dxa"/>
            <w:vAlign w:val="bottom"/>
            <w:vMerge w:val="continue"/>
            <w:shd w:val="clear" w:color="auto" w:fill="CCEEFF"/>
          </w:tcPr>
          <w:p>
            <w:pPr>
              <w:spacing w:after="0"/>
              <w:rPr>
                <w:sz w:val="14"/>
                <w:szCs w:val="14"/>
                <w:color w:val="auto"/>
              </w:rPr>
            </w:pPr>
          </w:p>
        </w:tc>
        <w:tc>
          <w:tcPr>
            <w:tcW w:w="560" w:type="dxa"/>
            <w:vAlign w:val="bottom"/>
            <w:tcBorders>
              <w:bottom w:val="single" w:sz="8" w:color="auto"/>
            </w:tcBorders>
            <w:vMerge w:val="continue"/>
            <w:shd w:val="clear" w:color="auto" w:fill="CCEEFF"/>
          </w:tcPr>
          <w:p>
            <w:pPr>
              <w:spacing w:after="0"/>
              <w:rPr>
                <w:sz w:val="14"/>
                <w:szCs w:val="14"/>
                <w:color w:val="auto"/>
              </w:rPr>
            </w:pPr>
          </w:p>
        </w:tc>
        <w:tc>
          <w:tcPr>
            <w:tcW w:w="60" w:type="dxa"/>
            <w:vAlign w:val="bottom"/>
            <w:vMerge w:val="continue"/>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right w:val="single" w:sz="8" w:color="auto"/>
            </w:tcBorders>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900" w:type="dxa"/>
            <w:vAlign w:val="bottom"/>
          </w:tcPr>
          <w:p>
            <w:pPr>
              <w:ind w:left="20"/>
              <w:spacing w:after="0" w:line="113"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30,022,288</w:t>
            </w:r>
          </w:p>
        </w:tc>
        <w:tc>
          <w:tcPr>
            <w:tcW w:w="60" w:type="dxa"/>
            <w:vAlign w:val="bottom"/>
          </w:tcPr>
          <w:p>
            <w:pPr>
              <w:spacing w:after="0"/>
              <w:rPr>
                <w:sz w:val="9"/>
                <w:szCs w:val="9"/>
                <w:color w:val="auto"/>
              </w:rPr>
            </w:pP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60" w:type="dxa"/>
            <w:vAlign w:val="bottom"/>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9"/>
              </w:rPr>
              <w:t>71,500,000</w:t>
            </w:r>
          </w:p>
        </w:tc>
        <w:tc>
          <w:tcPr>
            <w:tcW w:w="60" w:type="dxa"/>
            <w:vAlign w:val="bottom"/>
          </w:tcPr>
          <w:p>
            <w:pPr>
              <w:spacing w:after="0"/>
              <w:rPr>
                <w:sz w:val="9"/>
                <w:szCs w:val="9"/>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6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72,899,037</w:t>
            </w:r>
          </w:p>
        </w:tc>
        <w:tc>
          <w:tcPr>
            <w:tcW w:w="60" w:type="dxa"/>
            <w:vAlign w:val="bottom"/>
          </w:tcPr>
          <w:p>
            <w:pPr>
              <w:spacing w:after="0"/>
              <w:rPr>
                <w:sz w:val="9"/>
                <w:szCs w:val="9"/>
                <w:color w:val="auto"/>
              </w:rPr>
            </w:pPr>
          </w:p>
        </w:tc>
        <w:tc>
          <w:tcPr>
            <w:tcW w:w="180" w:type="dxa"/>
            <w:vAlign w:val="bottom"/>
            <w:vMerge w:val="restart"/>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60" w:type="dxa"/>
            <w:vAlign w:val="bottom"/>
          </w:tcPr>
          <w:p>
            <w:pPr>
              <w:spacing w:after="0"/>
              <w:rPr>
                <w:sz w:val="9"/>
                <w:szCs w:val="9"/>
                <w:color w:val="auto"/>
              </w:rPr>
            </w:pP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(370,832)</w:t>
            </w:r>
          </w:p>
        </w:tc>
        <w:tc>
          <w:tcPr>
            <w:tcW w:w="60" w:type="dxa"/>
            <w:vAlign w:val="bottom"/>
          </w:tcPr>
          <w:p>
            <w:pPr>
              <w:spacing w:after="0"/>
              <w:rPr>
                <w:sz w:val="9"/>
                <w:szCs w:val="9"/>
                <w:color w:val="auto"/>
              </w:rPr>
            </w:pPr>
          </w:p>
        </w:tc>
        <w:tc>
          <w:tcPr>
            <w:tcW w:w="160" w:type="dxa"/>
            <w:vAlign w:val="bottom"/>
            <w:vMerge w:val="restart"/>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vMerge w:val="restart"/>
          </w:tcPr>
          <w:p>
            <w:pPr>
              <w:jc w:val="center"/>
              <w:ind w:left="353"/>
              <w:spacing w:after="0"/>
              <w:rPr>
                <w:sz w:val="20"/>
                <w:szCs w:val="20"/>
                <w:color w:val="auto"/>
              </w:rPr>
            </w:pPr>
            <w:r>
              <w:rPr>
                <w:rFonts w:ascii="Times New Roman" w:cs="Times New Roman" w:eastAsia="Times New Roman" w:hAnsi="Times New Roman"/>
                <w:sz w:val="13"/>
                <w:szCs w:val="13"/>
                <w:color w:val="auto"/>
              </w:rPr>
              <w:t>42</w:t>
            </w:r>
          </w:p>
        </w:tc>
        <w:tc>
          <w:tcPr>
            <w:tcW w:w="60" w:type="dxa"/>
            <w:vAlign w:val="bottom"/>
          </w:tcPr>
          <w:p>
            <w:pPr>
              <w:spacing w:after="0"/>
              <w:rPr>
                <w:sz w:val="9"/>
                <w:szCs w:val="9"/>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724</w:t>
            </w:r>
          </w:p>
        </w:tc>
        <w:tc>
          <w:tcPr>
            <w:tcW w:w="60" w:type="dxa"/>
            <w:vAlign w:val="bottom"/>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(1,635,783)</w:t>
            </w:r>
          </w:p>
        </w:tc>
        <w:tc>
          <w:tcPr>
            <w:tcW w:w="60" w:type="dxa"/>
            <w:vAlign w:val="bottom"/>
          </w:tcPr>
          <w:p>
            <w:pPr>
              <w:spacing w:after="0"/>
              <w:rPr>
                <w:sz w:val="9"/>
                <w:szCs w:val="9"/>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(11,614)</w:t>
            </w:r>
          </w:p>
        </w:tc>
        <w:tc>
          <w:tcPr>
            <w:tcW w:w="60" w:type="dxa"/>
            <w:vAlign w:val="bottom"/>
          </w:tcPr>
          <w:p>
            <w:pPr>
              <w:spacing w:after="0"/>
              <w:rPr>
                <w:sz w:val="9"/>
                <w:szCs w:val="9"/>
                <w:color w:val="auto"/>
              </w:rPr>
            </w:pPr>
          </w:p>
        </w:tc>
        <w:tc>
          <w:tcPr>
            <w:tcW w:w="1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(381,663)</w:t>
            </w:r>
          </w:p>
        </w:tc>
        <w:tc>
          <w:tcPr>
            <w:tcW w:w="40" w:type="dxa"/>
            <w:vAlign w:val="bottom"/>
          </w:tcPr>
          <w:p>
            <w:pPr>
              <w:spacing w:after="0"/>
              <w:rPr>
                <w:sz w:val="9"/>
                <w:szCs w:val="9"/>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130,000</w:t>
            </w:r>
          </w:p>
        </w:tc>
        <w:tc>
          <w:tcPr>
            <w:tcW w:w="60" w:type="dxa"/>
            <w:vAlign w:val="bottom"/>
          </w:tcPr>
          <w:p>
            <w:pPr>
              <w:spacing w:after="0"/>
              <w:rPr>
                <w:sz w:val="9"/>
                <w:szCs w:val="9"/>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705,190</w:t>
            </w:r>
          </w:p>
        </w:tc>
        <w:tc>
          <w:tcPr>
            <w:tcW w:w="0" w:type="dxa"/>
            <w:vAlign w:val="bottom"/>
          </w:tcPr>
          <w:p>
            <w:pPr>
              <w:spacing w:after="0"/>
              <w:rPr>
                <w:sz w:val="1"/>
                <w:szCs w:val="1"/>
                <w:color w:val="auto"/>
              </w:rPr>
            </w:pPr>
          </w:p>
        </w:tc>
      </w:tr>
      <w:tr>
        <w:trPr>
          <w:trHeight w:val="157"/>
        </w:trPr>
        <w:tc>
          <w:tcPr>
            <w:tcW w:w="9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2024</w:t>
            </w:r>
          </w:p>
        </w:tc>
        <w:tc>
          <w:tcPr>
            <w:tcW w:w="6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vMerge w:val="continue"/>
          </w:tcPr>
          <w:p>
            <w:pPr>
              <w:spacing w:after="0"/>
              <w:rPr>
                <w:sz w:val="13"/>
                <w:szCs w:val="13"/>
                <w:color w:val="auto"/>
              </w:rPr>
            </w:pPr>
          </w:p>
        </w:tc>
        <w:tc>
          <w:tcPr>
            <w:tcW w:w="3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vMerge w:val="continue"/>
          </w:tcPr>
          <w:p>
            <w:pPr>
              <w:spacing w:after="0"/>
              <w:rPr>
                <w:sz w:val="13"/>
                <w:szCs w:val="13"/>
                <w:color w:val="auto"/>
              </w:rPr>
            </w:pPr>
          </w:p>
        </w:tc>
        <w:tc>
          <w:tcPr>
            <w:tcW w:w="620" w:type="dxa"/>
            <w:vAlign w:val="bottom"/>
            <w:tcBorders>
              <w:right w:val="single" w:sz="8" w:color="auto"/>
            </w:tcBorders>
            <w:vMerge w:val="continue"/>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ind w:left="480" w:right="340"/>
        <w:spacing w:after="0" w:line="282" w:lineRule="auto"/>
        <w:tabs>
          <w:tab w:leader="none" w:pos="603" w:val="left"/>
        </w:tabs>
        <w:numPr>
          <w:ilvl w:val="0"/>
          <w:numId w:val="5"/>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2"/>
          <w:szCs w:val="12"/>
          <w:color w:val="auto"/>
        </w:rPr>
        <w:t xml:space="preserve">During the first quarter of 2024, the Company issued shares of Class A common stock under the Company's ATM program. Please see Note 13. </w:t>
      </w:r>
      <w:r>
        <w:rPr>
          <w:rFonts w:ascii="Times New Roman" w:cs="Times New Roman" w:eastAsia="Times New Roman" w:hAnsi="Times New Roman"/>
          <w:sz w:val="12"/>
          <w:szCs w:val="12"/>
          <w:i w:val="1"/>
          <w:iCs w:val="1"/>
          <w:color w:val="auto"/>
        </w:rPr>
        <w:t>Redeemable non-controlling interests, Redeemable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 xml:space="preserve">preferred non-controlling interests and Stockholders' (Deficit) Equity </w:t>
      </w:r>
      <w:r>
        <w:rPr>
          <w:rFonts w:ascii="Times New Roman" w:cs="Times New Roman" w:eastAsia="Times New Roman" w:hAnsi="Times New Roman"/>
          <w:sz w:val="12"/>
          <w:szCs w:val="12"/>
          <w:color w:val="auto"/>
        </w:rPr>
        <w:t>for additional information.</w:t>
      </w:r>
    </w:p>
    <w:p>
      <w:pPr>
        <w:spacing w:after="0" w:line="85" w:lineRule="exact"/>
        <w:rPr>
          <w:rFonts w:ascii="Times New Roman" w:cs="Times New Roman" w:eastAsia="Times New Roman" w:hAnsi="Times New Roman"/>
          <w:sz w:val="15"/>
          <w:szCs w:val="15"/>
          <w:color w:val="auto"/>
          <w:vertAlign w:val="superscript"/>
        </w:rPr>
      </w:pPr>
    </w:p>
    <w:p>
      <w:pPr>
        <w:ind w:left="600" w:hanging="120"/>
        <w:spacing w:after="0"/>
        <w:tabs>
          <w:tab w:leader="none" w:pos="600" w:val="left"/>
        </w:tabs>
        <w:numPr>
          <w:ilvl w:val="0"/>
          <w:numId w:val="5"/>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2"/>
          <w:szCs w:val="12"/>
          <w:color w:val="auto"/>
        </w:rPr>
        <w:t xml:space="preserve">Represents the equity awards vested net of shares of Class A common stock withheld for taxes. Please see Note 16. </w:t>
      </w:r>
      <w:r>
        <w:rPr>
          <w:rFonts w:ascii="Times New Roman" w:cs="Times New Roman" w:eastAsia="Times New Roman" w:hAnsi="Times New Roman"/>
          <w:sz w:val="12"/>
          <w:szCs w:val="12"/>
          <w:i w:val="1"/>
          <w:iCs w:val="1"/>
          <w:color w:val="auto"/>
        </w:rPr>
        <w:t>Stock-based Compensation</w:t>
      </w:r>
      <w:r>
        <w:rPr>
          <w:rFonts w:ascii="Times New Roman" w:cs="Times New Roman" w:eastAsia="Times New Roman" w:hAnsi="Times New Roman"/>
          <w:sz w:val="12"/>
          <w:szCs w:val="12"/>
          <w:color w:val="auto"/>
        </w:rPr>
        <w:t xml:space="preserve"> for additional information.</w:t>
      </w:r>
    </w:p>
    <w:p>
      <w:pPr>
        <w:spacing w:after="0" w:line="26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161290</wp:posOffset>
            </wp:positionV>
            <wp:extent cx="7193280"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360"/>
          </w:cols>
          <w:pgMar w:left="300" w:top="727"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49"/>
        </w:trPr>
        <w:tc>
          <w:tcPr>
            <w:tcW w:w="1580" w:type="dxa"/>
            <w:vAlign w:val="bottom"/>
            <w:shd w:val="clear" w:color="auto" w:fill="CCEEFF"/>
          </w:tcPr>
          <w:p>
            <w:pPr>
              <w:spacing w:after="0"/>
              <w:rPr>
                <w:sz w:val="12"/>
                <w:szCs w:val="12"/>
                <w:color w:val="auto"/>
              </w:rPr>
            </w:pPr>
          </w:p>
        </w:tc>
        <w:tc>
          <w:tcPr>
            <w:tcW w:w="1300" w:type="dxa"/>
            <w:vAlign w:val="bottom"/>
            <w:gridSpan w:val="5"/>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Class A common</w:t>
            </w: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360" w:type="dxa"/>
            <w:vAlign w:val="bottom"/>
            <w:gridSpan w:val="5"/>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rPr>
              <w:t>Class A common stock</w:t>
            </w:r>
          </w:p>
        </w:tc>
        <w:tc>
          <w:tcPr>
            <w:tcW w:w="120" w:type="dxa"/>
            <w:vAlign w:val="bottom"/>
            <w:shd w:val="clear" w:color="auto" w:fill="CCEEFF"/>
          </w:tcPr>
          <w:p>
            <w:pPr>
              <w:spacing w:after="0"/>
              <w:rPr>
                <w:sz w:val="12"/>
                <w:szCs w:val="12"/>
                <w:color w:val="auto"/>
              </w:rPr>
            </w:pPr>
          </w:p>
        </w:tc>
        <w:tc>
          <w:tcPr>
            <w:tcW w:w="64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580" w:type="dxa"/>
            <w:vAlign w:val="bottom"/>
            <w:shd w:val="clear" w:color="auto" w:fill="CCEEFF"/>
          </w:tcPr>
          <w:p>
            <w:pPr>
              <w:spacing w:after="0"/>
              <w:rPr>
                <w:sz w:val="15"/>
                <w:szCs w:val="15"/>
                <w:color w:val="auto"/>
              </w:rPr>
            </w:pPr>
          </w:p>
        </w:tc>
        <w:tc>
          <w:tcPr>
            <w:tcW w:w="920" w:type="dxa"/>
            <w:vAlign w:val="bottom"/>
            <w:gridSpan w:val="3"/>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stock</w:t>
            </w:r>
          </w:p>
        </w:tc>
        <w:tc>
          <w:tcPr>
            <w:tcW w:w="3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60" w:type="dxa"/>
            <w:vAlign w:val="bottom"/>
            <w:gridSpan w:val="5"/>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Class D common stock</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360" w:type="dxa"/>
            <w:vAlign w:val="bottom"/>
            <w:gridSpan w:val="5"/>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rPr>
              <w:t>in treasury</w:t>
            </w:r>
          </w:p>
        </w:tc>
        <w:tc>
          <w:tcPr>
            <w:tcW w:w="120" w:type="dxa"/>
            <w:vAlign w:val="bottom"/>
            <w:shd w:val="clear" w:color="auto" w:fill="CCEEFF"/>
          </w:tcPr>
          <w:p>
            <w:pPr>
              <w:spacing w:after="0"/>
              <w:rPr>
                <w:sz w:val="15"/>
                <w:szCs w:val="15"/>
                <w:color w:val="auto"/>
              </w:rPr>
            </w:pPr>
          </w:p>
        </w:tc>
        <w:tc>
          <w:tcPr>
            <w:tcW w:w="64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60" w:type="dxa"/>
            <w:vAlign w:val="bottom"/>
            <w:gridSpan w:val="3"/>
            <w:shd w:val="clear" w:color="auto" w:fill="CCEEFF"/>
          </w:tcPr>
          <w:p>
            <w:pPr>
              <w:jc w:val="right"/>
              <w:ind w:right="173"/>
              <w:spacing w:after="0"/>
              <w:rPr>
                <w:sz w:val="20"/>
                <w:szCs w:val="20"/>
                <w:color w:val="auto"/>
              </w:rPr>
            </w:pPr>
            <w:r>
              <w:rPr>
                <w:rFonts w:ascii="Times New Roman" w:cs="Times New Roman" w:eastAsia="Times New Roman" w:hAnsi="Times New Roman"/>
                <w:sz w:val="13"/>
                <w:szCs w:val="13"/>
                <w:color w:val="auto"/>
              </w:rPr>
              <w:t>Mezzanine Equity</w:t>
            </w:r>
          </w:p>
        </w:tc>
        <w:tc>
          <w:tcPr>
            <w:tcW w:w="0" w:type="dxa"/>
            <w:vAlign w:val="bottom"/>
          </w:tcPr>
          <w:p>
            <w:pPr>
              <w:spacing w:after="0"/>
              <w:rPr>
                <w:sz w:val="1"/>
                <w:szCs w:val="1"/>
                <w:color w:val="auto"/>
              </w:rPr>
            </w:pPr>
          </w:p>
        </w:tc>
      </w:tr>
      <w:tr>
        <w:trPr>
          <w:trHeight w:val="127"/>
        </w:trPr>
        <w:tc>
          <w:tcPr>
            <w:tcW w:w="158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center"/>
              <w:ind w:right="33"/>
              <w:spacing w:after="0" w:line="128" w:lineRule="exact"/>
              <w:rPr>
                <w:sz w:val="20"/>
                <w:szCs w:val="20"/>
                <w:color w:val="auto"/>
              </w:rPr>
            </w:pPr>
            <w:r>
              <w:rPr>
                <w:rFonts w:ascii="Times New Roman" w:cs="Times New Roman" w:eastAsia="Times New Roman" w:hAnsi="Times New Roman"/>
                <w:sz w:val="13"/>
                <w:szCs w:val="13"/>
                <w:color w:val="auto"/>
                <w:w w:val="97"/>
              </w:rPr>
              <w:t>Non-</w:t>
            </w:r>
          </w:p>
        </w:tc>
        <w:tc>
          <w:tcPr>
            <w:tcW w:w="6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40" w:type="dxa"/>
            <w:vAlign w:val="bottom"/>
            <w:tcBorders>
              <w:top w:val="single" w:sz="8" w:color="auto"/>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Borders>
              <w:top w:val="single" w:sz="8" w:color="auto"/>
            </w:tcBorders>
            <w:gridSpan w:val="3"/>
          </w:tcPr>
          <w:p>
            <w:pPr>
              <w:jc w:val="center"/>
              <w:ind w:right="80"/>
              <w:spacing w:after="0" w:line="128" w:lineRule="exact"/>
              <w:rPr>
                <w:sz w:val="20"/>
                <w:szCs w:val="20"/>
                <w:color w:val="auto"/>
              </w:rPr>
            </w:pPr>
            <w:r>
              <w:rPr>
                <w:rFonts w:ascii="Times New Roman" w:cs="Times New Roman" w:eastAsia="Times New Roman" w:hAnsi="Times New Roman"/>
                <w:sz w:val="13"/>
                <w:szCs w:val="13"/>
                <w:color w:val="auto"/>
              </w:rPr>
              <w:t>Redeemable</w:t>
            </w:r>
          </w:p>
        </w:tc>
        <w:tc>
          <w:tcPr>
            <w:tcW w:w="7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3"/>
          </w:tcPr>
          <w:p>
            <w:pPr>
              <w:jc w:val="center"/>
              <w:ind w:right="60"/>
              <w:spacing w:after="0" w:line="133" w:lineRule="exact"/>
              <w:rPr>
                <w:sz w:val="20"/>
                <w:szCs w:val="20"/>
                <w:color w:val="auto"/>
              </w:rPr>
            </w:pPr>
            <w:r>
              <w:rPr>
                <w:rFonts w:ascii="Times New Roman" w:cs="Times New Roman" w:eastAsia="Times New Roman" w:hAnsi="Times New Roman"/>
                <w:sz w:val="13"/>
                <w:szCs w:val="13"/>
                <w:color w:val="auto"/>
              </w:rPr>
              <w:t>redeemable</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center"/>
              <w:ind w:right="160"/>
              <w:spacing w:after="0" w:line="133" w:lineRule="exact"/>
              <w:rPr>
                <w:sz w:val="20"/>
                <w:szCs w:val="20"/>
                <w:color w:val="auto"/>
              </w:rPr>
            </w:pPr>
            <w:r>
              <w:rPr>
                <w:rFonts w:ascii="Times New Roman" w:cs="Times New Roman" w:eastAsia="Times New Roman" w:hAnsi="Times New Roman"/>
                <w:sz w:val="13"/>
                <w:szCs w:val="13"/>
                <w:color w:val="auto"/>
              </w:rPr>
              <w:t>Preferred</w:t>
            </w:r>
          </w:p>
        </w:tc>
        <w:tc>
          <w:tcPr>
            <w:tcW w:w="700" w:type="dxa"/>
            <w:vAlign w:val="bottom"/>
          </w:tcPr>
          <w:p>
            <w:pPr>
              <w:jc w:val="center"/>
              <w:spacing w:after="0" w:line="133" w:lineRule="exact"/>
              <w:rPr>
                <w:sz w:val="20"/>
                <w:szCs w:val="20"/>
                <w:color w:val="auto"/>
              </w:rPr>
            </w:pPr>
            <w:r>
              <w:rPr>
                <w:rFonts w:ascii="Times New Roman" w:cs="Times New Roman" w:eastAsia="Times New Roman" w:hAnsi="Times New Roman"/>
                <w:sz w:val="13"/>
                <w:szCs w:val="13"/>
                <w:color w:val="auto"/>
              </w:rPr>
              <w:t>Redeemable</w:t>
            </w:r>
          </w:p>
        </w:tc>
        <w:tc>
          <w:tcPr>
            <w:tcW w:w="0" w:type="dxa"/>
            <w:vAlign w:val="bottom"/>
          </w:tcPr>
          <w:p>
            <w:pPr>
              <w:spacing w:after="0"/>
              <w:rPr>
                <w:sz w:val="1"/>
                <w:szCs w:val="1"/>
                <w:color w:val="auto"/>
              </w:rPr>
            </w:pPr>
          </w:p>
        </w:tc>
      </w:tr>
      <w:tr>
        <w:trPr>
          <w:trHeight w:val="140"/>
        </w:trPr>
        <w:tc>
          <w:tcPr>
            <w:tcW w:w="15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3"/>
          </w:tcPr>
          <w:p>
            <w:pPr>
              <w:ind w:left="20"/>
              <w:spacing w:after="0" w:line="140" w:lineRule="exact"/>
              <w:rPr>
                <w:sz w:val="20"/>
                <w:szCs w:val="20"/>
                <w:color w:val="auto"/>
              </w:rPr>
            </w:pPr>
            <w:r>
              <w:rPr>
                <w:rFonts w:ascii="Times New Roman" w:cs="Times New Roman" w:eastAsia="Times New Roman" w:hAnsi="Times New Roman"/>
                <w:sz w:val="13"/>
                <w:szCs w:val="13"/>
                <w:color w:val="auto"/>
              </w:rPr>
              <w:t>Additional</w:t>
            </w:r>
          </w:p>
        </w:tc>
        <w:tc>
          <w:tcPr>
            <w:tcW w:w="80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color w:val="auto"/>
              </w:rPr>
              <w:t>Accumulated</w:t>
            </w:r>
          </w:p>
        </w:tc>
        <w:tc>
          <w:tcPr>
            <w:tcW w:w="160" w:type="dxa"/>
            <w:vAlign w:val="bottom"/>
          </w:tcPr>
          <w:p>
            <w:pPr>
              <w:spacing w:after="0"/>
              <w:rPr>
                <w:sz w:val="12"/>
                <w:szCs w:val="12"/>
                <w:color w:val="auto"/>
              </w:rPr>
            </w:pPr>
          </w:p>
        </w:tc>
        <w:tc>
          <w:tcPr>
            <w:tcW w:w="740" w:type="dxa"/>
            <w:vAlign w:val="bottom"/>
            <w:gridSpan w:val="2"/>
          </w:tcPr>
          <w:p>
            <w:pPr>
              <w:jc w:val="center"/>
              <w:ind w:right="220"/>
              <w:spacing w:after="0" w:line="140" w:lineRule="exact"/>
              <w:rPr>
                <w:sz w:val="20"/>
                <w:szCs w:val="20"/>
                <w:color w:val="auto"/>
              </w:rPr>
            </w:pPr>
            <w:r>
              <w:rPr>
                <w:rFonts w:ascii="Times New Roman" w:cs="Times New Roman" w:eastAsia="Times New Roman" w:hAnsi="Times New Roman"/>
                <w:sz w:val="13"/>
                <w:szCs w:val="13"/>
                <w:color w:val="auto"/>
              </w:rPr>
              <w:t>Other</w:t>
            </w:r>
          </w:p>
        </w:tc>
        <w:tc>
          <w:tcPr>
            <w:tcW w:w="100" w:type="dxa"/>
            <w:vAlign w:val="bottom"/>
          </w:tcPr>
          <w:p>
            <w:pPr>
              <w:spacing w:after="0"/>
              <w:rPr>
                <w:sz w:val="12"/>
                <w:szCs w:val="12"/>
                <w:color w:val="auto"/>
              </w:rPr>
            </w:pPr>
          </w:p>
        </w:tc>
        <w:tc>
          <w:tcPr>
            <w:tcW w:w="620" w:type="dxa"/>
            <w:vAlign w:val="bottom"/>
            <w:gridSpan w:val="2"/>
          </w:tcPr>
          <w:p>
            <w:pPr>
              <w:jc w:val="center"/>
              <w:ind w:right="160"/>
              <w:spacing w:after="0" w:line="140" w:lineRule="exact"/>
              <w:rPr>
                <w:sz w:val="20"/>
                <w:szCs w:val="20"/>
                <w:color w:val="auto"/>
              </w:rPr>
            </w:pPr>
            <w:r>
              <w:rPr>
                <w:rFonts w:ascii="Times New Roman" w:cs="Times New Roman" w:eastAsia="Times New Roman" w:hAnsi="Times New Roman"/>
                <w:sz w:val="13"/>
                <w:szCs w:val="13"/>
                <w:color w:val="auto"/>
              </w:rPr>
              <w:t>non-</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Borders>
              <w:right w:val="single" w:sz="8" w:color="auto"/>
            </w:tcBorders>
          </w:tcPr>
          <w:p>
            <w:pPr>
              <w:jc w:val="right"/>
              <w:ind w:right="193"/>
              <w:spacing w:after="0" w:line="140" w:lineRule="exact"/>
              <w:rPr>
                <w:sz w:val="20"/>
                <w:szCs w:val="20"/>
                <w:color w:val="auto"/>
              </w:rPr>
            </w:pPr>
            <w:r>
              <w:rPr>
                <w:rFonts w:ascii="Times New Roman" w:cs="Times New Roman" w:eastAsia="Times New Roman" w:hAnsi="Times New Roman"/>
                <w:sz w:val="13"/>
                <w:szCs w:val="13"/>
                <w:color w:val="auto"/>
              </w:rPr>
              <w:t>Total</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center"/>
              <w:ind w:right="160"/>
              <w:spacing w:after="0" w:line="140" w:lineRule="exact"/>
              <w:rPr>
                <w:sz w:val="20"/>
                <w:szCs w:val="20"/>
                <w:color w:val="auto"/>
              </w:rPr>
            </w:pPr>
            <w:r>
              <w:rPr>
                <w:rFonts w:ascii="Times New Roman" w:cs="Times New Roman" w:eastAsia="Times New Roman" w:hAnsi="Times New Roman"/>
                <w:sz w:val="13"/>
                <w:szCs w:val="13"/>
                <w:color w:val="auto"/>
              </w:rPr>
              <w:t>non-</w:t>
            </w:r>
          </w:p>
        </w:tc>
        <w:tc>
          <w:tcPr>
            <w:tcW w:w="70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auto"/>
              </w:rPr>
              <w:t>non-</w:t>
            </w:r>
          </w:p>
        </w:tc>
        <w:tc>
          <w:tcPr>
            <w:tcW w:w="0" w:type="dxa"/>
            <w:vAlign w:val="bottom"/>
          </w:tcPr>
          <w:p>
            <w:pPr>
              <w:spacing w:after="0"/>
              <w:rPr>
                <w:sz w:val="1"/>
                <w:szCs w:val="1"/>
                <w:color w:val="auto"/>
              </w:rPr>
            </w:pPr>
          </w:p>
        </w:tc>
      </w:tr>
      <w:tr>
        <w:trPr>
          <w:trHeight w:val="130"/>
        </w:trPr>
        <w:tc>
          <w:tcPr>
            <w:tcW w:w="1580" w:type="dxa"/>
            <w:vAlign w:val="bottom"/>
          </w:tcPr>
          <w:p>
            <w:pPr>
              <w:spacing w:after="0"/>
              <w:rPr>
                <w:sz w:val="11"/>
                <w:szCs w:val="11"/>
                <w:color w:val="auto"/>
              </w:rPr>
            </w:pPr>
          </w:p>
        </w:tc>
        <w:tc>
          <w:tcPr>
            <w:tcW w:w="7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3"/>
                <w:szCs w:val="13"/>
                <w:color w:val="auto"/>
              </w:rPr>
              <w:t>Shares</w:t>
            </w:r>
          </w:p>
        </w:tc>
        <w:tc>
          <w:tcPr>
            <w:tcW w:w="58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color w:val="auto"/>
              </w:rPr>
              <w:t>Amount</w:t>
            </w:r>
          </w:p>
        </w:tc>
        <w:tc>
          <w:tcPr>
            <w:tcW w:w="8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3"/>
                <w:szCs w:val="13"/>
                <w:color w:val="auto"/>
              </w:rPr>
              <w:t>Shares</w:t>
            </w:r>
          </w:p>
        </w:tc>
        <w:tc>
          <w:tcPr>
            <w:tcW w:w="58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Amount</w:t>
            </w:r>
          </w:p>
        </w:tc>
        <w:tc>
          <w:tcPr>
            <w:tcW w:w="100" w:type="dxa"/>
            <w:vAlign w:val="bottom"/>
          </w:tcPr>
          <w:p>
            <w:pPr>
              <w:spacing w:after="0"/>
              <w:rPr>
                <w:sz w:val="11"/>
                <w:szCs w:val="11"/>
                <w:color w:val="auto"/>
              </w:rPr>
            </w:pPr>
          </w:p>
        </w:tc>
        <w:tc>
          <w:tcPr>
            <w:tcW w:w="600" w:type="dxa"/>
            <w:vAlign w:val="bottom"/>
            <w:gridSpan w:val="2"/>
          </w:tcPr>
          <w:p>
            <w:pPr>
              <w:ind w:left="20"/>
              <w:spacing w:after="0" w:line="130" w:lineRule="exact"/>
              <w:rPr>
                <w:sz w:val="20"/>
                <w:szCs w:val="20"/>
                <w:color w:val="auto"/>
              </w:rPr>
            </w:pPr>
            <w:r>
              <w:rPr>
                <w:rFonts w:ascii="Times New Roman" w:cs="Times New Roman" w:eastAsia="Times New Roman" w:hAnsi="Times New Roman"/>
                <w:sz w:val="13"/>
                <w:szCs w:val="13"/>
                <w:color w:val="auto"/>
              </w:rPr>
              <w:t>paid-in</w:t>
            </w:r>
          </w:p>
        </w:tc>
        <w:tc>
          <w:tcPr>
            <w:tcW w:w="800" w:type="dxa"/>
            <w:vAlign w:val="bottom"/>
            <w:gridSpan w:val="3"/>
            <w:vMerge w:val="continue"/>
          </w:tcPr>
          <w:p>
            <w:pPr>
              <w:spacing w:after="0"/>
              <w:rPr>
                <w:sz w:val="11"/>
                <w:szCs w:val="11"/>
                <w:color w:val="auto"/>
              </w:rPr>
            </w:pPr>
          </w:p>
        </w:tc>
        <w:tc>
          <w:tcPr>
            <w:tcW w:w="900" w:type="dxa"/>
            <w:vAlign w:val="bottom"/>
            <w:gridSpan w:val="3"/>
          </w:tcPr>
          <w:p>
            <w:pPr>
              <w:ind w:left="20"/>
              <w:spacing w:after="0" w:line="130" w:lineRule="exact"/>
              <w:rPr>
                <w:sz w:val="20"/>
                <w:szCs w:val="20"/>
                <w:color w:val="auto"/>
              </w:rPr>
            </w:pPr>
            <w:r>
              <w:rPr>
                <w:rFonts w:ascii="Times New Roman" w:cs="Times New Roman" w:eastAsia="Times New Roman" w:hAnsi="Times New Roman"/>
                <w:sz w:val="13"/>
                <w:szCs w:val="13"/>
                <w:color w:val="auto"/>
              </w:rPr>
              <w:t>comprehensive</w:t>
            </w:r>
          </w:p>
        </w:tc>
        <w:tc>
          <w:tcPr>
            <w:tcW w:w="720" w:type="dxa"/>
            <w:vAlign w:val="bottom"/>
            <w:gridSpan w:val="3"/>
          </w:tcPr>
          <w:p>
            <w:pPr>
              <w:jc w:val="center"/>
              <w:ind w:right="60"/>
              <w:spacing w:after="0" w:line="130" w:lineRule="exact"/>
              <w:rPr>
                <w:sz w:val="20"/>
                <w:szCs w:val="20"/>
                <w:color w:val="auto"/>
              </w:rPr>
            </w:pPr>
            <w:r>
              <w:rPr>
                <w:rFonts w:ascii="Times New Roman" w:cs="Times New Roman" w:eastAsia="Times New Roman" w:hAnsi="Times New Roman"/>
                <w:sz w:val="13"/>
                <w:szCs w:val="13"/>
                <w:color w:val="auto"/>
              </w:rPr>
              <w:t>controlling</w:t>
            </w:r>
          </w:p>
        </w:tc>
        <w:tc>
          <w:tcPr>
            <w:tcW w:w="7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3"/>
                <w:szCs w:val="13"/>
                <w:color w:val="auto"/>
              </w:rPr>
              <w:t>Shares</w:t>
            </w:r>
          </w:p>
        </w:tc>
        <w:tc>
          <w:tcPr>
            <w:tcW w:w="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auto"/>
              </w:rPr>
              <w:t>Amount</w:t>
            </w:r>
          </w:p>
        </w:tc>
        <w:tc>
          <w:tcPr>
            <w:tcW w:w="760" w:type="dxa"/>
            <w:vAlign w:val="bottom"/>
            <w:tcBorders>
              <w:right w:val="single" w:sz="8" w:color="auto"/>
            </w:tcBorders>
            <w:gridSpan w:val="2"/>
          </w:tcPr>
          <w:p>
            <w:pPr>
              <w:spacing w:after="0" w:line="130" w:lineRule="exact"/>
              <w:rPr>
                <w:sz w:val="20"/>
                <w:szCs w:val="20"/>
                <w:color w:val="auto"/>
              </w:rPr>
            </w:pPr>
            <w:r>
              <w:rPr>
                <w:rFonts w:ascii="Times New Roman" w:cs="Times New Roman" w:eastAsia="Times New Roman" w:hAnsi="Times New Roman"/>
                <w:sz w:val="13"/>
                <w:szCs w:val="13"/>
                <w:color w:val="auto"/>
              </w:rPr>
              <w:t>Stockholders'</w:t>
            </w:r>
          </w:p>
        </w:tc>
        <w:tc>
          <w:tcPr>
            <w:tcW w:w="40" w:type="dxa"/>
            <w:vAlign w:val="bottom"/>
          </w:tcPr>
          <w:p>
            <w:pPr>
              <w:spacing w:after="0"/>
              <w:rPr>
                <w:sz w:val="11"/>
                <w:szCs w:val="11"/>
                <w:color w:val="auto"/>
              </w:rPr>
            </w:pPr>
          </w:p>
        </w:tc>
        <w:tc>
          <w:tcPr>
            <w:tcW w:w="740" w:type="dxa"/>
            <w:vAlign w:val="bottom"/>
            <w:gridSpan w:val="3"/>
          </w:tcPr>
          <w:p>
            <w:pPr>
              <w:jc w:val="center"/>
              <w:ind w:right="80"/>
              <w:spacing w:after="0" w:line="130" w:lineRule="exact"/>
              <w:rPr>
                <w:sz w:val="20"/>
                <w:szCs w:val="20"/>
                <w:color w:val="auto"/>
              </w:rPr>
            </w:pPr>
            <w:r>
              <w:rPr>
                <w:rFonts w:ascii="Times New Roman" w:cs="Times New Roman" w:eastAsia="Times New Roman" w:hAnsi="Times New Roman"/>
                <w:sz w:val="13"/>
                <w:szCs w:val="13"/>
                <w:color w:val="auto"/>
              </w:rPr>
              <w:t>controlling</w:t>
            </w:r>
          </w:p>
        </w:tc>
        <w:tc>
          <w:tcPr>
            <w:tcW w:w="700" w:type="dxa"/>
            <w:vAlign w:val="bottom"/>
          </w:tcPr>
          <w:p>
            <w:pPr>
              <w:jc w:val="center"/>
              <w:spacing w:after="0" w:line="130" w:lineRule="exact"/>
              <w:rPr>
                <w:sz w:val="20"/>
                <w:szCs w:val="20"/>
                <w:color w:val="auto"/>
              </w:rPr>
            </w:pPr>
            <w:r>
              <w:rPr>
                <w:rFonts w:ascii="Times New Roman" w:cs="Times New Roman" w:eastAsia="Times New Roman" w:hAnsi="Times New Roman"/>
                <w:sz w:val="13"/>
                <w:szCs w:val="13"/>
                <w:color w:val="auto"/>
              </w:rPr>
              <w:t>controlling</w:t>
            </w:r>
          </w:p>
        </w:tc>
        <w:tc>
          <w:tcPr>
            <w:tcW w:w="0" w:type="dxa"/>
            <w:vAlign w:val="bottom"/>
          </w:tcPr>
          <w:p>
            <w:pPr>
              <w:spacing w:after="0"/>
              <w:rPr>
                <w:sz w:val="1"/>
                <w:szCs w:val="1"/>
                <w:color w:val="auto"/>
              </w:rPr>
            </w:pPr>
          </w:p>
        </w:tc>
      </w:tr>
      <w:tr>
        <w:trPr>
          <w:trHeight w:val="170"/>
        </w:trPr>
        <w:tc>
          <w:tcPr>
            <w:tcW w:w="15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80" w:type="dxa"/>
            <w:vAlign w:val="bottom"/>
            <w:gridSpan w:val="3"/>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5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capital</w:t>
            </w:r>
          </w:p>
        </w:tc>
        <w:tc>
          <w:tcPr>
            <w:tcW w:w="14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deficit</w:t>
            </w:r>
          </w:p>
        </w:tc>
        <w:tc>
          <w:tcPr>
            <w:tcW w:w="160" w:type="dxa"/>
            <w:vAlign w:val="bottom"/>
          </w:tcPr>
          <w:p>
            <w:pPr>
              <w:spacing w:after="0"/>
              <w:rPr>
                <w:sz w:val="14"/>
                <w:szCs w:val="14"/>
                <w:color w:val="auto"/>
              </w:rPr>
            </w:pPr>
          </w:p>
        </w:tc>
        <w:tc>
          <w:tcPr>
            <w:tcW w:w="7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color w:val="auto"/>
              </w:rPr>
              <w:t>income</w:t>
            </w:r>
          </w:p>
        </w:tc>
        <w:tc>
          <w:tcPr>
            <w:tcW w:w="100" w:type="dxa"/>
            <w:vAlign w:val="bottom"/>
          </w:tcPr>
          <w:p>
            <w:pPr>
              <w:spacing w:after="0"/>
              <w:rPr>
                <w:sz w:val="14"/>
                <w:szCs w:val="14"/>
                <w:color w:val="auto"/>
              </w:rPr>
            </w:pPr>
          </w:p>
        </w:tc>
        <w:tc>
          <w:tcPr>
            <w:tcW w:w="6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color w:val="auto"/>
              </w:rPr>
              <w:t>interests</w:t>
            </w:r>
          </w:p>
        </w:tc>
        <w:tc>
          <w:tcPr>
            <w:tcW w:w="720" w:type="dxa"/>
            <w:vAlign w:val="bottom"/>
            <w:gridSpan w:val="2"/>
            <w:vMerge w:val="continue"/>
          </w:tcPr>
          <w:p>
            <w:pPr>
              <w:spacing w:after="0"/>
              <w:rPr>
                <w:sz w:val="14"/>
                <w:szCs w:val="14"/>
                <w:color w:val="auto"/>
              </w:rPr>
            </w:pPr>
          </w:p>
        </w:tc>
        <w:tc>
          <w:tcPr>
            <w:tcW w:w="64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Borders>
              <w:right w:val="single" w:sz="8" w:color="auto"/>
            </w:tcBorders>
          </w:tcPr>
          <w:p>
            <w:pPr>
              <w:jc w:val="right"/>
              <w:ind w:right="153"/>
              <w:spacing w:after="0"/>
              <w:rPr>
                <w:sz w:val="20"/>
                <w:szCs w:val="20"/>
                <w:color w:val="auto"/>
              </w:rPr>
            </w:pPr>
            <w:r>
              <w:rPr>
                <w:rFonts w:ascii="Times New Roman" w:cs="Times New Roman" w:eastAsia="Times New Roman" w:hAnsi="Times New Roman"/>
                <w:sz w:val="13"/>
                <w:szCs w:val="13"/>
                <w:color w:val="auto"/>
              </w:rPr>
              <w:t>Deficit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color w:val="auto"/>
              </w:rPr>
              <w:t>interests</w:t>
            </w: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interests</w:t>
            </w:r>
          </w:p>
        </w:tc>
        <w:tc>
          <w:tcPr>
            <w:tcW w:w="0" w:type="dxa"/>
            <w:vAlign w:val="bottom"/>
          </w:tcPr>
          <w:p>
            <w:pPr>
              <w:spacing w:after="0"/>
              <w:rPr>
                <w:sz w:val="1"/>
                <w:szCs w:val="1"/>
                <w:color w:val="auto"/>
              </w:rPr>
            </w:pPr>
          </w:p>
        </w:tc>
      </w:tr>
      <w:tr>
        <w:trPr>
          <w:trHeight w:val="160"/>
        </w:trPr>
        <w:tc>
          <w:tcPr>
            <w:tcW w:w="1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29,477,766</w:t>
            </w:r>
          </w:p>
        </w:tc>
        <w:tc>
          <w:tcPr>
            <w:tcW w:w="6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6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144,399,037</w:t>
            </w:r>
          </w:p>
        </w:tc>
        <w:tc>
          <w:tcPr>
            <w:tcW w:w="6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(800,813)</w:t>
            </w:r>
          </w:p>
        </w:tc>
        <w:tc>
          <w:tcPr>
            <w:tcW w:w="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w:t>
            </w: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26,445</w:t>
            </w:r>
          </w:p>
        </w:tc>
        <w:tc>
          <w:tcPr>
            <w:tcW w:w="6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top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(774,156)</w:t>
            </w:r>
          </w:p>
        </w:tc>
        <w:tc>
          <w:tcPr>
            <w:tcW w:w="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138,142</w:t>
            </w:r>
          </w:p>
        </w:tc>
        <w:tc>
          <w:tcPr>
            <w:tcW w:w="6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$ 1,013,833</w:t>
            </w:r>
          </w:p>
        </w:tc>
        <w:tc>
          <w:tcPr>
            <w:tcW w:w="0" w:type="dxa"/>
            <w:vAlign w:val="bottom"/>
          </w:tcPr>
          <w:p>
            <w:pPr>
              <w:spacing w:after="0"/>
              <w:rPr>
                <w:sz w:val="1"/>
                <w:szCs w:val="1"/>
                <w:color w:val="auto"/>
              </w:rPr>
            </w:pPr>
          </w:p>
        </w:tc>
      </w:tr>
      <w:tr>
        <w:trPr>
          <w:trHeight w:val="170"/>
        </w:trPr>
        <w:tc>
          <w:tcPr>
            <w:tcW w:w="1580" w:type="dxa"/>
            <w:vAlign w:val="bottom"/>
          </w:tcPr>
          <w:p>
            <w:pPr>
              <w:spacing w:after="0"/>
              <w:rPr>
                <w:sz w:val="20"/>
                <w:szCs w:val="20"/>
                <w:color w:val="auto"/>
              </w:rPr>
            </w:pPr>
            <w:r>
              <w:rPr>
                <w:rFonts w:ascii="Times New Roman" w:cs="Times New Roman" w:eastAsia="Times New Roman" w:hAnsi="Times New Roman"/>
                <w:sz w:val="13"/>
                <w:szCs w:val="13"/>
                <w:color w:val="auto"/>
              </w:rPr>
              <w:t>Net loss</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(1,134)</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(297)</w:t>
            </w:r>
          </w:p>
        </w:tc>
        <w:tc>
          <w:tcPr>
            <w:tcW w:w="6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560" w:type="dxa"/>
            <w:vAlign w:val="bottom"/>
            <w:gridSpan w:val="2"/>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(1,431)</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(5,915)</w:t>
            </w:r>
          </w:p>
        </w:tc>
        <w:tc>
          <w:tcPr>
            <w:tcW w:w="0" w:type="dxa"/>
            <w:vAlign w:val="bottom"/>
          </w:tcPr>
          <w:p>
            <w:pPr>
              <w:spacing w:after="0"/>
              <w:rPr>
                <w:sz w:val="1"/>
                <w:szCs w:val="1"/>
                <w:color w:val="auto"/>
              </w:rPr>
            </w:pPr>
          </w:p>
        </w:tc>
      </w:tr>
      <w:tr>
        <w:trPr>
          <w:trHeight w:val="170"/>
        </w:trPr>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comprehensive loss</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6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(299)</w:t>
            </w:r>
          </w:p>
        </w:tc>
        <w:tc>
          <w:tcPr>
            <w:tcW w:w="0" w:type="dxa"/>
            <w:vAlign w:val="bottom"/>
          </w:tcPr>
          <w:p>
            <w:pPr>
              <w:spacing w:after="0"/>
              <w:rPr>
                <w:sz w:val="1"/>
                <w:szCs w:val="1"/>
                <w:color w:val="auto"/>
              </w:rPr>
            </w:pPr>
          </w:p>
        </w:tc>
      </w:tr>
      <w:tr>
        <w:trPr>
          <w:trHeight w:val="137"/>
        </w:trPr>
        <w:tc>
          <w:tcPr>
            <w:tcW w:w="158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Proceeds from non-</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58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redeemable non-controlling</w:t>
            </w: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3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3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1,722</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vMerge w:val="restart"/>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1,821</w:t>
            </w:r>
          </w:p>
        </w:tc>
        <w:tc>
          <w:tcPr>
            <w:tcW w:w="60" w:type="dxa"/>
            <w:vAlign w:val="bottom"/>
          </w:tcPr>
          <w:p>
            <w:pPr>
              <w:spacing w:after="0"/>
              <w:rPr>
                <w:sz w:val="11"/>
                <w:szCs w:val="11"/>
                <w:color w:val="auto"/>
              </w:rPr>
            </w:pP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40" w:type="dxa"/>
            <w:vAlign w:val="bottom"/>
            <w:tcBorders>
              <w:right w:val="single" w:sz="8" w:color="auto"/>
            </w:tcBorders>
            <w:vMerge w:val="restart"/>
          </w:tcPr>
          <w:p>
            <w:pPr>
              <w:jc w:val="right"/>
              <w:ind w:right="13"/>
              <w:spacing w:after="0"/>
              <w:rPr>
                <w:sz w:val="20"/>
                <w:szCs w:val="20"/>
                <w:color w:val="auto"/>
              </w:rPr>
            </w:pPr>
            <w:r>
              <w:rPr>
                <w:rFonts w:ascii="Times New Roman" w:cs="Times New Roman" w:eastAsia="Times New Roman" w:hAnsi="Times New Roman"/>
                <w:sz w:val="13"/>
                <w:szCs w:val="13"/>
                <w:color w:val="auto"/>
              </w:rPr>
              <w:t>3,543</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1580" w:type="dxa"/>
            <w:vAlign w:val="bottom"/>
          </w:tcPr>
          <w:p>
            <w:pPr>
              <w:spacing w:after="0"/>
              <w:rPr>
                <w:sz w:val="20"/>
                <w:szCs w:val="20"/>
                <w:color w:val="auto"/>
              </w:rPr>
            </w:pPr>
            <w:r>
              <w:rPr>
                <w:rFonts w:ascii="Times New Roman" w:cs="Times New Roman" w:eastAsia="Times New Roman" w:hAnsi="Times New Roman"/>
                <w:sz w:val="13"/>
                <w:szCs w:val="13"/>
                <w:color w:val="auto"/>
              </w:rPr>
              <w:t>interest</w:t>
            </w:r>
          </w:p>
        </w:tc>
        <w:tc>
          <w:tcPr>
            <w:tcW w:w="7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Borders>
              <w:right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158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Issuance of Class A</w:t>
            </w: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5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common stock on warrant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49,633</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3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338</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6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40" w:type="dxa"/>
            <w:vAlign w:val="bottom"/>
            <w:tcBorders>
              <w:right w:val="single" w:sz="8" w:color="auto"/>
            </w:tcBorders>
            <w:vMerge w:val="restart"/>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338</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exchange</w:t>
            </w:r>
          </w:p>
        </w:tc>
        <w:tc>
          <w:tcPr>
            <w:tcW w:w="66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80" w:type="dxa"/>
            <w:vAlign w:val="bottom"/>
            <w:gridSpan w:val="2"/>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tcBorders>
              <w:right w:val="single" w:sz="8" w:color="auto"/>
            </w:tcBorders>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158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Cancellation of fractional</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1580" w:type="dxa"/>
            <w:vAlign w:val="bottom"/>
          </w:tcPr>
          <w:p>
            <w:pPr>
              <w:spacing w:after="0"/>
              <w:rPr>
                <w:sz w:val="20"/>
                <w:szCs w:val="20"/>
                <w:color w:val="auto"/>
              </w:rPr>
            </w:pPr>
            <w:r>
              <w:rPr>
                <w:rFonts w:ascii="Times New Roman" w:cs="Times New Roman" w:eastAsia="Times New Roman" w:hAnsi="Times New Roman"/>
                <w:sz w:val="13"/>
                <w:szCs w:val="13"/>
                <w:color w:val="auto"/>
              </w:rPr>
              <w:t>shares on warrant exchange</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660" w:type="dxa"/>
            <w:vAlign w:val="bottom"/>
            <w:gridSpan w:val="2"/>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560" w:type="dxa"/>
            <w:vAlign w:val="bottom"/>
            <w:gridSpan w:val="2"/>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40" w:type="dxa"/>
            <w:vAlign w:val="bottom"/>
            <w:tcBorders>
              <w:right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7"/>
        </w:trPr>
        <w:tc>
          <w:tcPr>
            <w:tcW w:w="158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Exercise of put option</w:t>
            </w: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5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forward purchase contract -</w:t>
            </w:r>
          </w:p>
        </w:tc>
        <w:tc>
          <w:tcPr>
            <w:tcW w:w="7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3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3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66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(1,635,783)</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(11,614)</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(11,614)</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Meteora</w:t>
            </w:r>
          </w:p>
        </w:tc>
        <w:tc>
          <w:tcPr>
            <w:tcW w:w="72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80" w:type="dxa"/>
            <w:vAlign w:val="bottom"/>
            <w:gridSpan w:val="2"/>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tcBorders>
              <w:right w:val="single" w:sz="8" w:color="auto"/>
            </w:tcBorders>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158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Forfeiture of Class A</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1580" w:type="dxa"/>
            <w:vAlign w:val="bottom"/>
          </w:tcPr>
          <w:p>
            <w:pPr>
              <w:spacing w:after="0"/>
              <w:rPr>
                <w:sz w:val="20"/>
                <w:szCs w:val="20"/>
                <w:color w:val="auto"/>
              </w:rPr>
            </w:pPr>
            <w:r>
              <w:rPr>
                <w:rFonts w:ascii="Times New Roman" w:cs="Times New Roman" w:eastAsia="Times New Roman" w:hAnsi="Times New Roman"/>
                <w:sz w:val="13"/>
                <w:szCs w:val="13"/>
                <w:color w:val="auto"/>
              </w:rPr>
              <w:t>common stock</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(197,258)</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660" w:type="dxa"/>
            <w:vAlign w:val="bottom"/>
            <w:gridSpan w:val="2"/>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560" w:type="dxa"/>
            <w:vAlign w:val="bottom"/>
            <w:gridSpan w:val="2"/>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40" w:type="dxa"/>
            <w:vAlign w:val="bottom"/>
            <w:tcBorders>
              <w:right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Stock-based compensation</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640" w:type="dxa"/>
            <w:vAlign w:val="bottom"/>
            <w:tcBorders>
              <w:right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157</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814</w:t>
            </w:r>
          </w:p>
        </w:tc>
        <w:tc>
          <w:tcPr>
            <w:tcW w:w="0" w:type="dxa"/>
            <w:vAlign w:val="bottom"/>
          </w:tcPr>
          <w:p>
            <w:pPr>
              <w:spacing w:after="0"/>
              <w:rPr>
                <w:sz w:val="1"/>
                <w:szCs w:val="1"/>
                <w:color w:val="auto"/>
              </w:rPr>
            </w:pPr>
          </w:p>
        </w:tc>
      </w:tr>
      <w:tr>
        <w:trPr>
          <w:trHeight w:val="137"/>
        </w:trPr>
        <w:tc>
          <w:tcPr>
            <w:tcW w:w="158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Change in redemption</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58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value of Redeemable non-</w:t>
            </w: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3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3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(2,217)</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(5,503)</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(7,720)</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7,720</w:t>
            </w:r>
          </w:p>
        </w:tc>
        <w:tc>
          <w:tcPr>
            <w:tcW w:w="0" w:type="dxa"/>
            <w:vAlign w:val="bottom"/>
          </w:tcPr>
          <w:p>
            <w:pPr>
              <w:spacing w:after="0"/>
              <w:rPr>
                <w:sz w:val="1"/>
                <w:szCs w:val="1"/>
                <w:color w:val="auto"/>
              </w:rPr>
            </w:pPr>
          </w:p>
        </w:tc>
      </w:tr>
      <w:tr>
        <w:trPr>
          <w:trHeight w:val="170"/>
        </w:trPr>
        <w:tc>
          <w:tcPr>
            <w:tcW w:w="1580" w:type="dxa"/>
            <w:vAlign w:val="bottom"/>
          </w:tcPr>
          <w:p>
            <w:pPr>
              <w:spacing w:after="0"/>
              <w:rPr>
                <w:sz w:val="20"/>
                <w:szCs w:val="20"/>
                <w:color w:val="auto"/>
              </w:rPr>
            </w:pPr>
            <w:r>
              <w:rPr>
                <w:rFonts w:ascii="Times New Roman" w:cs="Times New Roman" w:eastAsia="Times New Roman" w:hAnsi="Times New Roman"/>
                <w:sz w:val="13"/>
                <w:szCs w:val="13"/>
                <w:color w:val="auto"/>
              </w:rPr>
              <w:t>controlling interests</w:t>
            </w:r>
          </w:p>
        </w:tc>
        <w:tc>
          <w:tcPr>
            <w:tcW w:w="7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Borders>
              <w:right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158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Paid-in-kind preferred</w:t>
            </w: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dividend</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5"/>
                <w:szCs w:val="15"/>
                <w:color w:val="auto"/>
              </w:rPr>
            </w:pPr>
          </w:p>
        </w:tc>
        <w:tc>
          <w:tcPr>
            <w:tcW w:w="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5"/>
                <w:szCs w:val="15"/>
                <w:color w:val="auto"/>
              </w:rPr>
            </w:pPr>
          </w:p>
        </w:tc>
        <w:tc>
          <w:tcPr>
            <w:tcW w:w="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(445)</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5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6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(445)</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2,763</w:t>
            </w: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(2,318)</w:t>
            </w:r>
          </w:p>
        </w:tc>
        <w:tc>
          <w:tcPr>
            <w:tcW w:w="0" w:type="dxa"/>
            <w:vAlign w:val="bottom"/>
          </w:tcPr>
          <w:p>
            <w:pPr>
              <w:spacing w:after="0"/>
              <w:rPr>
                <w:sz w:val="1"/>
                <w:szCs w:val="1"/>
                <w:color w:val="auto"/>
              </w:rPr>
            </w:pPr>
          </w:p>
        </w:tc>
      </w:tr>
      <w:tr>
        <w:trPr>
          <w:trHeight w:val="160"/>
        </w:trPr>
        <w:tc>
          <w:tcPr>
            <w:tcW w:w="15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March 31, 2023</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9"/>
              </w:rPr>
              <w:t>29,330,115</w:t>
            </w:r>
          </w:p>
        </w:tc>
        <w:tc>
          <w:tcPr>
            <w:tcW w:w="6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60" w:type="dxa"/>
            <w:vAlign w:val="bottom"/>
          </w:tcPr>
          <w:p>
            <w:pPr>
              <w:spacing w:after="0"/>
              <w:rPr>
                <w:sz w:val="13"/>
                <w:szCs w:val="13"/>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144,399,037</w:t>
            </w:r>
          </w:p>
        </w:tc>
        <w:tc>
          <w:tcPr>
            <w:tcW w:w="6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60" w:type="dxa"/>
            <w:vAlign w:val="bottom"/>
          </w:tcPr>
          <w:p>
            <w:pPr>
              <w:spacing w:after="0"/>
              <w:rPr>
                <w:sz w:val="13"/>
                <w:szCs w:val="13"/>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(807,895)</w:t>
            </w:r>
          </w:p>
        </w:tc>
        <w:tc>
          <w:tcPr>
            <w:tcW w:w="60" w:type="dxa"/>
            <w:vAlign w:val="bottom"/>
          </w:tcPr>
          <w:p>
            <w:pPr>
              <w:spacing w:after="0"/>
              <w:rPr>
                <w:sz w:val="13"/>
                <w:szCs w:val="13"/>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137</w:t>
            </w:r>
          </w:p>
        </w:tc>
        <w:tc>
          <w:tcPr>
            <w:tcW w:w="6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27,969</w:t>
            </w:r>
          </w:p>
        </w:tc>
        <w:tc>
          <w:tcPr>
            <w:tcW w:w="60" w:type="dxa"/>
            <w:vAlign w:val="bottom"/>
          </w:tcPr>
          <w:p>
            <w:pPr>
              <w:spacing w:after="0"/>
              <w:rPr>
                <w:sz w:val="13"/>
                <w:szCs w:val="13"/>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(1,635,783)</w:t>
            </w:r>
          </w:p>
        </w:tc>
        <w:tc>
          <w:tcPr>
            <w:tcW w:w="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(11,614)</w:t>
            </w:r>
          </w:p>
        </w:tc>
        <w:tc>
          <w:tcPr>
            <w:tcW w:w="6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top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(791,386)</w:t>
            </w:r>
          </w:p>
        </w:tc>
        <w:tc>
          <w:tcPr>
            <w:tcW w:w="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140,905</w:t>
            </w:r>
          </w:p>
        </w:tc>
        <w:tc>
          <w:tcPr>
            <w:tcW w:w="60" w:type="dxa"/>
            <w:vAlign w:val="bottom"/>
          </w:tcPr>
          <w:p>
            <w:pPr>
              <w:spacing w:after="0"/>
              <w:rPr>
                <w:sz w:val="13"/>
                <w:szCs w:val="13"/>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$ 1,013,835</w:t>
            </w: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The accompanying notes are an integral part of these unaudited condensed consolidated financial statements.</w:t>
      </w:r>
    </w:p>
    <w:p>
      <w:pPr>
        <w:spacing w:after="0" w:line="2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161290</wp:posOffset>
            </wp:positionV>
            <wp:extent cx="7193280"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060"/>
          </w:cols>
          <w:pgMar w:left="420" w:top="878" w:right="41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3"/>
          <w:szCs w:val="13"/>
          <w:b w:val="1"/>
          <w:bCs w:val="1"/>
          <w:color w:val="auto"/>
        </w:rPr>
        <w:t>OPAL FUELS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CONDENSED CONSOLIDATED STATEMENTS OF CASH FLOWS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(In thousands of U.S. dollars)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26" w:lineRule="exact"/>
        <w:rPr>
          <w:sz w:val="20"/>
          <w:szCs w:val="20"/>
          <w:color w:val="auto"/>
        </w:rPr>
      </w:pPr>
    </w:p>
    <w:p>
      <w:pPr>
        <w:jc w:val="center"/>
        <w:ind w:left="8200"/>
        <w:spacing w:after="0"/>
        <w:rPr>
          <w:sz w:val="20"/>
          <w:szCs w:val="20"/>
          <w:color w:val="auto"/>
        </w:rPr>
      </w:pPr>
      <w:r>
        <w:rPr>
          <w:rFonts w:ascii="Times New Roman" w:cs="Times New Roman" w:eastAsia="Times New Roman" w:hAnsi="Times New Roman"/>
          <w:sz w:val="12"/>
          <w:szCs w:val="12"/>
          <w:b w:val="1"/>
          <w:bCs w:val="1"/>
          <w:color w:val="auto"/>
        </w:rPr>
        <w:t>Three Months Ended</w:t>
      </w:r>
    </w:p>
    <w:p>
      <w:pPr>
        <w:jc w:val="center"/>
        <w:ind w:left="8200"/>
        <w:spacing w:after="0"/>
        <w:rPr>
          <w:sz w:val="20"/>
          <w:szCs w:val="20"/>
          <w:color w:val="auto"/>
        </w:rPr>
      </w:pPr>
      <w:r>
        <w:rPr>
          <w:rFonts w:ascii="Times New Roman" w:cs="Times New Roman" w:eastAsia="Times New Roman" w:hAnsi="Times New Roman"/>
          <w:sz w:val="12"/>
          <w:szCs w:val="12"/>
          <w:b w:val="1"/>
          <w:bCs w:val="1"/>
          <w:color w:val="auto"/>
        </w:rPr>
        <w:t>March 31,</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200" w:type="dxa"/>
            <w:vAlign w:val="bottom"/>
            <w:tcBorders>
              <w:bottom w:val="single" w:sz="8" w:color="CCEEFF"/>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2024</w:t>
            </w:r>
          </w:p>
        </w:tc>
        <w:tc>
          <w:tcPr>
            <w:tcW w:w="54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2023</w:t>
            </w:r>
          </w:p>
        </w:tc>
      </w:tr>
      <w:tr>
        <w:trPr>
          <w:trHeight w:val="188"/>
        </w:trPr>
        <w:tc>
          <w:tcPr>
            <w:tcW w:w="8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59"/>
        </w:trPr>
        <w:tc>
          <w:tcPr>
            <w:tcW w:w="820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Cash flows from operating activities:</w:t>
            </w:r>
          </w:p>
        </w:tc>
        <w:tc>
          <w:tcPr>
            <w:tcW w:w="9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21"/>
        </w:trPr>
        <w:tc>
          <w:tcPr>
            <w:tcW w:w="8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60"/>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income (loss)</w:t>
            </w:r>
          </w:p>
        </w:tc>
        <w:tc>
          <w:tcPr>
            <w:tcW w:w="960" w:type="dxa"/>
            <w:vAlign w:val="bottom"/>
            <w:tcBorders>
              <w:bottom w:val="single" w:sz="8" w:color="CCEEFF"/>
            </w:tcBorders>
            <w:shd w:val="clear" w:color="auto" w:fill="CCEEFF"/>
          </w:tcPr>
          <w:p>
            <w:pPr>
              <w:jc w:val="right"/>
              <w:ind w:right="820"/>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677</w:t>
            </w:r>
          </w:p>
        </w:tc>
        <w:tc>
          <w:tcPr>
            <w:tcW w:w="1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(7,346)</w:t>
            </w:r>
          </w:p>
        </w:tc>
      </w:tr>
      <w:tr>
        <w:trPr>
          <w:trHeight w:val="156"/>
        </w:trPr>
        <w:tc>
          <w:tcPr>
            <w:tcW w:w="8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Adjustments to reconcile net income (loss) to net cash provided by operating activities:</w:t>
            </w:r>
          </w:p>
        </w:tc>
        <w:tc>
          <w:tcPr>
            <w:tcW w:w="9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24"/>
        </w:trPr>
        <w:tc>
          <w:tcPr>
            <w:tcW w:w="8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60"/>
        </w:trPr>
        <w:tc>
          <w:tcPr>
            <w:tcW w:w="8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Income from equity method investments</w:t>
            </w:r>
          </w:p>
        </w:tc>
        <w:tc>
          <w:tcPr>
            <w:tcW w:w="96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(4,206)</w:t>
            </w:r>
          </w:p>
        </w:tc>
        <w:tc>
          <w:tcPr>
            <w:tcW w:w="1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(705)</w:t>
            </w:r>
          </w:p>
        </w:tc>
      </w:tr>
      <w:tr>
        <w:trPr>
          <w:trHeight w:val="156"/>
        </w:trPr>
        <w:tc>
          <w:tcPr>
            <w:tcW w:w="82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Distributions from equity method investments</w:t>
            </w:r>
          </w:p>
        </w:tc>
        <w:tc>
          <w:tcPr>
            <w:tcW w:w="9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4,415</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24"/>
        </w:trPr>
        <w:tc>
          <w:tcPr>
            <w:tcW w:w="8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60"/>
        </w:trPr>
        <w:tc>
          <w:tcPr>
            <w:tcW w:w="8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Provision for bad debts</w:t>
            </w:r>
          </w:p>
        </w:tc>
        <w:tc>
          <w:tcPr>
            <w:tcW w:w="96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492</w:t>
            </w:r>
          </w:p>
        </w:tc>
      </w:tr>
      <w:tr>
        <w:trPr>
          <w:trHeight w:val="156"/>
        </w:trPr>
        <w:tc>
          <w:tcPr>
            <w:tcW w:w="82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Amortization of operating lease right-of-use assets</w:t>
            </w:r>
          </w:p>
        </w:tc>
        <w:tc>
          <w:tcPr>
            <w:tcW w:w="9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164</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147</w:t>
            </w:r>
          </w:p>
        </w:tc>
      </w:tr>
      <w:tr>
        <w:trPr>
          <w:trHeight w:val="24"/>
        </w:trPr>
        <w:tc>
          <w:tcPr>
            <w:tcW w:w="8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60"/>
        </w:trPr>
        <w:tc>
          <w:tcPr>
            <w:tcW w:w="8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96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3,559</w:t>
            </w:r>
          </w:p>
        </w:tc>
        <w:tc>
          <w:tcPr>
            <w:tcW w:w="1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3,465</w:t>
            </w:r>
          </w:p>
        </w:tc>
      </w:tr>
      <w:tr>
        <w:trPr>
          <w:trHeight w:val="156"/>
        </w:trPr>
        <w:tc>
          <w:tcPr>
            <w:tcW w:w="82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Amortization of deferred financing costs</w:t>
            </w:r>
          </w:p>
        </w:tc>
        <w:tc>
          <w:tcPr>
            <w:tcW w:w="9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555</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450</w:t>
            </w:r>
          </w:p>
        </w:tc>
      </w:tr>
      <w:tr>
        <w:trPr>
          <w:trHeight w:val="24"/>
        </w:trPr>
        <w:tc>
          <w:tcPr>
            <w:tcW w:w="8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60"/>
        </w:trPr>
        <w:tc>
          <w:tcPr>
            <w:tcW w:w="8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Loss on warrant exchange</w:t>
            </w:r>
          </w:p>
        </w:tc>
        <w:tc>
          <w:tcPr>
            <w:tcW w:w="96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338</w:t>
            </w:r>
          </w:p>
        </w:tc>
      </w:tr>
      <w:tr>
        <w:trPr>
          <w:trHeight w:val="156"/>
        </w:trPr>
        <w:tc>
          <w:tcPr>
            <w:tcW w:w="82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Accretion expense related to asset retirement obligation</w:t>
            </w:r>
          </w:p>
        </w:tc>
        <w:tc>
          <w:tcPr>
            <w:tcW w:w="9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152</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102</w:t>
            </w:r>
          </w:p>
        </w:tc>
      </w:tr>
      <w:tr>
        <w:trPr>
          <w:trHeight w:val="24"/>
        </w:trPr>
        <w:tc>
          <w:tcPr>
            <w:tcW w:w="8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60"/>
        </w:trPr>
        <w:tc>
          <w:tcPr>
            <w:tcW w:w="8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Stock-based compensation</w:t>
            </w:r>
          </w:p>
        </w:tc>
        <w:tc>
          <w:tcPr>
            <w:tcW w:w="96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1,013</w:t>
            </w:r>
          </w:p>
        </w:tc>
        <w:tc>
          <w:tcPr>
            <w:tcW w:w="1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971</w:t>
            </w:r>
          </w:p>
        </w:tc>
      </w:tr>
      <w:tr>
        <w:trPr>
          <w:trHeight w:val="156"/>
        </w:trPr>
        <w:tc>
          <w:tcPr>
            <w:tcW w:w="82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Paid-in-kind interest income</w:t>
            </w:r>
          </w:p>
        </w:tc>
        <w:tc>
          <w:tcPr>
            <w:tcW w:w="9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w:t>
            </w:r>
          </w:p>
        </w:tc>
      </w:tr>
      <w:tr>
        <w:trPr>
          <w:trHeight w:val="24"/>
        </w:trPr>
        <w:tc>
          <w:tcPr>
            <w:tcW w:w="8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60"/>
        </w:trPr>
        <w:tc>
          <w:tcPr>
            <w:tcW w:w="8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Change in fair value of Convertible Note Payable</w:t>
            </w:r>
          </w:p>
        </w:tc>
        <w:tc>
          <w:tcPr>
            <w:tcW w:w="96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563</w:t>
            </w:r>
          </w:p>
        </w:tc>
      </w:tr>
      <w:tr>
        <w:trPr>
          <w:trHeight w:val="156"/>
        </w:trPr>
        <w:tc>
          <w:tcPr>
            <w:tcW w:w="82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Unrealized loss on derivative financial instruments</w:t>
            </w:r>
          </w:p>
        </w:tc>
        <w:tc>
          <w:tcPr>
            <w:tcW w:w="9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(307)</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(4,855)</w:t>
            </w:r>
          </w:p>
        </w:tc>
      </w:tr>
      <w:tr>
        <w:trPr>
          <w:trHeight w:val="24"/>
        </w:trPr>
        <w:tc>
          <w:tcPr>
            <w:tcW w:w="8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60"/>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Changes in operating assets and liabilities:</w:t>
            </w:r>
          </w:p>
        </w:tc>
        <w:tc>
          <w:tcPr>
            <w:tcW w:w="96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spacing w:after="0"/>
              <w:rPr>
                <w:sz w:val="13"/>
                <w:szCs w:val="13"/>
                <w:color w:val="auto"/>
              </w:rPr>
            </w:pPr>
          </w:p>
        </w:tc>
      </w:tr>
      <w:tr>
        <w:trPr>
          <w:trHeight w:val="156"/>
        </w:trPr>
        <w:tc>
          <w:tcPr>
            <w:tcW w:w="82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Accounts receivable</w:t>
            </w:r>
          </w:p>
        </w:tc>
        <w:tc>
          <w:tcPr>
            <w:tcW w:w="9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4,818</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611</w:t>
            </w:r>
          </w:p>
        </w:tc>
      </w:tr>
      <w:tr>
        <w:trPr>
          <w:trHeight w:val="24"/>
        </w:trPr>
        <w:tc>
          <w:tcPr>
            <w:tcW w:w="8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60"/>
        </w:trPr>
        <w:tc>
          <w:tcPr>
            <w:tcW w:w="8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Accounts receivable, related party</w:t>
            </w:r>
          </w:p>
        </w:tc>
        <w:tc>
          <w:tcPr>
            <w:tcW w:w="96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3,784</w:t>
            </w:r>
          </w:p>
        </w:tc>
        <w:tc>
          <w:tcPr>
            <w:tcW w:w="1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8,375</w:t>
            </w:r>
          </w:p>
        </w:tc>
      </w:tr>
      <w:tr>
        <w:trPr>
          <w:trHeight w:val="156"/>
        </w:trPr>
        <w:tc>
          <w:tcPr>
            <w:tcW w:w="82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Fuel tax credits receivable</w:t>
            </w:r>
          </w:p>
        </w:tc>
        <w:tc>
          <w:tcPr>
            <w:tcW w:w="9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1,133</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1,649</w:t>
            </w:r>
          </w:p>
        </w:tc>
      </w:tr>
      <w:tr>
        <w:trPr>
          <w:trHeight w:val="24"/>
        </w:trPr>
        <w:tc>
          <w:tcPr>
            <w:tcW w:w="8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60"/>
        </w:trPr>
        <w:tc>
          <w:tcPr>
            <w:tcW w:w="8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Capital spares</w:t>
            </w:r>
          </w:p>
        </w:tc>
        <w:tc>
          <w:tcPr>
            <w:tcW w:w="96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(171)</w:t>
            </w:r>
          </w:p>
        </w:tc>
        <w:tc>
          <w:tcPr>
            <w:tcW w:w="1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w:t>
            </w:r>
          </w:p>
        </w:tc>
      </w:tr>
      <w:tr>
        <w:trPr>
          <w:trHeight w:val="156"/>
        </w:trPr>
        <w:tc>
          <w:tcPr>
            <w:tcW w:w="82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Parts inventory</w:t>
            </w:r>
          </w:p>
        </w:tc>
        <w:tc>
          <w:tcPr>
            <w:tcW w:w="9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(944)</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(1,968)</w:t>
            </w:r>
          </w:p>
        </w:tc>
      </w:tr>
      <w:tr>
        <w:trPr>
          <w:trHeight w:val="24"/>
        </w:trPr>
        <w:tc>
          <w:tcPr>
            <w:tcW w:w="8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60"/>
        </w:trPr>
        <w:tc>
          <w:tcPr>
            <w:tcW w:w="8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Environmental credits held for sale</w:t>
            </w:r>
          </w:p>
        </w:tc>
        <w:tc>
          <w:tcPr>
            <w:tcW w:w="96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(1,362)</w:t>
            </w:r>
          </w:p>
        </w:tc>
        <w:tc>
          <w:tcPr>
            <w:tcW w:w="1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(853)</w:t>
            </w:r>
          </w:p>
        </w:tc>
      </w:tr>
      <w:tr>
        <w:trPr>
          <w:trHeight w:val="156"/>
        </w:trPr>
        <w:tc>
          <w:tcPr>
            <w:tcW w:w="82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Prepaid expense and other current assets</w:t>
            </w:r>
          </w:p>
        </w:tc>
        <w:tc>
          <w:tcPr>
            <w:tcW w:w="9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(656)</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1,078</w:t>
            </w:r>
          </w:p>
        </w:tc>
      </w:tr>
      <w:tr>
        <w:trPr>
          <w:trHeight w:val="24"/>
        </w:trPr>
        <w:tc>
          <w:tcPr>
            <w:tcW w:w="8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60"/>
        </w:trPr>
        <w:tc>
          <w:tcPr>
            <w:tcW w:w="8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Contract assets</w:t>
            </w:r>
          </w:p>
        </w:tc>
        <w:tc>
          <w:tcPr>
            <w:tcW w:w="96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(2,207)</w:t>
            </w:r>
          </w:p>
        </w:tc>
        <w:tc>
          <w:tcPr>
            <w:tcW w:w="1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1,227</w:t>
            </w:r>
          </w:p>
        </w:tc>
      </w:tr>
      <w:tr>
        <w:trPr>
          <w:trHeight w:val="156"/>
        </w:trPr>
        <w:tc>
          <w:tcPr>
            <w:tcW w:w="82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Accounts payable</w:t>
            </w:r>
          </w:p>
        </w:tc>
        <w:tc>
          <w:tcPr>
            <w:tcW w:w="9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(3,989)</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622</w:t>
            </w:r>
          </w:p>
        </w:tc>
      </w:tr>
      <w:tr>
        <w:trPr>
          <w:trHeight w:val="24"/>
        </w:trPr>
        <w:tc>
          <w:tcPr>
            <w:tcW w:w="8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60"/>
        </w:trPr>
        <w:tc>
          <w:tcPr>
            <w:tcW w:w="8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Accounts payable, related party</w:t>
            </w:r>
          </w:p>
        </w:tc>
        <w:tc>
          <w:tcPr>
            <w:tcW w:w="96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1,142</w:t>
            </w:r>
          </w:p>
        </w:tc>
        <w:tc>
          <w:tcPr>
            <w:tcW w:w="1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(507)</w:t>
            </w:r>
          </w:p>
        </w:tc>
      </w:tr>
      <w:tr>
        <w:trPr>
          <w:trHeight w:val="156"/>
        </w:trPr>
        <w:tc>
          <w:tcPr>
            <w:tcW w:w="82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Fuel tax credits payable</w:t>
            </w:r>
          </w:p>
        </w:tc>
        <w:tc>
          <w:tcPr>
            <w:tcW w:w="9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(940)</w:t>
            </w:r>
          </w:p>
        </w:tc>
      </w:tr>
      <w:tr>
        <w:trPr>
          <w:trHeight w:val="24"/>
        </w:trPr>
        <w:tc>
          <w:tcPr>
            <w:tcW w:w="8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60"/>
        </w:trPr>
        <w:tc>
          <w:tcPr>
            <w:tcW w:w="8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Accrued payroll</w:t>
            </w:r>
          </w:p>
        </w:tc>
        <w:tc>
          <w:tcPr>
            <w:tcW w:w="96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1,400</w:t>
            </w:r>
          </w:p>
        </w:tc>
        <w:tc>
          <w:tcPr>
            <w:tcW w:w="1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1,547</w:t>
            </w:r>
          </w:p>
        </w:tc>
      </w:tr>
      <w:tr>
        <w:trPr>
          <w:trHeight w:val="156"/>
        </w:trPr>
        <w:tc>
          <w:tcPr>
            <w:tcW w:w="82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Accrued expenses</w:t>
            </w:r>
          </w:p>
        </w:tc>
        <w:tc>
          <w:tcPr>
            <w:tcW w:w="9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2,524</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(1,199)</w:t>
            </w:r>
          </w:p>
        </w:tc>
      </w:tr>
      <w:tr>
        <w:trPr>
          <w:trHeight w:val="24"/>
        </w:trPr>
        <w:tc>
          <w:tcPr>
            <w:tcW w:w="8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60"/>
        </w:trPr>
        <w:tc>
          <w:tcPr>
            <w:tcW w:w="8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Operating lease liabilities - current and non-current</w:t>
            </w:r>
          </w:p>
        </w:tc>
        <w:tc>
          <w:tcPr>
            <w:tcW w:w="96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(160)</w:t>
            </w:r>
          </w:p>
        </w:tc>
        <w:tc>
          <w:tcPr>
            <w:tcW w:w="1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w:t>
            </w:r>
          </w:p>
        </w:tc>
      </w:tr>
      <w:tr>
        <w:trPr>
          <w:trHeight w:val="156"/>
        </w:trPr>
        <w:tc>
          <w:tcPr>
            <w:tcW w:w="82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Other current and non-current liabilities</w:t>
            </w:r>
          </w:p>
        </w:tc>
        <w:tc>
          <w:tcPr>
            <w:tcW w:w="9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987</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601</w:t>
            </w:r>
          </w:p>
        </w:tc>
      </w:tr>
      <w:tr>
        <w:trPr>
          <w:trHeight w:val="24"/>
        </w:trPr>
        <w:tc>
          <w:tcPr>
            <w:tcW w:w="8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80"/>
        </w:trPr>
        <w:tc>
          <w:tcPr>
            <w:tcW w:w="8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Contract liabilities</w:t>
            </w:r>
          </w:p>
        </w:tc>
        <w:tc>
          <w:tcPr>
            <w:tcW w:w="9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1,471</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504</w:t>
            </w:r>
          </w:p>
        </w:tc>
      </w:tr>
      <w:tr>
        <w:trPr>
          <w:trHeight w:val="146"/>
        </w:trPr>
        <w:tc>
          <w:tcPr>
            <w:tcW w:w="8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cash provided by operating activities</w:t>
            </w:r>
          </w:p>
        </w:tc>
        <w:tc>
          <w:tcPr>
            <w:tcW w:w="9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13,718</w:t>
            </w:r>
          </w:p>
        </w:tc>
        <w:tc>
          <w:tcPr>
            <w:tcW w:w="1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4,171</w:t>
            </w:r>
          </w:p>
        </w:tc>
      </w:tr>
      <w:tr>
        <w:trPr>
          <w:trHeight w:val="24"/>
        </w:trPr>
        <w:tc>
          <w:tcPr>
            <w:tcW w:w="82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40"/>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Cash flows from investing activities:</w:t>
            </w:r>
          </w:p>
        </w:tc>
        <w:tc>
          <w:tcPr>
            <w:tcW w:w="96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spacing w:after="0"/>
              <w:rPr>
                <w:sz w:val="12"/>
                <w:szCs w:val="12"/>
                <w:color w:val="auto"/>
              </w:rPr>
            </w:pPr>
          </w:p>
        </w:tc>
        <w:tc>
          <w:tcPr>
            <w:tcW w:w="1140" w:type="dxa"/>
            <w:vAlign w:val="bottom"/>
            <w:tcBorders>
              <w:bottom w:val="single" w:sz="8" w:color="CCEEFF"/>
            </w:tcBorders>
            <w:shd w:val="clear" w:color="auto" w:fill="CCEEFF"/>
          </w:tcPr>
          <w:p>
            <w:pPr>
              <w:spacing w:after="0"/>
              <w:rPr>
                <w:sz w:val="12"/>
                <w:szCs w:val="12"/>
                <w:color w:val="auto"/>
              </w:rPr>
            </w:pPr>
          </w:p>
        </w:tc>
      </w:tr>
      <w:tr>
        <w:trPr>
          <w:trHeight w:val="156"/>
        </w:trPr>
        <w:tc>
          <w:tcPr>
            <w:tcW w:w="82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Purchase of property, plant, and equipment</w:t>
            </w:r>
          </w:p>
        </w:tc>
        <w:tc>
          <w:tcPr>
            <w:tcW w:w="9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(26,752)</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(38,780)</w:t>
            </w:r>
          </w:p>
        </w:tc>
      </w:tr>
      <w:tr>
        <w:trPr>
          <w:trHeight w:val="24"/>
        </w:trPr>
        <w:tc>
          <w:tcPr>
            <w:tcW w:w="8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60"/>
        </w:trPr>
        <w:tc>
          <w:tcPr>
            <w:tcW w:w="8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Proceeds from short term investments</w:t>
            </w:r>
          </w:p>
        </w:tc>
        <w:tc>
          <w:tcPr>
            <w:tcW w:w="96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3,900</w:t>
            </w:r>
          </w:p>
        </w:tc>
        <w:tc>
          <w:tcPr>
            <w:tcW w:w="1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27,986</w:t>
            </w:r>
          </w:p>
        </w:tc>
      </w:tr>
      <w:tr>
        <w:trPr>
          <w:trHeight w:val="156"/>
        </w:trPr>
        <w:tc>
          <w:tcPr>
            <w:tcW w:w="82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Cash paid for investment in other entities</w:t>
            </w:r>
          </w:p>
        </w:tc>
        <w:tc>
          <w:tcPr>
            <w:tcW w:w="9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(1,500)</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24"/>
        </w:trPr>
        <w:tc>
          <w:tcPr>
            <w:tcW w:w="8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80"/>
        </w:trPr>
        <w:tc>
          <w:tcPr>
            <w:tcW w:w="8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Distributions received from equity method investment</w:t>
            </w:r>
          </w:p>
        </w:tc>
        <w:tc>
          <w:tcPr>
            <w:tcW w:w="9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2,726</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1,900</w:t>
            </w:r>
          </w:p>
        </w:tc>
      </w:tr>
      <w:tr>
        <w:trPr>
          <w:trHeight w:val="146"/>
        </w:trPr>
        <w:tc>
          <w:tcPr>
            <w:tcW w:w="8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cash used in investing activities</w:t>
            </w:r>
          </w:p>
        </w:tc>
        <w:tc>
          <w:tcPr>
            <w:tcW w:w="9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(21,626)</w:t>
            </w:r>
          </w:p>
        </w:tc>
        <w:tc>
          <w:tcPr>
            <w:tcW w:w="1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(8,894)</w:t>
            </w:r>
          </w:p>
        </w:tc>
      </w:tr>
      <w:tr>
        <w:trPr>
          <w:trHeight w:val="24"/>
        </w:trPr>
        <w:tc>
          <w:tcPr>
            <w:tcW w:w="82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40"/>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Cash flows from financing activities:</w:t>
            </w:r>
          </w:p>
        </w:tc>
        <w:tc>
          <w:tcPr>
            <w:tcW w:w="96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spacing w:after="0"/>
              <w:rPr>
                <w:sz w:val="12"/>
                <w:szCs w:val="12"/>
                <w:color w:val="auto"/>
              </w:rPr>
            </w:pPr>
          </w:p>
        </w:tc>
        <w:tc>
          <w:tcPr>
            <w:tcW w:w="1140" w:type="dxa"/>
            <w:vAlign w:val="bottom"/>
            <w:tcBorders>
              <w:bottom w:val="single" w:sz="8" w:color="CCEEFF"/>
            </w:tcBorders>
            <w:shd w:val="clear" w:color="auto" w:fill="CCEEFF"/>
          </w:tcPr>
          <w:p>
            <w:pPr>
              <w:spacing w:after="0"/>
              <w:rPr>
                <w:sz w:val="12"/>
                <w:szCs w:val="12"/>
                <w:color w:val="auto"/>
              </w:rPr>
            </w:pPr>
          </w:p>
        </w:tc>
      </w:tr>
      <w:tr>
        <w:trPr>
          <w:trHeight w:val="156"/>
        </w:trPr>
        <w:tc>
          <w:tcPr>
            <w:tcW w:w="82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Proceeds from OPAL Term Loan</w:t>
            </w:r>
          </w:p>
        </w:tc>
        <w:tc>
          <w:tcPr>
            <w:tcW w:w="960" w:type="dxa"/>
            <w:vAlign w:val="bottom"/>
          </w:tcPr>
          <w:p>
            <w:pPr>
              <w:spacing w:after="0"/>
              <w:rPr>
                <w:sz w:val="13"/>
                <w:szCs w:val="13"/>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10,000</w:t>
            </w:r>
          </w:p>
        </w:tc>
      </w:tr>
      <w:tr>
        <w:trPr>
          <w:trHeight w:val="24"/>
        </w:trPr>
        <w:tc>
          <w:tcPr>
            <w:tcW w:w="8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60"/>
        </w:trPr>
        <w:tc>
          <w:tcPr>
            <w:tcW w:w="8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Cash paid for taxes related to net share settlement of equity awards</w:t>
            </w:r>
          </w:p>
        </w:tc>
        <w:tc>
          <w:tcPr>
            <w:tcW w:w="96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(627)</w:t>
            </w:r>
          </w:p>
        </w:tc>
        <w:tc>
          <w:tcPr>
            <w:tcW w:w="1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6"/>
        </w:trPr>
        <w:tc>
          <w:tcPr>
            <w:tcW w:w="82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Cash paid for purchase of shares upon exercise of put option</w:t>
            </w:r>
          </w:p>
        </w:tc>
        <w:tc>
          <w:tcPr>
            <w:tcW w:w="960" w:type="dxa"/>
            <w:vAlign w:val="bottom"/>
          </w:tcPr>
          <w:p>
            <w:pPr>
              <w:spacing w:after="0"/>
              <w:rPr>
                <w:sz w:val="13"/>
                <w:szCs w:val="13"/>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(16,391)</w:t>
            </w:r>
          </w:p>
        </w:tc>
      </w:tr>
      <w:tr>
        <w:trPr>
          <w:trHeight w:val="24"/>
        </w:trPr>
        <w:tc>
          <w:tcPr>
            <w:tcW w:w="8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60"/>
        </w:trPr>
        <w:tc>
          <w:tcPr>
            <w:tcW w:w="8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Financing costs paid to other third parties</w:t>
            </w:r>
          </w:p>
        </w:tc>
        <w:tc>
          <w:tcPr>
            <w:tcW w:w="96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(238)</w:t>
            </w:r>
          </w:p>
        </w:tc>
        <w:tc>
          <w:tcPr>
            <w:tcW w:w="1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w:t>
            </w:r>
          </w:p>
        </w:tc>
      </w:tr>
      <w:tr>
        <w:trPr>
          <w:trHeight w:val="156"/>
        </w:trPr>
        <w:tc>
          <w:tcPr>
            <w:tcW w:w="82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Repayment of Senior Secured Credit Facility</w:t>
            </w:r>
          </w:p>
        </w:tc>
        <w:tc>
          <w:tcPr>
            <w:tcW w:w="960" w:type="dxa"/>
            <w:vAlign w:val="bottom"/>
          </w:tcPr>
          <w:p>
            <w:pPr>
              <w:spacing w:after="0"/>
              <w:rPr>
                <w:sz w:val="13"/>
                <w:szCs w:val="13"/>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(22,750)</w:t>
            </w:r>
          </w:p>
        </w:tc>
      </w:tr>
      <w:tr>
        <w:trPr>
          <w:trHeight w:val="24"/>
        </w:trPr>
        <w:tc>
          <w:tcPr>
            <w:tcW w:w="8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60"/>
        </w:trPr>
        <w:tc>
          <w:tcPr>
            <w:tcW w:w="8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Repayment of OPAL Term Loan</w:t>
            </w:r>
          </w:p>
        </w:tc>
        <w:tc>
          <w:tcPr>
            <w:tcW w:w="96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(6,933)</w:t>
            </w:r>
          </w:p>
        </w:tc>
      </w:tr>
      <w:tr>
        <w:trPr>
          <w:trHeight w:val="156"/>
        </w:trPr>
        <w:tc>
          <w:tcPr>
            <w:tcW w:w="82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Repayment of Sunoma Loan</w:t>
            </w:r>
          </w:p>
        </w:tc>
        <w:tc>
          <w:tcPr>
            <w:tcW w:w="9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(380)</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bl>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161290</wp:posOffset>
            </wp:positionV>
            <wp:extent cx="7193280"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723" w:right="31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55"/>
        </w:trPr>
        <w:tc>
          <w:tcPr>
            <w:tcW w:w="818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Repayment of Municipality loan</w:t>
            </w:r>
          </w:p>
        </w:tc>
        <w:tc>
          <w:tcPr>
            <w:tcW w:w="5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818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Repayment of equipment loan</w:t>
            </w:r>
          </w:p>
        </w:tc>
        <w:tc>
          <w:tcPr>
            <w:tcW w:w="5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18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Payment of preferred dividends</w:t>
            </w:r>
          </w:p>
        </w:tc>
        <w:tc>
          <w:tcPr>
            <w:tcW w:w="5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(5,235)</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18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Distribution to non-redeemable non-controlling interest</w:t>
            </w:r>
          </w:p>
        </w:tc>
        <w:tc>
          <w:tcPr>
            <w:tcW w:w="5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(233)</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18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Proceeds from issuance of shares of Class A common stock under the ATM program, net</w:t>
            </w:r>
          </w:p>
        </w:tc>
        <w:tc>
          <w:tcPr>
            <w:tcW w:w="5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97</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18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Proceeds from sale of non-redeemable non-controlling interest, related party</w:t>
            </w:r>
          </w:p>
        </w:tc>
        <w:tc>
          <w:tcPr>
            <w:tcW w:w="5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818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Net cash used in financing activities</w:t>
            </w: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8180" w:type="dxa"/>
            <w:vAlign w:val="bottom"/>
            <w:vMerge w:val="continue"/>
          </w:tcPr>
          <w:p>
            <w:pPr>
              <w:spacing w:after="0"/>
              <w:rPr>
                <w:sz w:val="12"/>
                <w:szCs w:val="12"/>
                <w:color w:val="auto"/>
              </w:rPr>
            </w:pPr>
          </w:p>
        </w:tc>
        <w:tc>
          <w:tcPr>
            <w:tcW w:w="5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(6,638)</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8180" w:type="dxa"/>
            <w:vAlign w:val="bottom"/>
          </w:tcPr>
          <w:p>
            <w:pPr>
              <w:spacing w:after="0"/>
              <w:rPr>
                <w:sz w:val="20"/>
                <w:szCs w:val="20"/>
                <w:color w:val="auto"/>
              </w:rPr>
            </w:pPr>
            <w:r>
              <w:rPr>
                <w:rFonts w:ascii="Times New Roman" w:cs="Times New Roman" w:eastAsia="Times New Roman" w:hAnsi="Times New Roman"/>
                <w:sz w:val="12"/>
                <w:szCs w:val="12"/>
                <w:color w:val="auto"/>
              </w:rPr>
              <w:t>Net decrease in cash, restricted cash, and cash equivalents</w:t>
            </w:r>
          </w:p>
        </w:tc>
        <w:tc>
          <w:tcPr>
            <w:tcW w:w="5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(14,546)</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180" w:type="dxa"/>
            <w:vAlign w:val="bottom"/>
          </w:tcPr>
          <w:p>
            <w:pPr>
              <w:spacing w:after="0"/>
              <w:rPr>
                <w:sz w:val="20"/>
                <w:szCs w:val="20"/>
                <w:color w:val="auto"/>
              </w:rPr>
            </w:pPr>
            <w:r>
              <w:rPr>
                <w:rFonts w:ascii="Times New Roman" w:cs="Times New Roman" w:eastAsia="Times New Roman" w:hAnsi="Times New Roman"/>
                <w:sz w:val="12"/>
                <w:szCs w:val="12"/>
                <w:color w:val="auto"/>
              </w:rPr>
              <w:t>Cash, restricted cash, and cash equivalents, beginning of period</w:t>
            </w:r>
          </w:p>
        </w:tc>
        <w:tc>
          <w:tcPr>
            <w:tcW w:w="5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47,242</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81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8180" w:type="dxa"/>
            <w:vAlign w:val="bottom"/>
          </w:tcPr>
          <w:p>
            <w:pPr>
              <w:spacing w:after="0"/>
              <w:rPr>
                <w:sz w:val="20"/>
                <w:szCs w:val="20"/>
                <w:color w:val="auto"/>
              </w:rPr>
            </w:pPr>
            <w:r>
              <w:rPr>
                <w:rFonts w:ascii="Times New Roman" w:cs="Times New Roman" w:eastAsia="Times New Roman" w:hAnsi="Times New Roman"/>
                <w:sz w:val="12"/>
                <w:szCs w:val="12"/>
                <w:color w:val="auto"/>
              </w:rPr>
              <w:t>Cash, restricted cash, and cash equivalents, end of period</w:t>
            </w:r>
          </w:p>
        </w:tc>
        <w:tc>
          <w:tcPr>
            <w:tcW w:w="58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32,696</w:t>
            </w:r>
          </w:p>
        </w:tc>
        <w:tc>
          <w:tcPr>
            <w:tcW w:w="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0"/>
        </w:trPr>
        <w:tc>
          <w:tcPr>
            <w:tcW w:w="818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Supplemental disclosure of cash flow information</w:t>
            </w: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8180" w:type="dxa"/>
            <w:vAlign w:val="bottom"/>
            <w:vMerge w:val="continue"/>
          </w:tcPr>
          <w:p>
            <w:pPr>
              <w:spacing w:after="0"/>
              <w:rPr>
                <w:sz w:val="10"/>
                <w:szCs w:val="10"/>
                <w:color w:val="auto"/>
              </w:rPr>
            </w:pPr>
          </w:p>
        </w:tc>
        <w:tc>
          <w:tcPr>
            <w:tcW w:w="5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8180" w:type="dxa"/>
            <w:vAlign w:val="bottom"/>
          </w:tcPr>
          <w:p>
            <w:pPr>
              <w:spacing w:after="0"/>
              <w:rPr>
                <w:sz w:val="20"/>
                <w:szCs w:val="20"/>
                <w:color w:val="auto"/>
              </w:rPr>
            </w:pPr>
            <w:r>
              <w:rPr>
                <w:rFonts w:ascii="Times New Roman" w:cs="Times New Roman" w:eastAsia="Times New Roman" w:hAnsi="Times New Roman"/>
                <w:sz w:val="12"/>
                <w:szCs w:val="12"/>
                <w:color w:val="auto"/>
              </w:rPr>
              <w:t>Interest paid, net of $1,444 and $5,475 capitalized, respectively</w:t>
            </w:r>
          </w:p>
        </w:tc>
        <w:tc>
          <w:tcPr>
            <w:tcW w:w="580" w:type="dxa"/>
            <w:vAlign w:val="bottom"/>
          </w:tcPr>
          <w:p>
            <w:pPr>
              <w:jc w:val="right"/>
              <w:ind w:right="440"/>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3,242</w:t>
            </w:r>
          </w:p>
        </w:tc>
        <w:tc>
          <w:tcPr>
            <w:tcW w:w="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80"/>
        </w:trPr>
        <w:tc>
          <w:tcPr>
            <w:tcW w:w="8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Noncash investing and financing activities:</w:t>
            </w:r>
          </w:p>
        </w:tc>
        <w:tc>
          <w:tcPr>
            <w:tcW w:w="5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180" w:type="dxa"/>
            <w:vAlign w:val="bottom"/>
          </w:tcPr>
          <w:p>
            <w:pPr>
              <w:spacing w:after="0"/>
              <w:rPr>
                <w:sz w:val="20"/>
                <w:szCs w:val="20"/>
                <w:color w:val="auto"/>
              </w:rPr>
            </w:pPr>
            <w:r>
              <w:rPr>
                <w:rFonts w:ascii="Times New Roman" w:cs="Times New Roman" w:eastAsia="Times New Roman" w:hAnsi="Times New Roman"/>
                <w:sz w:val="12"/>
                <w:szCs w:val="12"/>
                <w:color w:val="auto"/>
              </w:rPr>
              <w:t>Paid-in-kind dividend on redeemable preferred non-controlling interests</w:t>
            </w:r>
          </w:p>
        </w:tc>
        <w:tc>
          <w:tcPr>
            <w:tcW w:w="580" w:type="dxa"/>
            <w:vAlign w:val="bottom"/>
          </w:tcPr>
          <w:p>
            <w:pPr>
              <w:jc w:val="right"/>
              <w:ind w:right="440"/>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80"/>
        </w:trPr>
        <w:tc>
          <w:tcPr>
            <w:tcW w:w="8180" w:type="dxa"/>
            <w:vAlign w:val="bottom"/>
          </w:tcPr>
          <w:p>
            <w:pPr>
              <w:spacing w:after="0"/>
              <w:rPr>
                <w:sz w:val="20"/>
                <w:szCs w:val="20"/>
                <w:color w:val="auto"/>
              </w:rPr>
            </w:pPr>
            <w:r>
              <w:rPr>
                <w:rFonts w:ascii="Times New Roman" w:cs="Times New Roman" w:eastAsia="Times New Roman" w:hAnsi="Times New Roman"/>
                <w:sz w:val="12"/>
                <w:szCs w:val="12"/>
                <w:color w:val="auto"/>
              </w:rPr>
              <w:t>Accrual for purchase of Property, plant and equipment included in Accounts payable and Accrued capital expenses</w:t>
            </w:r>
          </w:p>
        </w:tc>
        <w:tc>
          <w:tcPr>
            <w:tcW w:w="580" w:type="dxa"/>
            <w:vAlign w:val="bottom"/>
          </w:tcPr>
          <w:p>
            <w:pPr>
              <w:jc w:val="right"/>
              <w:ind w:right="440"/>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10,743</w:t>
            </w:r>
          </w:p>
        </w:tc>
        <w:tc>
          <w:tcPr>
            <w:tcW w:w="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482600</wp:posOffset>
            </wp:positionV>
            <wp:extent cx="7167880" cy="1143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7880" cy="11430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-1496695</wp:posOffset>
            </wp:positionV>
            <wp:extent cx="7167880" cy="1143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7880" cy="11430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-1267460</wp:posOffset>
            </wp:positionV>
            <wp:extent cx="7167880" cy="1143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7880" cy="11430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-803910</wp:posOffset>
            </wp:positionV>
            <wp:extent cx="7167880" cy="1143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7880" cy="11430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-327025</wp:posOffset>
            </wp:positionV>
            <wp:extent cx="7167880" cy="1143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7880" cy="11430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-98425</wp:posOffset>
            </wp:positionV>
            <wp:extent cx="7167880" cy="1143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7880" cy="11430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-556260</wp:posOffset>
            </wp:positionV>
            <wp:extent cx="7167880" cy="1143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7880" cy="11430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-1038860</wp:posOffset>
            </wp:positionV>
            <wp:extent cx="7167880" cy="1206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7880" cy="120650"/>
                    </a:xfrm>
                    <a:prstGeom prst="rect">
                      <a:avLst/>
                    </a:prstGeom>
                    <a:noFill/>
                  </pic:spPr>
                </pic:pic>
              </a:graphicData>
            </a:graphic>
          </wp:anchor>
        </w:drawing>
      </w:r>
    </w:p>
    <w:p>
      <w:pPr>
        <w:spacing w:after="0" w:line="191"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3"/>
          <w:szCs w:val="13"/>
          <w:color w:val="auto"/>
        </w:rPr>
        <w:t>The accompanying notes are an integral part of these unaudited condensed consolidated financial statements.</w:t>
      </w:r>
    </w:p>
    <w:p>
      <w:pPr>
        <w:spacing w:after="0" w:line="200" w:lineRule="exact"/>
        <w:rPr>
          <w:sz w:val="20"/>
          <w:szCs w:val="20"/>
          <w:color w:val="auto"/>
        </w:rPr>
      </w:pPr>
    </w:p>
    <w:p>
      <w:pPr>
        <w:spacing w:after="0" w:line="261" w:lineRule="exact"/>
        <w:rPr>
          <w:sz w:val="20"/>
          <w:szCs w:val="20"/>
          <w:color w:val="auto"/>
        </w:rPr>
      </w:pPr>
    </w:p>
    <w:p>
      <w:pPr>
        <w:jc w:val="center"/>
        <w:ind w:left="1120"/>
        <w:spacing w:after="0"/>
        <w:rPr>
          <w:sz w:val="20"/>
          <w:szCs w:val="20"/>
          <w:color w:val="auto"/>
        </w:rPr>
      </w:pPr>
      <w:r>
        <w:rPr>
          <w:rFonts w:ascii="Times New Roman" w:cs="Times New Roman" w:eastAsia="Times New Roman" w:hAnsi="Times New Roman"/>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161290</wp:posOffset>
            </wp:positionV>
            <wp:extent cx="7193280"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Times New Roman" w:cs="Times New Roman" w:eastAsia="Times New Roman" w:hAnsi="Times New Roman"/>
          <w:sz w:val="12"/>
          <w:szCs w:val="12"/>
          <w:color w:val="auto"/>
        </w:rPr>
        <w:t>(45)</w:t>
      </w:r>
    </w:p>
    <w:p>
      <w:pPr>
        <w:spacing w:after="0" w:line="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color w:val="auto"/>
        </w:rPr>
        <w:t>—</w:t>
      </w:r>
    </w:p>
    <w:p>
      <w:pPr>
        <w:spacing w:after="0" w:line="4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color w:val="auto"/>
        </w:rPr>
        <w:t>—</w:t>
      </w:r>
    </w:p>
    <w:p>
      <w:pPr>
        <w:spacing w:after="0" w:line="4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color w:val="auto"/>
        </w:rPr>
        <w:t>—</w:t>
      </w:r>
    </w:p>
    <w:p>
      <w:pPr>
        <w:spacing w:after="0" w:line="4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color w:val="auto"/>
        </w:rPr>
        <w:t>—</w:t>
      </w:r>
    </w:p>
    <w:p>
      <w:pPr>
        <w:spacing w:after="0" w:line="4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color w:val="auto"/>
        </w:rPr>
        <w:t>3,543</w:t>
      </w:r>
    </w:p>
    <w:p>
      <w:pPr>
        <w:spacing w:after="0" w:line="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1"/>
          <w:szCs w:val="11"/>
          <w:color w:val="auto"/>
        </w:rPr>
        <w:t>(32,676)</w:t>
      </w:r>
    </w:p>
    <w:p>
      <w:pPr>
        <w:spacing w:after="0" w:line="5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1"/>
          <w:szCs w:val="11"/>
          <w:color w:val="auto"/>
        </w:rPr>
        <w:t>(37,399)</w:t>
      </w:r>
    </w:p>
    <w:p>
      <w:pPr>
        <w:spacing w:after="0" w:line="54"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2"/>
          <w:szCs w:val="12"/>
          <w:color w:val="auto"/>
        </w:rPr>
        <w:t>77,221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-674370</wp:posOffset>
            </wp:positionH>
            <wp:positionV relativeFrom="paragraph">
              <wp:posOffset>26035</wp:posOffset>
            </wp:positionV>
            <wp:extent cx="946785" cy="63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46785" cy="6350"/>
                    </a:xfrm>
                    <a:prstGeom prst="rect">
                      <a:avLst/>
                    </a:prstGeom>
                    <a:noFill/>
                  </pic:spPr>
                </pic:pic>
              </a:graphicData>
            </a:graphic>
          </wp:anchor>
        </w:drawing>
      </w:r>
    </w:p>
    <w:p>
      <w:pPr>
        <w:spacing w:after="0" w:line="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color w:val="auto"/>
        </w:rPr>
        <w:t>39,822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-674370</wp:posOffset>
            </wp:positionH>
            <wp:positionV relativeFrom="paragraph">
              <wp:posOffset>26035</wp:posOffset>
            </wp:positionV>
            <wp:extent cx="946785" cy="63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46785" cy="6350"/>
                    </a:xfrm>
                    <a:prstGeom prst="rect">
                      <a:avLst/>
                    </a:prstGeom>
                    <a:noFill/>
                  </pic:spPr>
                </pic:pic>
              </a:graphicData>
            </a:graphic>
          </wp:anchor>
        </w:drawing>
      </w:r>
    </w:p>
    <w:p>
      <w:pPr>
        <w:spacing w:after="0" w:line="22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color w:val="auto"/>
        </w:rPr>
        <w:t>1,322</w:t>
      </w:r>
    </w:p>
    <w:p>
      <w:pPr>
        <w:spacing w:after="0" w:line="22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color w:val="auto"/>
        </w:rPr>
        <w:t>2,763</w:t>
      </w:r>
    </w:p>
    <w:p>
      <w:pPr>
        <w:spacing w:after="0" w:line="4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color w:val="auto"/>
        </w:rPr>
        <w:t>15,424</w:t>
      </w:r>
    </w:p>
    <w:p>
      <w:pPr>
        <w:sectPr>
          <w:pgSz w:w="11900" w:h="16838" w:orient="portrait"/>
          <w:cols w:equalWidth="0" w:num="2">
            <w:col w:w="10120" w:space="720"/>
            <w:col w:w="400"/>
          </w:cols>
          <w:pgMar w:left="320" w:top="761"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3"/>
          <w:szCs w:val="13"/>
          <w:b w:val="1"/>
          <w:bCs w:val="1"/>
          <w:color w:val="auto"/>
        </w:rPr>
        <w:t>OPAL FUELS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NOTES TO CONDENSED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 Organization and Description of Business</w:t>
      </w:r>
    </w:p>
    <w:p>
      <w:pPr>
        <w:spacing w:after="0" w:line="195" w:lineRule="exact"/>
        <w:rPr>
          <w:sz w:val="20"/>
          <w:szCs w:val="20"/>
          <w:color w:val="auto"/>
        </w:rPr>
      </w:pPr>
    </w:p>
    <w:p>
      <w:pPr>
        <w:jc w:val="both"/>
        <w:ind w:firstLine="240"/>
        <w:spacing w:after="0" w:line="263" w:lineRule="auto"/>
        <w:rPr>
          <w:sz w:val="20"/>
          <w:szCs w:val="20"/>
          <w:color w:val="auto"/>
        </w:rPr>
      </w:pPr>
      <w:r>
        <w:rPr>
          <w:rFonts w:ascii="Times New Roman" w:cs="Times New Roman" w:eastAsia="Times New Roman" w:hAnsi="Times New Roman"/>
          <w:sz w:val="13"/>
          <w:szCs w:val="13"/>
          <w:color w:val="auto"/>
        </w:rPr>
        <w:t>OPAL Fuels Inc. (including its subsidiaries, the "Company", “OPAL,” “we,” “us” or “our”) is a renewable energy company specializing in the capture and conversion of biogas for the (i) production of RNG for use as a vehicle fuel for heavy and medium-duty trucking fleets, (ii) generation of Renewable Power for sale to utilities, (iii) generation and sale of Environmental Attributes associated with RNG and Renewable Power, and (iv) sales of RNG as pipeline quality natural gas. The term “Environmental Attributes” refers to federal, state and local government incentives in the United States, provided in the form of RINs, RECs, LCFS credits, ISCC Carbon Credits, rebates, tax credits and other incentives to end users, distributors, system integrators and manufacturers of renewable energy projects. OPAL also designs, develops, constructs, operates and services Fueling Stations for trucking fleets across the country that use natural gas to displace diesel as their transportation fuel. The biogas conversion projects currently use landfill gas and dairy manure as the source of the biogas. In addition, we have recently begun implementing design, development, and construction services for hydrogen Fueling Stations, and we are pursuing opportunities to diversify our sources of biogas to other waste streams.</w:t>
      </w:r>
    </w:p>
    <w:p>
      <w:pPr>
        <w:spacing w:after="0" w:line="84" w:lineRule="exact"/>
        <w:rPr>
          <w:sz w:val="20"/>
          <w:szCs w:val="20"/>
          <w:color w:val="auto"/>
        </w:rPr>
      </w:pPr>
    </w:p>
    <w:p>
      <w:pPr>
        <w:jc w:val="both"/>
        <w:ind w:firstLine="240"/>
        <w:spacing w:after="0" w:line="294" w:lineRule="auto"/>
        <w:rPr>
          <w:sz w:val="20"/>
          <w:szCs w:val="20"/>
          <w:color w:val="auto"/>
        </w:rPr>
      </w:pPr>
      <w:r>
        <w:rPr>
          <w:rFonts w:ascii="Times New Roman" w:cs="Times New Roman" w:eastAsia="Times New Roman" w:hAnsi="Times New Roman"/>
          <w:sz w:val="13"/>
          <w:szCs w:val="13"/>
          <w:color w:val="auto"/>
        </w:rPr>
        <w:t>The Company is organized into four operating segments based on the characteristics and the nature of products and services. The four operating segments are RNG Fuel, Fuel Station Services, Renewable Power and Corporate.</w:t>
      </w:r>
    </w:p>
    <w:p>
      <w:pPr>
        <w:spacing w:after="0" w:line="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All amounts in these footnotes are presented in thousands of dollars except share and per share data.</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2. Summary of Significant Accounting Policies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Basis of Presentation and Principles of Consolidation</w:t>
      </w:r>
    </w:p>
    <w:p>
      <w:pPr>
        <w:spacing w:after="0" w:line="125"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3"/>
          <w:szCs w:val="13"/>
          <w:color w:val="auto"/>
        </w:rPr>
        <w:t>These condensed consolidated financial statements are prepared in accordance with generally accepted accounting principles in the United States ("U.S. GAAP") and include the accounts of the Company and all other entities in which the Company has a controlling financial interest: OPAL Renewable Power LLC (formerly Fortistar Methane 3 LLC (“FM3”) and Fortistar Methane 4 LLC), Beacon RNG LLC (“Beacon”) Sunoma Holdings, LLC (“Sunoma”), New River LLC (“New River”), Reynolds RNG LLC (“Reynolds”), Central Valley LLC (“Central Valley”), Prince William RNG LLC (“Prince William”), Cottonwood RNG LLC, Polk County RNG LLC (“Polk County”), OPAL Contracting LLC (formerly Fortistar Contracting LLC), OPAL RNG LLC (formerly Fortistar RNG LLC), and OPAL Fuel station services LLC (“Fuel Station Services”). The Company’s unaudited condensed consolidated financial statements include the assets and liabilities of these subsidiaries. All intercompany transactions and balances have been eliminated in consolidation. The non-controlling interest attributable to the Company's variable interest entities ("VIE") are presented as a separate component from the Stockholders' deficit in the condensed consolidated balance sheets and as a non-redeemable non-controlling interests in the condensed consolidated statements of changes in redeemable non-controlling interests, redeemable preferred non-controlling interests and Stockholders' (deficit) equity.</w:t>
      </w:r>
    </w:p>
    <w:p>
      <w:pPr>
        <w:spacing w:after="0" w:line="85" w:lineRule="exact"/>
        <w:rPr>
          <w:sz w:val="20"/>
          <w:szCs w:val="20"/>
          <w:color w:val="auto"/>
        </w:rPr>
      </w:pPr>
    </w:p>
    <w:p>
      <w:pPr>
        <w:jc w:val="both"/>
        <w:ind w:firstLine="240"/>
        <w:spacing w:after="0" w:line="269" w:lineRule="auto"/>
        <w:rPr>
          <w:sz w:val="20"/>
          <w:szCs w:val="20"/>
          <w:color w:val="auto"/>
        </w:rPr>
      </w:pPr>
      <w:r>
        <w:rPr>
          <w:rFonts w:ascii="Times New Roman" w:cs="Times New Roman" w:eastAsia="Times New Roman" w:hAnsi="Times New Roman"/>
          <w:sz w:val="13"/>
          <w:szCs w:val="13"/>
          <w:color w:val="auto"/>
        </w:rPr>
        <w:t xml:space="preserve">Certain prior period amounts have been reclassified to conform with the current period presentation including reclassification of the Company’s proportional share of income in equity investments into operating income. See Note 3. </w:t>
      </w:r>
      <w:r>
        <w:rPr>
          <w:rFonts w:ascii="Times New Roman" w:cs="Times New Roman" w:eastAsia="Times New Roman" w:hAnsi="Times New Roman"/>
          <w:sz w:val="13"/>
          <w:szCs w:val="13"/>
          <w:i w:val="1"/>
          <w:iCs w:val="1"/>
          <w:color w:val="auto"/>
        </w:rPr>
        <w:t>Investment in Other Entities</w:t>
      </w:r>
      <w:r>
        <w:rPr>
          <w:rFonts w:ascii="Times New Roman" w:cs="Times New Roman" w:eastAsia="Times New Roman" w:hAnsi="Times New Roman"/>
          <w:sz w:val="13"/>
          <w:szCs w:val="13"/>
          <w:color w:val="auto"/>
        </w:rPr>
        <w:t xml:space="preserve"> for further discussion. The Company reclassified certain project development and start up costs as a separate line within Operating expenses, which were previously included in Cost of sales - RNG Fuel and Selling, general and administrative expenses. Please see the </w:t>
      </w:r>
      <w:r>
        <w:rPr>
          <w:rFonts w:ascii="Times New Roman" w:cs="Times New Roman" w:eastAsia="Times New Roman" w:hAnsi="Times New Roman"/>
          <w:sz w:val="13"/>
          <w:szCs w:val="13"/>
          <w:i w:val="1"/>
          <w:iCs w:val="1"/>
          <w:color w:val="auto"/>
        </w:rPr>
        <w:t>Project development and start up costs</w:t>
      </w:r>
      <w:r>
        <w:rPr>
          <w:rFonts w:ascii="Times New Roman" w:cs="Times New Roman" w:eastAsia="Times New Roman" w:hAnsi="Times New Roman"/>
          <w:sz w:val="13"/>
          <w:szCs w:val="13"/>
          <w:color w:val="auto"/>
        </w:rPr>
        <w:t xml:space="preserve"> section within Note 2. Additionally, the Company also reclassified certain Asset retirement obligations from current to non-current.</w:t>
      </w:r>
    </w:p>
    <w:p>
      <w:pPr>
        <w:spacing w:after="0" w:line="70" w:lineRule="exact"/>
        <w:rPr>
          <w:sz w:val="20"/>
          <w:szCs w:val="20"/>
          <w:color w:val="auto"/>
        </w:rPr>
      </w:pPr>
    </w:p>
    <w:p>
      <w:pPr>
        <w:jc w:val="both"/>
        <w:ind w:firstLine="480"/>
        <w:spacing w:after="0" w:line="269" w:lineRule="auto"/>
        <w:rPr>
          <w:sz w:val="20"/>
          <w:szCs w:val="20"/>
          <w:color w:val="auto"/>
        </w:rPr>
      </w:pPr>
      <w:r>
        <w:rPr>
          <w:rFonts w:ascii="Times New Roman" w:cs="Times New Roman" w:eastAsia="Times New Roman" w:hAnsi="Times New Roman"/>
          <w:sz w:val="13"/>
          <w:szCs w:val="13"/>
          <w:color w:val="auto"/>
        </w:rPr>
        <w:t>The information included in this quarterly report should be read in conjunction with the Company's audited consolidated financial statements and notes thereto included in the Company’s Annual Report on Form 10-K for the fiscal year ended December 31, 2023 as the interim disclosures generally do not repeat those in the annual financial statements. In the opinion of management, the Company's financial statements include all normal and recurring adjustments necessary in order to make the financial statements not misleading and to provide a fair presentation of the Company's financial results for the interim periods included in this Quarterly Report.</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161290</wp:posOffset>
            </wp:positionV>
            <wp:extent cx="7193280"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204"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3"/>
          <w:szCs w:val="13"/>
          <w:b w:val="1"/>
          <w:bCs w:val="1"/>
          <w:color w:val="auto"/>
        </w:rPr>
        <w:t>Variable Interest Entities</w:t>
      </w:r>
    </w:p>
    <w:p>
      <w:pPr>
        <w:spacing w:after="0" w:line="115"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3"/>
          <w:szCs w:val="13"/>
          <w:color w:val="auto"/>
        </w:rPr>
        <w:t>Our policy is to consolidate all entities that we control by ownership of a majority of the outstanding voting stock. In addition, we consolidate entities that meet the definition of a VIE for which we are the primary beneficiary. The Company applies the VIE model from ASC 810 when the Company has a variable interest in a legal entity not subject to a scope exception and the entity meets any of the five characteristics of a VIE. The primary beneficiary of a VIE is considered to be the party that both possesses the power to direct the activities of the entity that most significantly impact the entity’s economic performance and has the obligation to absorb losses or the rights to receive benefits of the VIE that could be significant to the VIE. To the extent a VIE is not consolidated, the Company evaluates its interest for application of the equity method of accounting. Equity method investments are included in the condensed consolidated balance sheets as “Investments in other entities.” Investments in unconsolidated entities in which the Company has influence over the operating or financial decisions are accounted for under the equity method.</w:t>
      </w:r>
    </w:p>
    <w:p>
      <w:pPr>
        <w:spacing w:after="0" w:line="84" w:lineRule="exact"/>
        <w:rPr>
          <w:sz w:val="20"/>
          <w:szCs w:val="20"/>
          <w:color w:val="auto"/>
        </w:rPr>
      </w:pPr>
    </w:p>
    <w:p>
      <w:pPr>
        <w:jc w:val="both"/>
        <w:ind w:firstLine="240"/>
        <w:spacing w:after="0" w:line="294" w:lineRule="auto"/>
        <w:rPr>
          <w:sz w:val="20"/>
          <w:szCs w:val="20"/>
          <w:color w:val="auto"/>
        </w:rPr>
      </w:pPr>
      <w:r>
        <w:rPr>
          <w:rFonts w:ascii="Times New Roman" w:cs="Times New Roman" w:eastAsia="Times New Roman" w:hAnsi="Times New Roman"/>
          <w:sz w:val="13"/>
          <w:szCs w:val="13"/>
          <w:color w:val="auto"/>
        </w:rPr>
        <w:t>As of March 31, 2024, the Company accounted for its ownership interests in Pine Bend RNG LLC ("Pine Bend"), Noble Road RNG LLC ("Noble Road"), Emerald RNG LLC ("Emerald"), Sapphire RNG LLC ("Sapphire"), Paragon RNG LLC ("Paragon"), Land2Gas LLC (the "SJI Joint Venture" (RNG Atlantic and RNG Burlington)) and GREP BTB Holdings LLC ("GREP") under the equity method.</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Use of estimates</w:t>
      </w:r>
    </w:p>
    <w:p>
      <w:pPr>
        <w:spacing w:after="0" w:line="113" w:lineRule="exact"/>
        <w:rPr>
          <w:sz w:val="20"/>
          <w:szCs w:val="20"/>
          <w:color w:val="auto"/>
        </w:rPr>
      </w:pPr>
    </w:p>
    <w:p>
      <w:pPr>
        <w:jc w:val="both"/>
        <w:ind w:firstLine="240"/>
        <w:spacing w:after="0" w:line="266" w:lineRule="auto"/>
        <w:rPr>
          <w:sz w:val="20"/>
          <w:szCs w:val="20"/>
          <w:color w:val="auto"/>
        </w:rPr>
      </w:pPr>
      <w:r>
        <w:rPr>
          <w:rFonts w:ascii="Times New Roman" w:cs="Times New Roman" w:eastAsia="Times New Roman" w:hAnsi="Times New Roman"/>
          <w:sz w:val="13"/>
          <w:szCs w:val="13"/>
          <w:color w:val="auto"/>
        </w:rPr>
        <w:t>The preparation of condensed consolidated financial statements in conformity with U.S. GAAP requires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 Actual results could differ from those estimates. The significant estimates and assumptions of the Company include the residual value of the useful lives of our property, plant and equipment, the fair value of stock-based compensation, asset retirement obligations, the estimated losses on our trade receivables, percentage completion for revenue recognition, incremental borrowing rate for calculating the right-of-use lease assets and lease liabilities, the impairment assessment of goodwill and the fair value of derivative instruments. Actual results could differ from those estimates.</w:t>
      </w:r>
    </w:p>
    <w:p>
      <w:pPr>
        <w:spacing w:after="0" w:line="8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 results of operations for the interim periods presented are not necessarily indicative of the results that may be expected for the entire year.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Accounting Pronouncements Not Yet Adopted</w:t>
      </w:r>
    </w:p>
    <w:p>
      <w:pPr>
        <w:spacing w:after="0" w:line="115" w:lineRule="exact"/>
        <w:rPr>
          <w:sz w:val="20"/>
          <w:szCs w:val="20"/>
          <w:color w:val="auto"/>
        </w:rPr>
      </w:pPr>
    </w:p>
    <w:p>
      <w:pPr>
        <w:jc w:val="both"/>
        <w:ind w:firstLine="480"/>
        <w:spacing w:after="0" w:line="263" w:lineRule="auto"/>
        <w:rPr>
          <w:sz w:val="20"/>
          <w:szCs w:val="20"/>
          <w:color w:val="auto"/>
        </w:rPr>
      </w:pPr>
      <w:r>
        <w:rPr>
          <w:rFonts w:ascii="Times New Roman" w:cs="Times New Roman" w:eastAsia="Times New Roman" w:hAnsi="Times New Roman"/>
          <w:sz w:val="13"/>
          <w:szCs w:val="13"/>
          <w:color w:val="auto"/>
        </w:rPr>
        <w:t>In November 2023, the FASB issued Accounting Standards Update No. 2023-07, Segment Reporting (Topic 280) ("ASU 2023-07"). The update improves the reportable segment disclosure requirements by requiring all entities to disclose significant segment expenses that are regularly provided to the chief operating decision maker (CODM), report other segment items (segment revenue less the significant expenses disclosed and profit or loss) by reportable segment, title and position of the CODM and an explanation of how the CODM uses the reported measure of segment profit or loss in assessing segment performance and deciding how to allocate resources. Additionally, ASU 2023-07 requires that if the CODM uses more than one measure of a segment's net income or loss in assessing segment performance and deciding how to allocate resources, the entity may report one or more of those additional measures. ASU 2023-07 is effective for fiscal years beginning after December 15, 2023 and interim periods within fiscal years beginning after December 15, 2024 and should be applied retrospectively for all periods presented. The Company expects to report significant operating expenses by segment and other additional disclosures the Company is currently evaluating, upon adoption of ASU 2023-07 in its consolidated financial statements.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Emerging Growth Company Status</w:t>
      </w:r>
    </w:p>
    <w:p>
      <w:pPr>
        <w:spacing w:after="0" w:line="125" w:lineRule="exact"/>
        <w:rPr>
          <w:sz w:val="20"/>
          <w:szCs w:val="20"/>
          <w:color w:val="auto"/>
        </w:rPr>
      </w:pPr>
    </w:p>
    <w:p>
      <w:pPr>
        <w:jc w:val="both"/>
        <w:ind w:firstLine="240"/>
        <w:spacing w:after="0" w:line="266" w:lineRule="auto"/>
        <w:rPr>
          <w:sz w:val="20"/>
          <w:szCs w:val="20"/>
          <w:color w:val="auto"/>
        </w:rPr>
      </w:pPr>
      <w:r>
        <w:rPr>
          <w:rFonts w:ascii="Times New Roman" w:cs="Times New Roman" w:eastAsia="Times New Roman" w:hAnsi="Times New Roman"/>
          <w:sz w:val="13"/>
          <w:szCs w:val="13"/>
          <w:color w:val="auto"/>
        </w:rPr>
        <w:t>We are an emerging growth company as defined in the JOBS Act. The JOBS Act provides emerging growth companies with certain exemptions from public company reporting requirements for up to five fiscal years while a company remains an emerging growth company. As part of these exemptions, we need only provide two fiscal years of audited financial statements instead of three, we have reduced disclosure obligations such as for executive compensation, and we are not required to comply with auditor attestation requirements from Section 404(b) of the Sarbanes-Oxley Act regarding our internal control over financial reporting. Additionally, the JOBS Act has allowed us the option to delay adoption of new or revised financial accounting standards until private companies are required to comply with new or revised financial accounting standards.</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161290</wp:posOffset>
            </wp:positionV>
            <wp:extent cx="7193280"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314"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3"/>
          <w:szCs w:val="13"/>
          <w:b w:val="1"/>
          <w:bCs w:val="1"/>
          <w:color w:val="auto"/>
        </w:rPr>
        <w:t>Cash, Cash Equivalents, and Restricted Cash</w:t>
      </w:r>
    </w:p>
    <w:p>
      <w:pPr>
        <w:spacing w:after="0" w:line="12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Cash, cash equivalents, and restricted cash consisted of the following as of March 31, 2024 and December 31, 2023:</w:t>
      </w:r>
    </w:p>
    <w:p>
      <w:pPr>
        <w:sectPr>
          <w:pgSz w:w="11900" w:h="16838" w:orient="portrait"/>
          <w:cols w:equalWidth="0" w:num="1">
            <w:col w:w="11280"/>
          </w:cols>
          <w:pgMar w:left="300" w:top="1364" w:right="319" w:bottom="1440" w:gutter="0" w:footer="0" w:header="0"/>
        </w:sectPr>
      </w:pPr>
    </w:p>
    <w:p>
      <w:pPr>
        <w:spacing w:after="0" w:line="200" w:lineRule="exact"/>
        <w:rPr>
          <w:sz w:val="20"/>
          <w:szCs w:val="20"/>
          <w:color w:val="auto"/>
        </w:rPr>
      </w:pPr>
    </w:p>
    <w:p>
      <w:pPr>
        <w:spacing w:after="0" w:line="30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color w:val="auto"/>
        </w:rPr>
        <w:t>Current assets:</w:t>
      </w:r>
    </w:p>
    <w:p>
      <w:pPr>
        <w:spacing w:after="0" w:line="4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color w:val="auto"/>
        </w:rPr>
        <w:t>Cash and cash equivalents</w:t>
      </w:r>
    </w:p>
    <w:p>
      <w:pPr>
        <w:spacing w:after="0" w:line="4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color w:val="auto"/>
        </w:rPr>
        <w:t xml:space="preserve">Restricted cash - current </w:t>
      </w:r>
      <w:r>
        <w:rPr>
          <w:rFonts w:ascii="Times New Roman" w:cs="Times New Roman" w:eastAsia="Times New Roman" w:hAnsi="Times New Roman"/>
          <w:sz w:val="15"/>
          <w:szCs w:val="15"/>
          <w:color w:val="auto"/>
          <w:vertAlign w:val="superscript"/>
        </w:rPr>
        <w:t>(1)</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color w:val="auto"/>
        </w:rPr>
        <w:t>Long-term assets:</w:t>
      </w:r>
    </w:p>
    <w:p>
      <w:pPr>
        <w:spacing w:after="0" w:line="3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2"/>
          <w:szCs w:val="12"/>
          <w:color w:val="auto"/>
        </w:rPr>
        <w:t xml:space="preserve">Restricted cash held as collateral </w:t>
      </w:r>
      <w:r>
        <w:rPr>
          <w:rFonts w:ascii="Times New Roman" w:cs="Times New Roman" w:eastAsia="Times New Roman" w:hAnsi="Times New Roman"/>
          <w:sz w:val="15"/>
          <w:szCs w:val="15"/>
          <w:color w:val="auto"/>
          <w:vertAlign w:val="superscript"/>
        </w:rPr>
        <w:t>(2)</w:t>
      </w:r>
    </w:p>
    <w:p>
      <w:pPr>
        <w:spacing w:after="0" w:line="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1"/>
          <w:szCs w:val="11"/>
          <w:color w:val="auto"/>
        </w:rPr>
        <w:t>Total cash, cash equivalents, and restricted cash</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0"/>
        </w:trPr>
        <w:tc>
          <w:tcPr>
            <w:tcW w:w="280" w:type="dxa"/>
            <w:vAlign w:val="bottom"/>
          </w:tcPr>
          <w:p>
            <w:pPr>
              <w:spacing w:after="0"/>
              <w:rPr>
                <w:sz w:val="12"/>
                <w:szCs w:val="12"/>
                <w:color w:val="auto"/>
              </w:rPr>
            </w:pPr>
          </w:p>
        </w:tc>
        <w:tc>
          <w:tcPr>
            <w:tcW w:w="1300" w:type="dxa"/>
            <w:vAlign w:val="bottom"/>
            <w:gridSpan w:val="2"/>
          </w:tcPr>
          <w:p>
            <w:pPr>
              <w:ind w:left="200"/>
              <w:spacing w:after="0"/>
              <w:rPr>
                <w:sz w:val="20"/>
                <w:szCs w:val="20"/>
                <w:color w:val="auto"/>
              </w:rPr>
            </w:pPr>
            <w:r>
              <w:rPr>
                <w:rFonts w:ascii="Times New Roman" w:cs="Times New Roman" w:eastAsia="Times New Roman" w:hAnsi="Times New Roman"/>
                <w:sz w:val="12"/>
                <w:szCs w:val="12"/>
                <w:b w:val="1"/>
                <w:bCs w:val="1"/>
                <w:color w:val="auto"/>
              </w:rPr>
              <w:t>March 31,</w:t>
            </w:r>
          </w:p>
        </w:tc>
        <w:tc>
          <w:tcPr>
            <w:tcW w:w="240" w:type="dxa"/>
            <w:vAlign w:val="bottom"/>
          </w:tcPr>
          <w:p>
            <w:pPr>
              <w:spacing w:after="0"/>
              <w:rPr>
                <w:sz w:val="12"/>
                <w:szCs w:val="12"/>
                <w:color w:val="auto"/>
              </w:rPr>
            </w:pPr>
          </w:p>
        </w:tc>
        <w:tc>
          <w:tcPr>
            <w:tcW w:w="1240" w:type="dxa"/>
            <w:vAlign w:val="bottom"/>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December 31,</w:t>
            </w:r>
          </w:p>
        </w:tc>
      </w:tr>
      <w:tr>
        <w:trPr>
          <w:trHeight w:val="159"/>
        </w:trPr>
        <w:tc>
          <w:tcPr>
            <w:tcW w:w="280" w:type="dxa"/>
            <w:vAlign w:val="bottom"/>
          </w:tcPr>
          <w:p>
            <w:pPr>
              <w:spacing w:after="0"/>
              <w:rPr>
                <w:sz w:val="13"/>
                <w:szCs w:val="13"/>
                <w:color w:val="auto"/>
              </w:rPr>
            </w:pPr>
          </w:p>
        </w:tc>
        <w:tc>
          <w:tcPr>
            <w:tcW w:w="1200" w:type="dxa"/>
            <w:vAlign w:val="bottom"/>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2024</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2023</w:t>
            </w:r>
          </w:p>
        </w:tc>
      </w:tr>
      <w:tr>
        <w:trPr>
          <w:trHeight w:val="24"/>
        </w:trPr>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316"/>
        </w:trPr>
        <w:tc>
          <w:tcPr>
            <w:tcW w:w="28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28,207</w:t>
            </w:r>
          </w:p>
        </w:tc>
        <w:tc>
          <w:tcPr>
            <w:tcW w:w="100" w:type="dxa"/>
            <w:vAlign w:val="bottom"/>
          </w:tcPr>
          <w:p>
            <w:pPr>
              <w:spacing w:after="0"/>
              <w:rPr>
                <w:sz w:val="24"/>
                <w:szCs w:val="24"/>
                <w:color w:val="auto"/>
              </w:rPr>
            </w:pPr>
          </w:p>
        </w:tc>
        <w:tc>
          <w:tcPr>
            <w:tcW w:w="2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38,348</w:t>
            </w:r>
          </w:p>
        </w:tc>
      </w:tr>
      <w:tr>
        <w:trPr>
          <w:trHeight w:val="200"/>
        </w:trPr>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4,395</w:t>
            </w:r>
          </w:p>
        </w:tc>
      </w:tr>
      <w:tr>
        <w:trPr>
          <w:trHeight w:val="340"/>
        </w:trPr>
        <w:tc>
          <w:tcPr>
            <w:tcW w:w="2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3,477</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4,499</w:t>
            </w:r>
          </w:p>
        </w:tc>
      </w:tr>
      <w:tr>
        <w:trPr>
          <w:trHeight w:val="24"/>
        </w:trPr>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46"/>
        </w:trPr>
        <w:tc>
          <w:tcPr>
            <w:tcW w:w="28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32,696</w:t>
            </w:r>
          </w:p>
        </w:tc>
        <w:tc>
          <w:tcPr>
            <w:tcW w:w="100" w:type="dxa"/>
            <w:vAlign w:val="bottom"/>
          </w:tcPr>
          <w:p>
            <w:pPr>
              <w:spacing w:after="0"/>
              <w:rPr>
                <w:sz w:val="12"/>
                <w:szCs w:val="12"/>
                <w:color w:val="auto"/>
              </w:rPr>
            </w:pPr>
          </w:p>
        </w:tc>
        <w:tc>
          <w:tcPr>
            <w:tcW w:w="2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47,242</w:t>
            </w:r>
          </w:p>
        </w:tc>
      </w:tr>
      <w:tr>
        <w:trPr>
          <w:trHeight w:val="24"/>
        </w:trPr>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-4304665</wp:posOffset>
            </wp:positionH>
            <wp:positionV relativeFrom="paragraph">
              <wp:posOffset>-717550</wp:posOffset>
            </wp:positionV>
            <wp:extent cx="6252845" cy="1143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52845" cy="114300"/>
                    </a:xfrm>
                    <a:prstGeom prst="rect">
                      <a:avLst/>
                    </a:prstGeom>
                    <a:noFill/>
                  </pic:spPr>
                </pic:pic>
              </a:graphicData>
            </a:graphic>
          </wp:anchor>
        </w:drawing>
        <w:drawing>
          <wp:anchor simplePos="0" relativeHeight="251657728" behindDoc="1" locked="0" layoutInCell="0" allowOverlap="1">
            <wp:simplePos x="0" y="0"/>
            <wp:positionH relativeFrom="column">
              <wp:posOffset>-4304665</wp:posOffset>
            </wp:positionH>
            <wp:positionV relativeFrom="paragraph">
              <wp:posOffset>-488950</wp:posOffset>
            </wp:positionV>
            <wp:extent cx="6252845" cy="1143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52845" cy="114300"/>
                    </a:xfrm>
                    <a:prstGeom prst="rect">
                      <a:avLst/>
                    </a:prstGeom>
                    <a:noFill/>
                  </pic:spPr>
                </pic:pic>
              </a:graphicData>
            </a:graphic>
          </wp:anchor>
        </w:drawing>
        <w:drawing>
          <wp:anchor simplePos="0" relativeHeight="251657728" behindDoc="1" locked="0" layoutInCell="0" allowOverlap="1">
            <wp:simplePos x="0" y="0"/>
            <wp:positionH relativeFrom="column">
              <wp:posOffset>-4304665</wp:posOffset>
            </wp:positionH>
            <wp:positionV relativeFrom="paragraph">
              <wp:posOffset>-259715</wp:posOffset>
            </wp:positionV>
            <wp:extent cx="6252845" cy="1143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52845" cy="114300"/>
                    </a:xfrm>
                    <a:prstGeom prst="rect">
                      <a:avLst/>
                    </a:prstGeom>
                    <a:noFill/>
                  </pic:spPr>
                </pic:pic>
              </a:graphicData>
            </a:graphic>
          </wp:anchor>
        </w:drawing>
      </w:r>
    </w:p>
    <w:p>
      <w:pPr>
        <w:spacing w:after="0" w:line="187" w:lineRule="exact"/>
        <w:rPr>
          <w:sz w:val="20"/>
          <w:szCs w:val="20"/>
          <w:color w:val="auto"/>
        </w:rPr>
      </w:pPr>
    </w:p>
    <w:p>
      <w:pPr>
        <w:sectPr>
          <w:pgSz w:w="11900" w:h="16838" w:orient="portrait"/>
          <w:cols w:equalWidth="0" w:num="2">
            <w:col w:w="6300" w:space="720"/>
            <w:col w:w="4260"/>
          </w:cols>
          <w:pgMar w:left="300" w:top="1364" w:right="319" w:bottom="1440" w:gutter="0" w:footer="0" w:header="0"/>
          <w:type w:val="continuous"/>
        </w:sectPr>
      </w:pPr>
    </w:p>
    <w:p>
      <w:pPr>
        <w:ind w:firstLine="240"/>
        <w:spacing w:after="0" w:line="279" w:lineRule="auto"/>
        <w:tabs>
          <w:tab w:leader="none" w:pos="363" w:val="left"/>
        </w:tabs>
        <w:numPr>
          <w:ilvl w:val="0"/>
          <w:numId w:val="6"/>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2"/>
          <w:szCs w:val="12"/>
          <w:color w:val="auto"/>
        </w:rPr>
        <w:t>Restricted cash - current as of March 31, 2024 consists of $1,012 related to debt reserve on Sunoma Loan. Restricted cash - current as of December 31, 2023 consists of $3,361 related to debt reserve on Sunoma Loan and $1,034 relates to deposit on our interconnections payments.</w:t>
      </w:r>
    </w:p>
    <w:p>
      <w:pPr>
        <w:spacing w:after="0" w:line="46" w:lineRule="exact"/>
        <w:rPr>
          <w:rFonts w:ascii="Times New Roman" w:cs="Times New Roman" w:eastAsia="Times New Roman" w:hAnsi="Times New Roman"/>
          <w:sz w:val="15"/>
          <w:szCs w:val="15"/>
          <w:color w:val="auto"/>
          <w:vertAlign w:val="superscript"/>
        </w:rPr>
      </w:pPr>
    </w:p>
    <w:p>
      <w:pPr>
        <w:ind w:left="380" w:hanging="140"/>
        <w:spacing w:after="0"/>
        <w:tabs>
          <w:tab w:leader="none" w:pos="380" w:val="left"/>
        </w:tabs>
        <w:numPr>
          <w:ilvl w:val="0"/>
          <w:numId w:val="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Restricted cash held as collateral represents the collateral requirements on our debt facilities.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Short term investments</w:t>
      </w:r>
    </w:p>
    <w:p>
      <w:pPr>
        <w:spacing w:after="0" w:line="125" w:lineRule="exact"/>
        <w:rPr>
          <w:sz w:val="20"/>
          <w:szCs w:val="20"/>
          <w:color w:val="auto"/>
        </w:rPr>
      </w:pPr>
    </w:p>
    <w:p>
      <w:pPr>
        <w:jc w:val="both"/>
        <w:ind w:firstLine="480"/>
        <w:spacing w:after="0" w:line="275" w:lineRule="auto"/>
        <w:rPr>
          <w:sz w:val="20"/>
          <w:szCs w:val="20"/>
          <w:color w:val="auto"/>
        </w:rPr>
      </w:pPr>
      <w:r>
        <w:rPr>
          <w:rFonts w:ascii="Times New Roman" w:cs="Times New Roman" w:eastAsia="Times New Roman" w:hAnsi="Times New Roman"/>
          <w:sz w:val="13"/>
          <w:szCs w:val="13"/>
          <w:color w:val="auto"/>
        </w:rPr>
        <w:t>The Company considers highly liquid investments such as time deposits and certificates of deposit with an original maturity greater than three months at the time of purchase to be short term investments. The Short term investments of $5,975 and $9,875 as of March 31, 2024 and December 31, 2023, respectively, consists of cash invested in commercial paper with maturities ranging between 1 and 12 months as of the reporting date. The amounts in these accounts are liquid and available for general use.</w:t>
      </w:r>
    </w:p>
    <w:p>
      <w:pPr>
        <w:spacing w:after="0" w:line="77" w:lineRule="exact"/>
        <w:rPr>
          <w:sz w:val="20"/>
          <w:szCs w:val="20"/>
          <w:color w:val="auto"/>
        </w:rPr>
      </w:pPr>
    </w:p>
    <w:p>
      <w:pPr>
        <w:jc w:val="both"/>
        <w:ind w:firstLine="480"/>
        <w:spacing w:after="0" w:line="294" w:lineRule="auto"/>
        <w:rPr>
          <w:sz w:val="20"/>
          <w:szCs w:val="20"/>
          <w:color w:val="auto"/>
        </w:rPr>
      </w:pPr>
      <w:r>
        <w:rPr>
          <w:rFonts w:ascii="Times New Roman" w:cs="Times New Roman" w:eastAsia="Times New Roman" w:hAnsi="Times New Roman"/>
          <w:sz w:val="13"/>
          <w:szCs w:val="13"/>
          <w:color w:val="auto"/>
        </w:rPr>
        <w:t>Our short term investments are generally invested in commercial paper issued by highly credit worthy counter parties and government backed treasury bills. Investments are generally not FDIC insured and we take counter party risk on these investments.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Earnout Liabilities</w:t>
      </w:r>
    </w:p>
    <w:p>
      <w:pPr>
        <w:spacing w:after="0" w:line="175" w:lineRule="exact"/>
        <w:rPr>
          <w:sz w:val="20"/>
          <w:szCs w:val="20"/>
          <w:color w:val="auto"/>
        </w:rPr>
      </w:pPr>
    </w:p>
    <w:p>
      <w:pPr>
        <w:jc w:val="both"/>
        <w:ind w:firstLine="240"/>
        <w:spacing w:after="0" w:line="263" w:lineRule="auto"/>
        <w:rPr>
          <w:sz w:val="20"/>
          <w:szCs w:val="20"/>
          <w:color w:val="auto"/>
        </w:rPr>
      </w:pPr>
      <w:r>
        <w:rPr>
          <w:rFonts w:ascii="Times New Roman" w:cs="Times New Roman" w:eastAsia="Times New Roman" w:hAnsi="Times New Roman"/>
          <w:sz w:val="13"/>
          <w:szCs w:val="13"/>
          <w:color w:val="auto"/>
        </w:rPr>
        <w:t>In connection with the Business Combination and pursuant to a sponsor letter agreement, the Sponsor agreed to subject 10% of its Class A common stock (received as a result of the conversion of its ArcLight Class B ordinary shares immediately prior to the closing) to vesting and forfeiture conditions relating to VWAP targets for the Company's Class A common stock sustained over a period of 60 months following the closing. OPAL Fuels equity holders are eligible to receive an aggregate of 10,000,000 shares of Class B and Class D common stock upon the Company achieving each earn-out event during the earn-out period. The Earnout Awards were recognized at fair value on the closing date and classified as a liability which is remeasured at each balance sheet date and any change in fair value is recognized in the Company's condensed consolidated statement of operations as part of change in fair value of derivative instruments, net. For the three months ended March 31, 2024 and 2023, the Company recorded a gain of $403 and $4,310, respectively, in its condensed consolidated statements of operations. As of March 31, 2024 and December 31, 2023, the Company recorded earnout liabilities of $1,497 and $1,900, respectively, on its condensed consolidated balance sheets.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Redeemable non-controlling interests</w:t>
      </w:r>
    </w:p>
    <w:p>
      <w:pPr>
        <w:spacing w:after="0" w:line="175" w:lineRule="exact"/>
        <w:rPr>
          <w:sz w:val="20"/>
          <w:szCs w:val="20"/>
          <w:color w:val="auto"/>
        </w:rPr>
      </w:pPr>
    </w:p>
    <w:p>
      <w:pPr>
        <w:jc w:val="both"/>
        <w:ind w:firstLine="480"/>
        <w:spacing w:after="0" w:line="275" w:lineRule="auto"/>
        <w:rPr>
          <w:sz w:val="20"/>
          <w:szCs w:val="20"/>
          <w:color w:val="auto"/>
        </w:rPr>
      </w:pPr>
      <w:r>
        <w:rPr>
          <w:rFonts w:ascii="Times New Roman" w:cs="Times New Roman" w:eastAsia="Times New Roman" w:hAnsi="Times New Roman"/>
          <w:sz w:val="13"/>
          <w:szCs w:val="13"/>
          <w:color w:val="auto"/>
        </w:rPr>
        <w:t>Redeemable non-controlling interests represent the portion of OPAL Fuels that the Company controls and consolidates but does not own. The Redeemable non-controlling interest was created as a result of the Business Combination and represents 144,399,037 Class B Units issued by OPAL Fuels to the prior investors. The Company allocates net income or loss attributable to Redeemable non-controlling interest based on weighted average ownership interest during the period. The net income or loss attributable to Redeemable non-controlling interests is reflected in the condensed consolidated statement of operations.</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161290</wp:posOffset>
            </wp:positionV>
            <wp:extent cx="7193280"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364" w:right="319" w:bottom="1440" w:gutter="0" w:footer="0" w:header="0"/>
          <w:type w:val="continuous"/>
        </w:sectPr>
      </w:pPr>
    </w:p>
    <w:bookmarkStart w:id="15" w:name="page16"/>
    <w:bookmarkEnd w:id="15"/>
    <w:p>
      <w:pPr>
        <w:ind w:left="480"/>
        <w:spacing w:after="0"/>
        <w:rPr>
          <w:sz w:val="20"/>
          <w:szCs w:val="20"/>
          <w:color w:val="auto"/>
        </w:rPr>
      </w:pPr>
      <w:r>
        <w:rPr>
          <w:rFonts w:ascii="Times New Roman" w:cs="Times New Roman" w:eastAsia="Times New Roman" w:hAnsi="Times New Roman"/>
          <w:sz w:val="13"/>
          <w:szCs w:val="13"/>
          <w:color w:val="auto"/>
        </w:rPr>
        <w:t>At each balance sheet date, the mezzanine equity classified Redeemable non-controlling interests is adjusted up to their maximum redemption value if necessary, with an offset in Stockholders' equity.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As of March 31, 2024, the maximum redemption value was $705,190.</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Project development and start up costs</w:t>
      </w:r>
    </w:p>
    <w:p>
      <w:pPr>
        <w:spacing w:after="0" w:line="175" w:lineRule="exact"/>
        <w:rPr>
          <w:sz w:val="20"/>
          <w:szCs w:val="20"/>
          <w:color w:val="auto"/>
        </w:rPr>
      </w:pPr>
    </w:p>
    <w:p>
      <w:pPr>
        <w:jc w:val="both"/>
        <w:ind w:firstLine="480"/>
        <w:spacing w:after="0" w:line="266" w:lineRule="auto"/>
        <w:rPr>
          <w:sz w:val="20"/>
          <w:szCs w:val="20"/>
          <w:color w:val="auto"/>
        </w:rPr>
      </w:pPr>
      <w:r>
        <w:rPr>
          <w:rFonts w:ascii="Times New Roman" w:cs="Times New Roman" w:eastAsia="Times New Roman" w:hAnsi="Times New Roman"/>
          <w:sz w:val="13"/>
          <w:szCs w:val="13"/>
          <w:color w:val="auto"/>
        </w:rPr>
        <w:t>The Company has multiple RNG projects under construction for which the Company incurs certain development costs such as legal, consulting fees for joint venture structuring, royalties to the landfill owner, fines, settlements, site lease expenses and certification costs. Additionally, the Company also incurs certain expenses on new RNG projects that started operating for the first two years such as virtual pipeline costs (trucking costs incurred until a physical pipeline is connected) and ramp up costs. These costs are temporary and non-recurring over the project lifetime. Historically, the Company included these expenses in Cost of sales - RNG Fuel and Selling, general and administrative expenses with no associated revenues. For the three months ended March 31, 2024 and 2023, the Company is presenting these expenses in a separate line within operating expenses to provide additional information to the readers of the financial statements regarding the ongoing profitability of our RNG projects in operation.</w:t>
      </w:r>
    </w:p>
    <w:p>
      <w:pPr>
        <w:spacing w:after="0" w:line="13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The following table provides information on the types of expenses classified under this expense category:</w:t>
      </w:r>
    </w:p>
    <w:p>
      <w:pPr>
        <w:spacing w:after="0" w:line="211" w:lineRule="exact"/>
        <w:rPr>
          <w:sz w:val="20"/>
          <w:szCs w:val="20"/>
          <w:color w:val="auto"/>
        </w:rPr>
      </w:pPr>
    </w:p>
    <w:tbl>
      <w:tblPr>
        <w:tblLayout w:type="fixed"/>
        <w:tblInd w:w="480" w:type="dxa"/>
        <w:tblCellMar>
          <w:top w:w="0" w:type="dxa"/>
          <w:left w:w="0" w:type="dxa"/>
          <w:bottom w:w="0" w:type="dxa"/>
          <w:right w:w="0" w:type="dxa"/>
        </w:tblCellMar>
      </w:tblPr>
      <w:tr>
        <w:trPr>
          <w:trHeight w:val="166"/>
        </w:trPr>
        <w:tc>
          <w:tcPr>
            <w:tcW w:w="7600" w:type="dxa"/>
            <w:vAlign w:val="bottom"/>
          </w:tcPr>
          <w:p>
            <w:pPr>
              <w:spacing w:after="0"/>
              <w:rPr>
                <w:sz w:val="14"/>
                <w:szCs w:val="14"/>
                <w:color w:val="auto"/>
              </w:rPr>
            </w:pPr>
          </w:p>
        </w:tc>
        <w:tc>
          <w:tcPr>
            <w:tcW w:w="2600" w:type="dxa"/>
            <w:vAlign w:val="bottom"/>
            <w:tcBorders>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Three Months Ended March 31,</w:t>
            </w:r>
          </w:p>
        </w:tc>
        <w:tc>
          <w:tcPr>
            <w:tcW w:w="460" w:type="dxa"/>
            <w:vAlign w:val="bottom"/>
            <w:tcBorders>
              <w:bottom w:val="single" w:sz="8" w:color="auto"/>
            </w:tcBorders>
          </w:tcPr>
          <w:p>
            <w:pPr>
              <w:spacing w:after="0"/>
              <w:rPr>
                <w:sz w:val="14"/>
                <w:szCs w:val="14"/>
                <w:color w:val="auto"/>
              </w:rPr>
            </w:pPr>
          </w:p>
        </w:tc>
      </w:tr>
      <w:tr>
        <w:trPr>
          <w:trHeight w:val="156"/>
        </w:trPr>
        <w:tc>
          <w:tcPr>
            <w:tcW w:w="7600" w:type="dxa"/>
            <w:vAlign w:val="bottom"/>
          </w:tcPr>
          <w:p>
            <w:pPr>
              <w:spacing w:after="0"/>
              <w:rPr>
                <w:sz w:val="13"/>
                <w:szCs w:val="13"/>
                <w:color w:val="auto"/>
              </w:rPr>
            </w:pPr>
          </w:p>
        </w:tc>
        <w:tc>
          <w:tcPr>
            <w:tcW w:w="1060" w:type="dxa"/>
            <w:vAlign w:val="bottom"/>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2024</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2023</w:t>
            </w:r>
          </w:p>
        </w:tc>
        <w:tc>
          <w:tcPr>
            <w:tcW w:w="460" w:type="dxa"/>
            <w:vAlign w:val="bottom"/>
          </w:tcPr>
          <w:p>
            <w:pPr>
              <w:spacing w:after="0"/>
              <w:rPr>
                <w:sz w:val="13"/>
                <w:szCs w:val="13"/>
                <w:color w:val="auto"/>
              </w:rPr>
            </w:pPr>
          </w:p>
        </w:tc>
      </w:tr>
      <w:tr>
        <w:trPr>
          <w:trHeight w:val="21"/>
        </w:trPr>
        <w:tc>
          <w:tcPr>
            <w:tcW w:w="76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r>
        <w:trPr>
          <w:trHeight w:val="150"/>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Site lease expenses</w:t>
            </w:r>
          </w:p>
        </w:tc>
        <w:tc>
          <w:tcPr>
            <w:tcW w:w="1060" w:type="dxa"/>
            <w:vAlign w:val="bottom"/>
            <w:tcBorders>
              <w:bottom w:val="single" w:sz="8" w:color="CCEEFF"/>
            </w:tcBorders>
            <w:shd w:val="clear" w:color="auto" w:fill="CCEEFF"/>
          </w:tcPr>
          <w:p>
            <w:pPr>
              <w:jc w:val="right"/>
              <w:ind w:right="920"/>
              <w:spacing w:after="0"/>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275</w:t>
            </w:r>
          </w:p>
        </w:tc>
        <w:tc>
          <w:tcPr>
            <w:tcW w:w="10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jc w:val="right"/>
              <w:ind w:right="880"/>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254</w:t>
            </w:r>
          </w:p>
        </w:tc>
      </w:tr>
      <w:tr>
        <w:trPr>
          <w:trHeight w:val="156"/>
        </w:trPr>
        <w:tc>
          <w:tcPr>
            <w:tcW w:w="76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Legal and professional fees</w:t>
            </w:r>
          </w:p>
        </w:tc>
        <w:tc>
          <w:tcPr>
            <w:tcW w:w="10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288</w:t>
            </w: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275</w:t>
            </w:r>
          </w:p>
        </w:tc>
      </w:tr>
      <w:tr>
        <w:trPr>
          <w:trHeight w:val="24"/>
        </w:trPr>
        <w:tc>
          <w:tcPr>
            <w:tcW w:w="7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160"/>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Royalties</w:t>
            </w:r>
          </w:p>
        </w:tc>
        <w:tc>
          <w:tcPr>
            <w:tcW w:w="106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500</w:t>
            </w:r>
          </w:p>
        </w:tc>
      </w:tr>
      <w:tr>
        <w:trPr>
          <w:trHeight w:val="156"/>
        </w:trPr>
        <w:tc>
          <w:tcPr>
            <w:tcW w:w="76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Virtual pipeline costs</w:t>
            </w:r>
          </w:p>
        </w:tc>
        <w:tc>
          <w:tcPr>
            <w:tcW w:w="10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119</w:t>
            </w: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700</w:t>
            </w:r>
          </w:p>
        </w:tc>
      </w:tr>
      <w:tr>
        <w:trPr>
          <w:trHeight w:val="24"/>
        </w:trPr>
        <w:tc>
          <w:tcPr>
            <w:tcW w:w="7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18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 xml:space="preserve">Management services </w:t>
            </w:r>
            <w:r>
              <w:rPr>
                <w:rFonts w:ascii="Times New Roman" w:cs="Times New Roman" w:eastAsia="Times New Roman" w:hAnsi="Times New Roman"/>
                <w:sz w:val="15"/>
                <w:szCs w:val="15"/>
                <w:color w:val="auto"/>
                <w:vertAlign w:val="superscript"/>
              </w:rPr>
              <w:t>(1)</w:t>
            </w:r>
          </w:p>
        </w:tc>
        <w:tc>
          <w:tcPr>
            <w:tcW w:w="106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126</w:t>
            </w:r>
          </w:p>
        </w:tc>
      </w:tr>
      <w:tr>
        <w:trPr>
          <w:trHeight w:val="156"/>
        </w:trPr>
        <w:tc>
          <w:tcPr>
            <w:tcW w:w="76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Other</w:t>
            </w:r>
          </w:p>
        </w:tc>
        <w:tc>
          <w:tcPr>
            <w:tcW w:w="10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w:t>
            </w: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w:t>
            </w:r>
          </w:p>
        </w:tc>
      </w:tr>
      <w:tr>
        <w:trPr>
          <w:trHeight w:val="24"/>
        </w:trPr>
        <w:tc>
          <w:tcPr>
            <w:tcW w:w="76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193"/>
        </w:trPr>
        <w:tc>
          <w:tcPr>
            <w:tcW w:w="76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Total Project development and startup costs</w:t>
            </w:r>
          </w:p>
        </w:tc>
        <w:tc>
          <w:tcPr>
            <w:tcW w:w="1060" w:type="dxa"/>
            <w:vAlign w:val="bottom"/>
            <w:tcBorders>
              <w:bottom w:val="single" w:sz="8" w:color="auto"/>
            </w:tcBorders>
            <w:shd w:val="clear" w:color="auto" w:fill="CCEEFF"/>
          </w:tcPr>
          <w:p>
            <w:pPr>
              <w:jc w:val="right"/>
              <w:ind w:right="920"/>
              <w:spacing w:after="0"/>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785</w:t>
            </w: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1,883</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vertAlign w:val="superscript"/>
        </w:rPr>
        <w:t>(1)</w:t>
      </w:r>
      <w:r>
        <w:rPr>
          <w:rFonts w:ascii="Times New Roman" w:cs="Times New Roman" w:eastAsia="Times New Roman" w:hAnsi="Times New Roman"/>
          <w:sz w:val="13"/>
          <w:szCs w:val="13"/>
          <w:color w:val="auto"/>
        </w:rPr>
        <w:t xml:space="preserve"> Relates to charges billed to the individual projects by Fortistar. See Note. 10 </w:t>
      </w:r>
      <w:r>
        <w:rPr>
          <w:rFonts w:ascii="Times New Roman" w:cs="Times New Roman" w:eastAsia="Times New Roman" w:hAnsi="Times New Roman"/>
          <w:sz w:val="13"/>
          <w:szCs w:val="13"/>
          <w:i w:val="1"/>
          <w:iCs w:val="1"/>
          <w:color w:val="auto"/>
        </w:rPr>
        <w:t>Related parties</w:t>
      </w:r>
      <w:r>
        <w:rPr>
          <w:rFonts w:ascii="Times New Roman" w:cs="Times New Roman" w:eastAsia="Times New Roman" w:hAnsi="Times New Roman"/>
          <w:sz w:val="13"/>
          <w:szCs w:val="13"/>
          <w:color w:val="auto"/>
        </w:rPr>
        <w:t xml:space="preserve"> for additional information.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Net loss per share</w:t>
      </w:r>
    </w:p>
    <w:p>
      <w:pPr>
        <w:spacing w:after="0" w:line="1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 Company's basic earnings per share of Class A common stock is computed based on the average number of outstanding shares of Class A common stock for the period.</w:t>
      </w:r>
    </w:p>
    <w:p>
      <w:pPr>
        <w:spacing w:after="0" w:line="121" w:lineRule="exact"/>
        <w:rPr>
          <w:sz w:val="20"/>
          <w:szCs w:val="20"/>
          <w:color w:val="auto"/>
        </w:rPr>
      </w:pPr>
    </w:p>
    <w:p>
      <w:pPr>
        <w:jc w:val="both"/>
        <w:ind w:firstLine="240"/>
        <w:spacing w:after="0" w:line="294" w:lineRule="auto"/>
        <w:rPr>
          <w:sz w:val="20"/>
          <w:szCs w:val="20"/>
          <w:color w:val="auto"/>
        </w:rPr>
      </w:pPr>
      <w:r>
        <w:rPr>
          <w:rFonts w:ascii="Times New Roman" w:cs="Times New Roman" w:eastAsia="Times New Roman" w:hAnsi="Times New Roman"/>
          <w:sz w:val="13"/>
          <w:szCs w:val="13"/>
          <w:color w:val="auto"/>
        </w:rPr>
        <w:t>The Company's diluted earnings per share includes effects of the Company's outstanding equity awards under the 2022 Plan (as defined elsewhere in these financial statements), Redeemable non-controlling interests (OPAL Fuels Class B units), redeemable preferred non-controlling interests, Sponsor Earnout Awards and OPAL Earnout Awards. The dilutive effect is not applicable for the periods presented.</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Accounts Receivable, Net</w:t>
      </w:r>
    </w:p>
    <w:p>
      <w:pPr>
        <w:spacing w:after="0" w:line="12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 Company's allowance for credit losses was $82 and $0 at March 31, 2024 and December 31, 2023.</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Asset Retirement Obligation</w:t>
      </w:r>
    </w:p>
    <w:p>
      <w:pPr>
        <w:spacing w:after="0" w:line="113" w:lineRule="exact"/>
        <w:rPr>
          <w:sz w:val="20"/>
          <w:szCs w:val="20"/>
          <w:color w:val="auto"/>
        </w:rPr>
      </w:pPr>
    </w:p>
    <w:p>
      <w:pPr>
        <w:jc w:val="both"/>
        <w:ind w:firstLine="240"/>
        <w:spacing w:after="0" w:line="267" w:lineRule="auto"/>
        <w:rPr>
          <w:sz w:val="20"/>
          <w:szCs w:val="20"/>
          <w:color w:val="auto"/>
        </w:rPr>
      </w:pPr>
      <w:r>
        <w:rPr>
          <w:rFonts w:ascii="Times New Roman" w:cs="Times New Roman" w:eastAsia="Times New Roman" w:hAnsi="Times New Roman"/>
          <w:sz w:val="13"/>
          <w:szCs w:val="13"/>
          <w:color w:val="auto"/>
        </w:rPr>
        <w:t xml:space="preserve">The Company accounts for asset retirement obligations in accordance with FASB ASC 410, </w:t>
      </w:r>
      <w:r>
        <w:rPr>
          <w:rFonts w:ascii="Times New Roman" w:cs="Times New Roman" w:eastAsia="Times New Roman" w:hAnsi="Times New Roman"/>
          <w:sz w:val="13"/>
          <w:szCs w:val="13"/>
          <w:i w:val="1"/>
          <w:iCs w:val="1"/>
          <w:color w:val="auto"/>
        </w:rPr>
        <w:t>Asset Retirement and Environmental Obligations,</w:t>
      </w:r>
      <w:r>
        <w:rPr>
          <w:rFonts w:ascii="Times New Roman" w:cs="Times New Roman" w:eastAsia="Times New Roman" w:hAnsi="Times New Roman"/>
          <w:sz w:val="13"/>
          <w:szCs w:val="13"/>
          <w:color w:val="auto"/>
        </w:rPr>
        <w:t xml:space="preserve"> which requires entities to record the fair value of a liability for an asset retirement obligation in the period in which it is incurred and when a reasonable estimate of fair value can be made. The fair value of the estimated asset retirement obligations is recorded as a long-term liability, with a corresponding increase in the carrying amount of the related asset. The discounted asset retirement costs capitalized amount are accreted over the life of the sublease or site lease agreement. Asset retirement obligations are deemed Level 3 fair value measurements as the inputs used to measure the fair value are unobservable. The Company estimates the fair value of asset retirement obligations by calculating the estimated present value of the cost to retire the asset. This estimate requires assumptions and judgments regarding the existence of</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161290</wp:posOffset>
            </wp:positionV>
            <wp:extent cx="7193280"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368" w:right="319" w:bottom="1440" w:gutter="0" w:footer="0" w:header="0"/>
        </w:sectPr>
      </w:pPr>
    </w:p>
    <w:bookmarkStart w:id="16" w:name="page17"/>
    <w:bookmarkEnd w:id="16"/>
    <w:p>
      <w:pPr>
        <w:jc w:val="both"/>
        <w:spacing w:after="0" w:line="294" w:lineRule="auto"/>
        <w:rPr>
          <w:sz w:val="20"/>
          <w:szCs w:val="20"/>
          <w:color w:val="auto"/>
        </w:rPr>
      </w:pPr>
      <w:r>
        <w:rPr>
          <w:rFonts w:ascii="Times New Roman" w:cs="Times New Roman" w:eastAsia="Times New Roman" w:hAnsi="Times New Roman"/>
          <w:sz w:val="13"/>
          <w:szCs w:val="13"/>
          <w:color w:val="auto"/>
        </w:rPr>
        <w:t>liabilities, the amount and timing of cash outflows required to settle the liability, inflation factors, credit adjusted discount rates, and consideration of changes in legal, regulatory, environmental, and political environments. In addition, the Company determines the Level 3 fair value measurements based on historical information and current market conditions.</w:t>
      </w:r>
    </w:p>
    <w:p>
      <w:pPr>
        <w:spacing w:after="0" w:line="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As of March 31, 2024 and December 31, 2023, the Company estimated the value of its total asset retirement obligations to be $6,880 and $6,728, respectively.</w:t>
      </w:r>
    </w:p>
    <w:p>
      <w:pPr>
        <w:spacing w:after="0" w:line="1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 changes in the asset retirement obligations were as follows as of March 31, 2024:</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6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40" w:type="dxa"/>
            <w:vAlign w:val="bottom"/>
          </w:tcPr>
          <w:p>
            <w:pPr>
              <w:jc w:val="right"/>
              <w:ind w:right="840"/>
              <w:spacing w:after="0"/>
              <w:rPr>
                <w:sz w:val="20"/>
                <w:szCs w:val="20"/>
                <w:color w:val="auto"/>
              </w:rPr>
            </w:pPr>
            <w:r>
              <w:rPr>
                <w:rFonts w:ascii="Times New Roman" w:cs="Times New Roman" w:eastAsia="Times New Roman" w:hAnsi="Times New Roman"/>
                <w:sz w:val="12"/>
                <w:szCs w:val="12"/>
                <w:b w:val="1"/>
                <w:bCs w:val="1"/>
                <w:color w:val="auto"/>
              </w:rPr>
              <w:t>March 31,</w:t>
            </w:r>
          </w:p>
        </w:tc>
      </w:tr>
      <w:tr>
        <w:trPr>
          <w:trHeight w:val="166"/>
        </w:trPr>
        <w:tc>
          <w:tcPr>
            <w:tcW w:w="688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tcPr>
          <w:p>
            <w:pPr>
              <w:jc w:val="right"/>
              <w:ind w:right="980"/>
              <w:spacing w:after="0"/>
              <w:rPr>
                <w:sz w:val="20"/>
                <w:szCs w:val="20"/>
                <w:color w:val="auto"/>
              </w:rPr>
            </w:pPr>
            <w:r>
              <w:rPr>
                <w:rFonts w:ascii="Times New Roman" w:cs="Times New Roman" w:eastAsia="Times New Roman" w:hAnsi="Times New Roman"/>
                <w:sz w:val="12"/>
                <w:szCs w:val="12"/>
                <w:b w:val="1"/>
                <w:bCs w:val="1"/>
                <w:color w:val="auto"/>
              </w:rPr>
              <w:t>2024</w:t>
            </w:r>
          </w:p>
        </w:tc>
      </w:tr>
      <w:tr>
        <w:trPr>
          <w:trHeight w:val="157"/>
        </w:trPr>
        <w:tc>
          <w:tcPr>
            <w:tcW w:w="6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Balance, December 31, 2023 - Current and non-current</w:t>
            </w:r>
          </w:p>
        </w:tc>
        <w:tc>
          <w:tcPr>
            <w:tcW w:w="500" w:type="dxa"/>
            <w:vAlign w:val="bottom"/>
            <w:tcBorders>
              <w:bottom w:val="single" w:sz="8" w:color="CCEEFF"/>
            </w:tcBorders>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w w:val="99"/>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6,728</w:t>
            </w:r>
          </w:p>
        </w:tc>
      </w:tr>
      <w:tr>
        <w:trPr>
          <w:trHeight w:val="156"/>
        </w:trPr>
        <w:tc>
          <w:tcPr>
            <w:tcW w:w="68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Payment of asset retirement obligations during the year</w:t>
            </w:r>
          </w:p>
        </w:tc>
        <w:tc>
          <w:tcPr>
            <w:tcW w:w="500" w:type="dxa"/>
            <w:vAlign w:val="bottom"/>
          </w:tcPr>
          <w:p>
            <w:pPr>
              <w:spacing w:after="0"/>
              <w:rPr>
                <w:sz w:val="13"/>
                <w:szCs w:val="13"/>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24"/>
        </w:trPr>
        <w:tc>
          <w:tcPr>
            <w:tcW w:w="6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180"/>
        </w:trPr>
        <w:tc>
          <w:tcPr>
            <w:tcW w:w="6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Accretion expense</w:t>
            </w:r>
          </w:p>
        </w:tc>
        <w:tc>
          <w:tcPr>
            <w:tcW w:w="500" w:type="dxa"/>
            <w:vAlign w:val="bottom"/>
            <w:tcBorders>
              <w:bottom w:val="single" w:sz="8" w:color="CCEEFF"/>
            </w:tcBorders>
            <w:shd w:val="clear" w:color="auto" w:fill="CCEEFF"/>
          </w:tcPr>
          <w:p>
            <w:pPr>
              <w:spacing w:after="0"/>
              <w:rPr>
                <w:sz w:val="15"/>
                <w:szCs w:val="15"/>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152</w:t>
            </w:r>
          </w:p>
        </w:tc>
      </w:tr>
      <w:tr>
        <w:trPr>
          <w:trHeight w:val="146"/>
        </w:trPr>
        <w:tc>
          <w:tcPr>
            <w:tcW w:w="68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Total asset retirement obligation</w:t>
            </w:r>
          </w:p>
        </w:tc>
        <w:tc>
          <w:tcPr>
            <w:tcW w:w="500" w:type="dxa"/>
            <w:vAlign w:val="bottom"/>
            <w:tcBorders>
              <w:top w:val="single" w:sz="8" w:color="auto"/>
            </w:tcBorders>
          </w:tcPr>
          <w:p>
            <w:pPr>
              <w:spacing w:after="0"/>
              <w:rPr>
                <w:sz w:val="12"/>
                <w:szCs w:val="12"/>
                <w:color w:val="auto"/>
              </w:rPr>
            </w:pPr>
          </w:p>
        </w:tc>
        <w:tc>
          <w:tcPr>
            <w:tcW w:w="1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6,880</w:t>
            </w:r>
          </w:p>
        </w:tc>
      </w:tr>
      <w:tr>
        <w:trPr>
          <w:trHeight w:val="24"/>
        </w:trPr>
        <w:tc>
          <w:tcPr>
            <w:tcW w:w="68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170"/>
        </w:trPr>
        <w:tc>
          <w:tcPr>
            <w:tcW w:w="6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Less: current portion</w:t>
            </w:r>
          </w:p>
        </w:tc>
        <w:tc>
          <w:tcPr>
            <w:tcW w:w="500" w:type="dxa"/>
            <w:vAlign w:val="bottom"/>
            <w:tcBorders>
              <w:bottom w:val="single" w:sz="8" w:color="CCEEFF"/>
            </w:tcBorders>
            <w:shd w:val="clear" w:color="auto" w:fill="CCEEFF"/>
          </w:tcPr>
          <w:p>
            <w:pPr>
              <w:spacing w:after="0"/>
              <w:rPr>
                <w:sz w:val="14"/>
                <w:szCs w:val="14"/>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(1,812)</w:t>
            </w:r>
          </w:p>
        </w:tc>
      </w:tr>
      <w:tr>
        <w:trPr>
          <w:trHeight w:val="168"/>
        </w:trPr>
        <w:tc>
          <w:tcPr>
            <w:tcW w:w="68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Total asset retirement obligation, net of current portion</w:t>
            </w:r>
          </w:p>
        </w:tc>
        <w:tc>
          <w:tcPr>
            <w:tcW w:w="500" w:type="dxa"/>
            <w:vAlign w:val="bottom"/>
            <w:tcBorders>
              <w:top w:val="single" w:sz="8" w:color="auto"/>
              <w:bottom w:val="single" w:sz="8" w:color="auto"/>
            </w:tcBorders>
          </w:tcPr>
          <w:p>
            <w:pPr>
              <w:jc w:val="right"/>
              <w:ind w:right="360"/>
              <w:spacing w:after="0"/>
              <w:rPr>
                <w:sz w:val="20"/>
                <w:szCs w:val="20"/>
                <w:color w:val="auto"/>
              </w:rPr>
            </w:pPr>
            <w:r>
              <w:rPr>
                <w:rFonts w:ascii="Times New Roman" w:cs="Times New Roman" w:eastAsia="Times New Roman" w:hAnsi="Times New Roman"/>
                <w:sz w:val="12"/>
                <w:szCs w:val="12"/>
                <w:color w:val="auto"/>
                <w:w w:val="99"/>
              </w:rPr>
              <w:t>$</w:t>
            </w:r>
          </w:p>
        </w:tc>
        <w:tc>
          <w:tcPr>
            <w:tcW w:w="1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5,068</w:t>
            </w:r>
          </w:p>
        </w:tc>
      </w:tr>
      <w:tr>
        <w:trPr>
          <w:trHeight w:val="20"/>
        </w:trPr>
        <w:tc>
          <w:tcPr>
            <w:tcW w:w="68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Revenue Recognition</w:t>
      </w:r>
    </w:p>
    <w:p>
      <w:pPr>
        <w:spacing w:after="0" w:line="145" w:lineRule="exact"/>
        <w:rPr>
          <w:sz w:val="20"/>
          <w:szCs w:val="20"/>
          <w:color w:val="auto"/>
        </w:rPr>
      </w:pPr>
    </w:p>
    <w:p>
      <w:pPr>
        <w:jc w:val="both"/>
        <w:ind w:firstLine="240"/>
        <w:spacing w:after="0" w:line="269" w:lineRule="auto"/>
        <w:rPr>
          <w:sz w:val="20"/>
          <w:szCs w:val="20"/>
          <w:color w:val="auto"/>
        </w:rPr>
      </w:pPr>
      <w:r>
        <w:rPr>
          <w:rFonts w:ascii="Times New Roman" w:cs="Times New Roman" w:eastAsia="Times New Roman" w:hAnsi="Times New Roman"/>
          <w:sz w:val="13"/>
          <w:szCs w:val="13"/>
          <w:color w:val="auto"/>
        </w:rPr>
        <w:t xml:space="preserve">The Company’s revenue arrangements generally consist of a single performance obligation to transfer goods or services. Revenue from the sale of RNG, CNG and electricity is recognized by applying the “right to invoice” practical expedient within the accounting guidance for </w:t>
      </w:r>
      <w:r>
        <w:rPr>
          <w:rFonts w:ascii="Times New Roman" w:cs="Times New Roman" w:eastAsia="Times New Roman" w:hAnsi="Times New Roman"/>
          <w:sz w:val="13"/>
          <w:szCs w:val="13"/>
          <w:i w:val="1"/>
          <w:iCs w:val="1"/>
          <w:color w:val="auto"/>
        </w:rPr>
        <w:t>Revenue from Contracts with Customers</w:t>
      </w:r>
      <w:r>
        <w:rPr>
          <w:rFonts w:ascii="Times New Roman" w:cs="Times New Roman" w:eastAsia="Times New Roman" w:hAnsi="Times New Roman"/>
          <w:sz w:val="13"/>
          <w:szCs w:val="13"/>
          <w:color w:val="auto"/>
        </w:rPr>
        <w:t xml:space="preserve"> that allows for the recognition of revenue from performance obligations in the amount of consideration to which there is a right to invoice the customer and when the amount for which there is a right to invoice corresponds directly to the value transferred to the customer. For some public CNG Fueling Stations where there is no contract with the customer, the Company recognizes revenue at the point in time that the customer takes control of the fuel.</w:t>
      </w:r>
    </w:p>
    <w:p>
      <w:pPr>
        <w:spacing w:after="0" w:line="80" w:lineRule="exact"/>
        <w:rPr>
          <w:sz w:val="20"/>
          <w:szCs w:val="20"/>
          <w:color w:val="auto"/>
        </w:rPr>
      </w:pPr>
    </w:p>
    <w:p>
      <w:pPr>
        <w:jc w:val="both"/>
        <w:ind w:firstLine="240"/>
        <w:spacing w:after="0" w:line="294" w:lineRule="auto"/>
        <w:rPr>
          <w:sz w:val="20"/>
          <w:szCs w:val="20"/>
          <w:color w:val="auto"/>
        </w:rPr>
      </w:pPr>
      <w:r>
        <w:rPr>
          <w:rFonts w:ascii="Times New Roman" w:cs="Times New Roman" w:eastAsia="Times New Roman" w:hAnsi="Times New Roman"/>
          <w:sz w:val="13"/>
          <w:szCs w:val="13"/>
          <w:color w:val="auto"/>
        </w:rPr>
        <w:t>The Company also performs maintenance services throughout the country. Maintenance consists of monitoring equipment and replacing parts as necessary to ensure optimum performance. Revenue from service agreements is recognized over time as services are provided. Capacity payments fluctuate based on peak times of the year and revenues from capacity payments are recognized monthly as earned.</w:t>
      </w:r>
    </w:p>
    <w:p>
      <w:pPr>
        <w:spacing w:after="0" w:line="54" w:lineRule="exact"/>
        <w:rPr>
          <w:sz w:val="20"/>
          <w:szCs w:val="20"/>
          <w:color w:val="auto"/>
        </w:rPr>
      </w:pPr>
    </w:p>
    <w:p>
      <w:pPr>
        <w:jc w:val="both"/>
        <w:ind w:firstLine="240"/>
        <w:spacing w:after="0" w:line="275" w:lineRule="auto"/>
        <w:rPr>
          <w:sz w:val="20"/>
          <w:szCs w:val="20"/>
          <w:color w:val="auto"/>
        </w:rPr>
      </w:pPr>
      <w:r>
        <w:rPr>
          <w:rFonts w:ascii="Times New Roman" w:cs="Times New Roman" w:eastAsia="Times New Roman" w:hAnsi="Times New Roman"/>
          <w:sz w:val="13"/>
          <w:szCs w:val="13"/>
          <w:color w:val="auto"/>
        </w:rPr>
        <w:t>The Company has agreements with two natural gas producers ("Producers") to transport Producers' natural gas using the Company's RNG gathering system. The performance obligation is the delivery of Producers' natural gas to an agreed delivery point on an interstate gas pipeline. The quantity of natural gas transported for the Producers is measured at a certain specified meter. The price is fixed at contracted rates and the Producers pay approximately 30 days after month-end. As such, transportation sales are recognized over time, using the output method to measure progress.</w:t>
      </w:r>
    </w:p>
    <w:p>
      <w:pPr>
        <w:spacing w:after="0" w:line="77" w:lineRule="exact"/>
        <w:rPr>
          <w:sz w:val="20"/>
          <w:szCs w:val="20"/>
          <w:color w:val="auto"/>
        </w:rPr>
      </w:pPr>
    </w:p>
    <w:p>
      <w:pPr>
        <w:jc w:val="both"/>
        <w:ind w:firstLine="240"/>
        <w:spacing w:after="0" w:line="275" w:lineRule="auto"/>
        <w:rPr>
          <w:sz w:val="20"/>
          <w:szCs w:val="20"/>
          <w:color w:val="auto"/>
        </w:rPr>
      </w:pPr>
      <w:r>
        <w:rPr>
          <w:rFonts w:ascii="Times New Roman" w:cs="Times New Roman" w:eastAsia="Times New Roman" w:hAnsi="Times New Roman"/>
          <w:sz w:val="13"/>
          <w:szCs w:val="13"/>
          <w:color w:val="auto"/>
        </w:rPr>
        <w:t>The Company provides credit monetization services to customers that own renewable gas generation facilities. The Company recognizes revenue from these services as the credits are minted on behalf of the customer. The Company receives non-cash consideration in the form of RINs or LCFSs for providing these services and recognizes the RINs or LCFSs received as Environmental credits held for sale within current assets based on their estimated fair value at contract inception.</w:t>
      </w:r>
    </w:p>
    <w:p>
      <w:pPr>
        <w:spacing w:after="0" w:line="77" w:lineRule="exact"/>
        <w:rPr>
          <w:sz w:val="20"/>
          <w:szCs w:val="20"/>
          <w:color w:val="auto"/>
        </w:rPr>
      </w:pPr>
    </w:p>
    <w:p>
      <w:pPr>
        <w:jc w:val="both"/>
        <w:ind w:firstLine="240"/>
        <w:spacing w:after="0" w:line="266" w:lineRule="auto"/>
        <w:rPr>
          <w:sz w:val="20"/>
          <w:szCs w:val="20"/>
          <w:color w:val="auto"/>
        </w:rPr>
      </w:pPr>
      <w:r>
        <w:rPr>
          <w:rFonts w:ascii="Times New Roman" w:cs="Times New Roman" w:eastAsia="Times New Roman" w:hAnsi="Times New Roman"/>
          <w:sz w:val="13"/>
          <w:szCs w:val="13"/>
          <w:color w:val="auto"/>
        </w:rPr>
        <w:t>On November 29, 2021, the Company entered into a purchase and sale agreement with NextEra, a related party, for the Environmental Attributes generated by the RNG Fuels business. Under this agreement, the Company is committed to sell a minimum of 90% of the Environmental Attributes generated and will receive net proceeds based on the agreed upon price less a specified discount. A specified volume of Environmental Attributes sold per quarter will incur a discount fee per Environmental Attribute in addition to the specified discount. The agreement was effective beginning January 1, 2022. For the three months ended March 31, 2024 and 2023, the Company earned net revenues after discount and fees of $15,495 and $4,715, respectively, under this contract which was recorded as part of Revenues - RNG Fuel. For the three months ended March 31, 2024 and 2023, the Company earned net revenues after discount and fees of $7,741 and $1,493, respectively, which was recorded as part of Revenues - Fuel Station Services.</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167640</wp:posOffset>
            </wp:positionV>
            <wp:extent cx="7193280"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318" w:right="319" w:bottom="1440" w:gutter="0" w:footer="0" w:header="0"/>
        </w:sectPr>
      </w:pPr>
    </w:p>
    <w:bookmarkStart w:id="17" w:name="page18"/>
    <w:bookmarkEnd w:id="17"/>
    <w:p>
      <w:pPr>
        <w:jc w:val="both"/>
        <w:ind w:firstLine="240"/>
        <w:spacing w:after="0" w:line="266" w:lineRule="auto"/>
        <w:rPr>
          <w:sz w:val="20"/>
          <w:szCs w:val="20"/>
          <w:color w:val="auto"/>
        </w:rPr>
      </w:pPr>
      <w:r>
        <w:rPr>
          <w:rFonts w:ascii="Times New Roman" w:cs="Times New Roman" w:eastAsia="Times New Roman" w:hAnsi="Times New Roman"/>
          <w:sz w:val="13"/>
          <w:szCs w:val="13"/>
          <w:color w:val="auto"/>
        </w:rPr>
        <w:t>During third and fourth quarter of 2022, two of the wholly-owned subsidiaries from our Renewable Power portfolio entered into a purchase and sale agreement with an Environmental Attribute marketing firm to sell Environmental Attributes associated with renewable biomethane ("ISCC Carbon Credits") and purchase brown gas back at contracted fixed prices per million British thermal units ("MMbtu"). One of these contracts has a term of 3-years from the date of certification of the facility with an auto-renewal option. The other contract was terminated in August 2023. During the third quarter of 2023, three additional Renewable Power facilities entered into purchase and sale agreements with 3-year terms and similar terms and conditions as the previous contracts. For the three months ended March 31, 2024 and 2023, the Company earned net revenues of $3,788 and $5,445, respectively under the contracts which were recorded as part of Revenues - Renewable Power in the condensed consolidated statement of operations.</w:t>
      </w:r>
    </w:p>
    <w:p>
      <w:pPr>
        <w:spacing w:after="0" w:line="72" w:lineRule="exact"/>
        <w:rPr>
          <w:sz w:val="20"/>
          <w:szCs w:val="20"/>
          <w:color w:val="auto"/>
        </w:rPr>
      </w:pPr>
    </w:p>
    <w:p>
      <w:pPr>
        <w:jc w:val="both"/>
        <w:ind w:firstLine="240"/>
        <w:spacing w:after="0" w:line="275" w:lineRule="auto"/>
        <w:rPr>
          <w:sz w:val="20"/>
          <w:szCs w:val="20"/>
          <w:color w:val="auto"/>
        </w:rPr>
      </w:pPr>
      <w:r>
        <w:rPr>
          <w:rFonts w:ascii="Times New Roman" w:cs="Times New Roman" w:eastAsia="Times New Roman" w:hAnsi="Times New Roman"/>
          <w:sz w:val="13"/>
          <w:szCs w:val="13"/>
          <w:color w:val="auto"/>
        </w:rPr>
        <w:t>Sales of Environmental Attributes such as RINs, renewable energy credits ("RECs"), ISCC Carbon Credits and LCFS are generally recorded as revenue when the certificates related to them are delivered to a buyer. However, the Company may recognize revenue from the sale of such Environmental Attributes at the time of the related Renewable Power sales when the contract provides that title to the Environmental Attributes transfers at the time of production, the Company's price to the buyer is fixed, and collection of the sales proceeds is certain.</w:t>
      </w:r>
    </w:p>
    <w:p>
      <w:pPr>
        <w:spacing w:after="0" w:line="77" w:lineRule="exact"/>
        <w:rPr>
          <w:sz w:val="20"/>
          <w:szCs w:val="20"/>
          <w:color w:val="auto"/>
        </w:rPr>
      </w:pPr>
    </w:p>
    <w:p>
      <w:pPr>
        <w:jc w:val="both"/>
        <w:ind w:firstLine="240"/>
        <w:spacing w:after="0" w:line="294" w:lineRule="auto"/>
        <w:rPr>
          <w:sz w:val="20"/>
          <w:szCs w:val="20"/>
          <w:color w:val="auto"/>
        </w:rPr>
      </w:pPr>
      <w:r>
        <w:rPr>
          <w:rFonts w:ascii="Times New Roman" w:cs="Times New Roman" w:eastAsia="Times New Roman" w:hAnsi="Times New Roman"/>
          <w:sz w:val="13"/>
          <w:szCs w:val="13"/>
          <w:color w:val="auto"/>
        </w:rPr>
        <w:t>Management operating fees are earned for the operation, maintenance, and repair of the gas collection system of a landfill site. Revenue is calculated on the volume of per million British thermal units of LFG collected and the megawatt hours ("MWhs") produced at that site. This revenue is recognized when LFG is collected and Renewable Power is delivered.</w:t>
      </w:r>
    </w:p>
    <w:p>
      <w:pPr>
        <w:spacing w:after="0" w:line="64" w:lineRule="exact"/>
        <w:rPr>
          <w:sz w:val="20"/>
          <w:szCs w:val="20"/>
          <w:color w:val="auto"/>
        </w:rPr>
      </w:pPr>
    </w:p>
    <w:p>
      <w:pPr>
        <w:jc w:val="both"/>
        <w:ind w:firstLine="240"/>
        <w:spacing w:after="0" w:line="275" w:lineRule="auto"/>
        <w:rPr>
          <w:sz w:val="20"/>
          <w:szCs w:val="20"/>
          <w:color w:val="auto"/>
        </w:rPr>
      </w:pPr>
      <w:r>
        <w:rPr>
          <w:rFonts w:ascii="Times New Roman" w:cs="Times New Roman" w:eastAsia="Times New Roman" w:hAnsi="Times New Roman"/>
          <w:sz w:val="13"/>
          <w:szCs w:val="13"/>
          <w:color w:val="auto"/>
        </w:rPr>
        <w:t>The Company has various fixed price contracts for the construction of Fueling Stations for customers. Revenues from these contracts, including change orders, are recognized over time, with progress measured by the percentage of costs incurred to date compared to estimated total costs for each contract. This method is used as management considers costs incurred to be the best available measure of progress on these contracts. Costs capitalized to fulfill certain contracts were not material in any of the periods presented.</w:t>
      </w:r>
    </w:p>
    <w:p>
      <w:pPr>
        <w:spacing w:after="0" w:line="67" w:lineRule="exact"/>
        <w:rPr>
          <w:sz w:val="20"/>
          <w:szCs w:val="20"/>
          <w:color w:val="auto"/>
        </w:rPr>
      </w:pPr>
    </w:p>
    <w:p>
      <w:pPr>
        <w:jc w:val="both"/>
        <w:ind w:firstLine="240"/>
        <w:spacing w:after="0" w:line="275" w:lineRule="auto"/>
        <w:rPr>
          <w:sz w:val="20"/>
          <w:szCs w:val="20"/>
          <w:color w:val="auto"/>
        </w:rPr>
      </w:pPr>
      <w:r>
        <w:rPr>
          <w:rFonts w:ascii="Times New Roman" w:cs="Times New Roman" w:eastAsia="Times New Roman" w:hAnsi="Times New Roman"/>
          <w:sz w:val="13"/>
          <w:szCs w:val="13"/>
          <w:color w:val="auto"/>
        </w:rPr>
        <w:t>The Company owns Fueling Stations for use by customers under fuel sale agreements. The Company bills these customers at an agreed upon price for each gallon sold and recognizes revenue based on the amounts invoiced in accordance with the "right to invoice" practical expedient. For some public stations where there is no contract with the customer, the Company recognizes revenue at the point-in-time that the customer takes control of the fuel.</w:t>
      </w:r>
    </w:p>
    <w:p>
      <w:pPr>
        <w:spacing w:after="0" w:line="77" w:lineRule="exact"/>
        <w:rPr>
          <w:sz w:val="20"/>
          <w:szCs w:val="20"/>
          <w:color w:val="auto"/>
        </w:rPr>
      </w:pPr>
    </w:p>
    <w:p>
      <w:pPr>
        <w:jc w:val="both"/>
        <w:ind w:firstLine="240"/>
        <w:spacing w:after="0" w:line="269" w:lineRule="auto"/>
        <w:rPr>
          <w:sz w:val="20"/>
          <w:szCs w:val="20"/>
          <w:color w:val="auto"/>
        </w:rPr>
      </w:pPr>
      <w:r>
        <w:rPr>
          <w:rFonts w:ascii="Times New Roman" w:cs="Times New Roman" w:eastAsia="Times New Roman" w:hAnsi="Times New Roman"/>
          <w:sz w:val="13"/>
          <w:szCs w:val="13"/>
          <w:color w:val="auto"/>
        </w:rPr>
        <w:t xml:space="preserve">The Company from time-to-time enters into fuel purchase agreements with customers whereby the Company is contracted to design and build a Fueling Station on the customer's property in exchange for the Company providing CNG/RNG to the customer for a determined number of years. In accordance with the standards of ASC 840, </w:t>
      </w:r>
      <w:r>
        <w:rPr>
          <w:rFonts w:ascii="Times New Roman" w:cs="Times New Roman" w:eastAsia="Times New Roman" w:hAnsi="Times New Roman"/>
          <w:sz w:val="13"/>
          <w:szCs w:val="13"/>
          <w:i w:val="1"/>
          <w:iCs w:val="1"/>
          <w:color w:val="auto"/>
        </w:rPr>
        <w:t>Leases</w:t>
      </w:r>
      <w:r>
        <w:rPr>
          <w:rFonts w:ascii="Times New Roman" w:cs="Times New Roman" w:eastAsia="Times New Roman" w:hAnsi="Times New Roman"/>
          <w:sz w:val="13"/>
          <w:szCs w:val="13"/>
          <w:color w:val="auto"/>
        </w:rPr>
        <w:t xml:space="preserve">, the Company has concluded these agreements meet the criteria for a lease and are classified as operating leases. Typically, these agreements do not require any minimum consumption amounts and, therefore, no minimum payments. Upon adoption of ASC 842, the Company adopted the practical expedient not to reassess the classification. For additional information on lease revenues earned, please see Note 8. </w:t>
      </w:r>
      <w:r>
        <w:rPr>
          <w:rFonts w:ascii="Times New Roman" w:cs="Times New Roman" w:eastAsia="Times New Roman" w:hAnsi="Times New Roman"/>
          <w:sz w:val="13"/>
          <w:szCs w:val="13"/>
          <w:i w:val="1"/>
          <w:iCs w:val="1"/>
          <w:color w:val="auto"/>
        </w:rPr>
        <w:t>Leases.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Disaggregation of Revenue</w:t>
      </w:r>
    </w:p>
    <w:p>
      <w:pPr>
        <w:spacing w:after="0" w:line="12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 following table shows the disaggregation of revenue according to product line:</w:t>
      </w: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167640</wp:posOffset>
            </wp:positionV>
            <wp:extent cx="7193280"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318" w:right="319" w:bottom="1440" w:gutter="0" w:footer="0" w:header="0"/>
        </w:sectPr>
      </w:pPr>
    </w:p>
    <w:bookmarkStart w:id="18" w:name="page19"/>
    <w:bookmarkEnd w:id="18"/>
    <w:p>
      <w:pPr>
        <w:jc w:val="center"/>
        <w:ind w:left="6500"/>
        <w:spacing w:after="0"/>
        <w:rPr>
          <w:sz w:val="20"/>
          <w:szCs w:val="20"/>
          <w:color w:val="auto"/>
        </w:rPr>
      </w:pPr>
      <w:r>
        <w:rPr>
          <w:rFonts w:ascii="Times New Roman" w:cs="Times New Roman" w:eastAsia="Times New Roman" w:hAnsi="Times New Roman"/>
          <w:sz w:val="12"/>
          <w:szCs w:val="12"/>
          <w:b w:val="1"/>
          <w:bCs w:val="1"/>
          <w:color w:val="auto"/>
        </w:rPr>
        <w:t>Three Months Ended</w:t>
      </w:r>
    </w:p>
    <w:p>
      <w:pPr>
        <w:spacing w:after="0" w:line="21" w:lineRule="exact"/>
        <w:rPr>
          <w:sz w:val="20"/>
          <w:szCs w:val="20"/>
          <w:color w:val="auto"/>
        </w:rPr>
      </w:pPr>
    </w:p>
    <w:p>
      <w:pPr>
        <w:jc w:val="center"/>
        <w:ind w:left="6500"/>
        <w:spacing w:after="0"/>
        <w:rPr>
          <w:sz w:val="20"/>
          <w:szCs w:val="20"/>
          <w:color w:val="auto"/>
        </w:rPr>
      </w:pPr>
      <w:r>
        <w:rPr>
          <w:rFonts w:ascii="Times New Roman" w:cs="Times New Roman" w:eastAsia="Times New Roman" w:hAnsi="Times New Roman"/>
          <w:sz w:val="12"/>
          <w:szCs w:val="12"/>
          <w:b w:val="1"/>
          <w:bCs w:val="1"/>
          <w:color w:val="auto"/>
        </w:rPr>
        <w:t>March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7360" w:type="dxa"/>
            <w:vAlign w:val="bottom"/>
          </w:tcPr>
          <w:p>
            <w:pPr>
              <w:spacing w:after="0"/>
              <w:rPr>
                <w:sz w:val="14"/>
                <w:szCs w:val="14"/>
                <w:color w:val="auto"/>
              </w:rPr>
            </w:pPr>
          </w:p>
        </w:tc>
        <w:tc>
          <w:tcPr>
            <w:tcW w:w="1000" w:type="dxa"/>
            <w:vAlign w:val="bottom"/>
            <w:tcBorders>
              <w:top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2024</w:t>
            </w:r>
          </w:p>
        </w:tc>
        <w:tc>
          <w:tcPr>
            <w:tcW w:w="5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2023</w:t>
            </w:r>
          </w:p>
        </w:tc>
      </w:tr>
      <w:tr>
        <w:trPr>
          <w:trHeight w:val="21"/>
        </w:trPr>
        <w:tc>
          <w:tcPr>
            <w:tcW w:w="73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50"/>
        </w:trPr>
        <w:tc>
          <w:tcPr>
            <w:tcW w:w="7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Renewable Power sales</w:t>
            </w:r>
          </w:p>
        </w:tc>
        <w:tc>
          <w:tcPr>
            <w:tcW w:w="1000" w:type="dxa"/>
            <w:vAlign w:val="bottom"/>
            <w:tcBorders>
              <w:bottom w:val="single" w:sz="8" w:color="CCEEFF"/>
            </w:tcBorders>
            <w:shd w:val="clear" w:color="auto" w:fill="CCEEFF"/>
          </w:tcPr>
          <w:p>
            <w:pPr>
              <w:jc w:val="right"/>
              <w:ind w:right="860"/>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5,819</w:t>
            </w:r>
          </w:p>
        </w:tc>
        <w:tc>
          <w:tcPr>
            <w:tcW w:w="1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jc w:val="right"/>
              <w:ind w:right="225"/>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9,604</w:t>
            </w:r>
          </w:p>
        </w:tc>
      </w:tr>
      <w:tr>
        <w:trPr>
          <w:trHeight w:val="156"/>
        </w:trPr>
        <w:tc>
          <w:tcPr>
            <w:tcW w:w="73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Third party construction</w:t>
            </w:r>
          </w:p>
        </w:tc>
        <w:tc>
          <w:tcPr>
            <w:tcW w:w="10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10,790</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7,154</w:t>
            </w:r>
          </w:p>
        </w:tc>
      </w:tr>
      <w:tr>
        <w:trPr>
          <w:trHeight w:val="24"/>
        </w:trPr>
        <w:tc>
          <w:tcPr>
            <w:tcW w:w="7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60"/>
        </w:trPr>
        <w:tc>
          <w:tcPr>
            <w:tcW w:w="7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Service</w:t>
            </w:r>
          </w:p>
        </w:tc>
        <w:tc>
          <w:tcPr>
            <w:tcW w:w="100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5,335</w:t>
            </w:r>
          </w:p>
        </w:tc>
        <w:tc>
          <w:tcPr>
            <w:tcW w:w="1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4,904</w:t>
            </w:r>
          </w:p>
        </w:tc>
      </w:tr>
      <w:tr>
        <w:trPr>
          <w:trHeight w:val="156"/>
        </w:trPr>
        <w:tc>
          <w:tcPr>
            <w:tcW w:w="73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Brown gas sales</w:t>
            </w:r>
          </w:p>
        </w:tc>
        <w:tc>
          <w:tcPr>
            <w:tcW w:w="10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5,602</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7,530</w:t>
            </w:r>
          </w:p>
        </w:tc>
      </w:tr>
      <w:tr>
        <w:trPr>
          <w:trHeight w:val="24"/>
        </w:trPr>
        <w:tc>
          <w:tcPr>
            <w:tcW w:w="7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80"/>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 xml:space="preserve">Environmental credits </w:t>
            </w:r>
            <w:r>
              <w:rPr>
                <w:rFonts w:ascii="Times New Roman" w:cs="Times New Roman" w:eastAsia="Times New Roman" w:hAnsi="Times New Roman"/>
                <w:sz w:val="15"/>
                <w:szCs w:val="15"/>
                <w:color w:val="auto"/>
                <w:vertAlign w:val="superscript"/>
              </w:rPr>
              <w:t>(1)</w:t>
            </w:r>
          </w:p>
        </w:tc>
        <w:tc>
          <w:tcPr>
            <w:tcW w:w="10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35,677</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12,677</w:t>
            </w:r>
          </w:p>
        </w:tc>
      </w:tr>
      <w:tr>
        <w:trPr>
          <w:trHeight w:val="156"/>
        </w:trPr>
        <w:tc>
          <w:tcPr>
            <w:tcW w:w="73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Parts sales</w:t>
            </w:r>
          </w:p>
        </w:tc>
        <w:tc>
          <w:tcPr>
            <w:tcW w:w="10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397</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187</w:t>
            </w:r>
          </w:p>
        </w:tc>
      </w:tr>
      <w:tr>
        <w:trPr>
          <w:trHeight w:val="24"/>
        </w:trPr>
        <w:tc>
          <w:tcPr>
            <w:tcW w:w="7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80"/>
        </w:trPr>
        <w:tc>
          <w:tcPr>
            <w:tcW w:w="7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Other</w:t>
            </w:r>
          </w:p>
        </w:tc>
        <w:tc>
          <w:tcPr>
            <w:tcW w:w="10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341</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46"/>
        </w:trPr>
        <w:tc>
          <w:tcPr>
            <w:tcW w:w="73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Total revenue from contracts with customers</w:t>
            </w:r>
          </w:p>
        </w:tc>
        <w:tc>
          <w:tcPr>
            <w:tcW w:w="10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63,961</w:t>
            </w:r>
          </w:p>
        </w:tc>
        <w:tc>
          <w:tcPr>
            <w:tcW w:w="1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42,056</w:t>
            </w:r>
          </w:p>
        </w:tc>
      </w:tr>
      <w:tr>
        <w:trPr>
          <w:trHeight w:val="24"/>
        </w:trPr>
        <w:tc>
          <w:tcPr>
            <w:tcW w:w="73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70"/>
        </w:trPr>
        <w:tc>
          <w:tcPr>
            <w:tcW w:w="7360" w:type="dxa"/>
            <w:vAlign w:val="bottom"/>
            <w:shd w:val="clear" w:color="auto" w:fill="CCEEFF"/>
          </w:tcPr>
          <w:p>
            <w:pPr>
              <w:ind w:left="20"/>
              <w:spacing w:after="0" w:line="170" w:lineRule="exact"/>
              <w:rPr>
                <w:sz w:val="20"/>
                <w:szCs w:val="20"/>
                <w:color w:val="auto"/>
              </w:rPr>
            </w:pPr>
            <w:r>
              <w:rPr>
                <w:rFonts w:ascii="Times New Roman" w:cs="Times New Roman" w:eastAsia="Times New Roman" w:hAnsi="Times New Roman"/>
                <w:sz w:val="12"/>
                <w:szCs w:val="12"/>
                <w:color w:val="auto"/>
              </w:rPr>
              <w:t xml:space="preserve">Lease revenue </w:t>
            </w:r>
            <w:r>
              <w:rPr>
                <w:rFonts w:ascii="Times New Roman" w:cs="Times New Roman" w:eastAsia="Times New Roman" w:hAnsi="Times New Roman"/>
                <w:sz w:val="15"/>
                <w:szCs w:val="15"/>
                <w:color w:val="auto"/>
                <w:vertAlign w:val="superscript"/>
              </w:rPr>
              <w:t>(2)</w:t>
            </w:r>
          </w:p>
        </w:tc>
        <w:tc>
          <w:tcPr>
            <w:tcW w:w="100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991</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901</w:t>
            </w:r>
          </w:p>
        </w:tc>
      </w:tr>
      <w:tr>
        <w:trPr>
          <w:trHeight w:val="168"/>
        </w:trPr>
        <w:tc>
          <w:tcPr>
            <w:tcW w:w="73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Total revenue</w:t>
            </w:r>
          </w:p>
        </w:tc>
        <w:tc>
          <w:tcPr>
            <w:tcW w:w="1000" w:type="dxa"/>
            <w:vAlign w:val="bottom"/>
            <w:tcBorders>
              <w:bottom w:val="single" w:sz="8" w:color="auto"/>
            </w:tcBorders>
          </w:tcPr>
          <w:p>
            <w:pPr>
              <w:jc w:val="right"/>
              <w:ind w:right="860"/>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64,952</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225"/>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42,957</w:t>
            </w:r>
          </w:p>
        </w:tc>
      </w:tr>
      <w:tr>
        <w:trPr>
          <w:trHeight w:val="20"/>
        </w:trPr>
        <w:tc>
          <w:tcPr>
            <w:tcW w:w="73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left="140" w:hanging="140"/>
        <w:spacing w:after="0"/>
        <w:tabs>
          <w:tab w:leader="none" w:pos="140" w:val="left"/>
        </w:tabs>
        <w:numPr>
          <w:ilvl w:val="0"/>
          <w:numId w:val="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2"/>
          <w:szCs w:val="12"/>
          <w:color w:val="auto"/>
        </w:rPr>
        <w:t>Includes revenues of $3,617 and $5,168 for the three months ended March 31, 2024 and 2023, from customers domiciled outside of United States.</w:t>
      </w:r>
    </w:p>
    <w:p>
      <w:pPr>
        <w:spacing w:after="0" w:line="127" w:lineRule="exact"/>
        <w:rPr>
          <w:rFonts w:ascii="Times New Roman" w:cs="Times New Roman" w:eastAsia="Times New Roman" w:hAnsi="Times New Roman"/>
          <w:sz w:val="18"/>
          <w:szCs w:val="18"/>
          <w:color w:val="auto"/>
          <w:vertAlign w:val="superscript"/>
        </w:rPr>
      </w:pPr>
    </w:p>
    <w:p>
      <w:pPr>
        <w:spacing w:after="0" w:line="231" w:lineRule="auto"/>
        <w:tabs>
          <w:tab w:leader="none" w:pos="147" w:val="left"/>
        </w:tabs>
        <w:numPr>
          <w:ilvl w:val="0"/>
          <w:numId w:val="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2"/>
          <w:szCs w:val="12"/>
          <w:color w:val="auto"/>
        </w:rPr>
        <w:t>Lease revenue relates to approximately twenty-six fuel purchasing agreements out of which we have two of our RNG fuel stations with minimum take or pay provisions and revenue from power purchase agreements at two of our Renewable Power facilities where we determined that we transferred the right to control the use of the power plant to the purchaser.</w:t>
      </w:r>
    </w:p>
    <w:p>
      <w:pPr>
        <w:spacing w:after="0" w:line="1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For the three months ended March 31, 2024 and 2023, 16.6% and 16.6%, respectively of revenue was recognized over time, and the remainder was for products and services transferred at a point in time.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Other income (expense)</w:t>
      </w:r>
    </w:p>
    <w:p>
      <w:pPr>
        <w:spacing w:after="0" w:line="17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The following table shows the items consisting of items recorded as Other income (expense):</w:t>
      </w:r>
    </w:p>
    <w:p>
      <w:pPr>
        <w:spacing w:after="0" w:line="211" w:lineRule="exact"/>
        <w:rPr>
          <w:sz w:val="20"/>
          <w:szCs w:val="20"/>
          <w:color w:val="auto"/>
        </w:rPr>
      </w:pPr>
    </w:p>
    <w:tbl>
      <w:tblPr>
        <w:tblLayout w:type="fixed"/>
        <w:tblInd w:w="480" w:type="dxa"/>
        <w:tblCellMar>
          <w:top w:w="0" w:type="dxa"/>
          <w:left w:w="0" w:type="dxa"/>
          <w:bottom w:w="0" w:type="dxa"/>
          <w:right w:w="0" w:type="dxa"/>
        </w:tblCellMar>
      </w:tblPr>
      <w:tr>
        <w:trPr>
          <w:trHeight w:val="166"/>
        </w:trPr>
        <w:tc>
          <w:tcPr>
            <w:tcW w:w="4680" w:type="dxa"/>
            <w:vAlign w:val="bottom"/>
          </w:tcPr>
          <w:p>
            <w:pPr>
              <w:spacing w:after="0"/>
              <w:rPr>
                <w:sz w:val="14"/>
                <w:szCs w:val="14"/>
                <w:color w:val="auto"/>
              </w:rPr>
            </w:pPr>
          </w:p>
        </w:tc>
        <w:tc>
          <w:tcPr>
            <w:tcW w:w="2620" w:type="dxa"/>
            <w:vAlign w:val="bottom"/>
            <w:tcBorders>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Three Months Ended March 31,</w:t>
            </w:r>
          </w:p>
        </w:tc>
        <w:tc>
          <w:tcPr>
            <w:tcW w:w="460" w:type="dxa"/>
            <w:vAlign w:val="bottom"/>
            <w:tcBorders>
              <w:bottom w:val="single" w:sz="8" w:color="auto"/>
            </w:tcBorders>
          </w:tcPr>
          <w:p>
            <w:pPr>
              <w:spacing w:after="0"/>
              <w:rPr>
                <w:sz w:val="14"/>
                <w:szCs w:val="14"/>
                <w:color w:val="auto"/>
              </w:rPr>
            </w:pPr>
          </w:p>
        </w:tc>
      </w:tr>
      <w:tr>
        <w:trPr>
          <w:trHeight w:val="156"/>
        </w:trPr>
        <w:tc>
          <w:tcPr>
            <w:tcW w:w="4680" w:type="dxa"/>
            <w:vAlign w:val="bottom"/>
          </w:tcPr>
          <w:p>
            <w:pPr>
              <w:spacing w:after="0"/>
              <w:rPr>
                <w:sz w:val="13"/>
                <w:szCs w:val="13"/>
                <w:color w:val="auto"/>
              </w:rPr>
            </w:pPr>
          </w:p>
        </w:tc>
        <w:tc>
          <w:tcPr>
            <w:tcW w:w="1060" w:type="dxa"/>
            <w:vAlign w:val="bottom"/>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2024</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2023</w:t>
            </w:r>
          </w:p>
        </w:tc>
        <w:tc>
          <w:tcPr>
            <w:tcW w:w="460" w:type="dxa"/>
            <w:vAlign w:val="bottom"/>
          </w:tcPr>
          <w:p>
            <w:pPr>
              <w:spacing w:after="0"/>
              <w:rPr>
                <w:sz w:val="13"/>
                <w:szCs w:val="13"/>
                <w:color w:val="auto"/>
              </w:rPr>
            </w:pPr>
          </w:p>
        </w:tc>
      </w:tr>
      <w:tr>
        <w:trPr>
          <w:trHeight w:val="21"/>
        </w:trPr>
        <w:tc>
          <w:tcPr>
            <w:tcW w:w="4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80"/>
        </w:trPr>
        <w:tc>
          <w:tcPr>
            <w:tcW w:w="4680" w:type="dxa"/>
            <w:vAlign w:val="bottom"/>
            <w:shd w:val="clear" w:color="auto" w:fill="CCEEFF"/>
          </w:tcPr>
          <w:p>
            <w:pPr>
              <w:jc w:val="right"/>
              <w:ind w:right="1000"/>
              <w:spacing w:after="0"/>
              <w:rPr>
                <w:sz w:val="20"/>
                <w:szCs w:val="20"/>
                <w:color w:val="auto"/>
              </w:rPr>
            </w:pPr>
            <w:r>
              <w:rPr>
                <w:rFonts w:ascii="Times New Roman" w:cs="Times New Roman" w:eastAsia="Times New Roman" w:hAnsi="Times New Roman"/>
                <w:sz w:val="12"/>
                <w:szCs w:val="12"/>
                <w:color w:val="auto"/>
                <w:w w:val="99"/>
              </w:rPr>
              <w:t xml:space="preserve">Gain on transfer of non-financial asset in exchange for services received </w:t>
            </w:r>
            <w:r>
              <w:rPr>
                <w:rFonts w:ascii="Times New Roman" w:cs="Times New Roman" w:eastAsia="Times New Roman" w:hAnsi="Times New Roman"/>
                <w:sz w:val="15"/>
                <w:szCs w:val="15"/>
                <w:color w:val="auto"/>
                <w:w w:val="99"/>
                <w:vertAlign w:val="superscript"/>
              </w:rPr>
              <w:t>(1)</w:t>
            </w:r>
          </w:p>
        </w:tc>
        <w:tc>
          <w:tcPr>
            <w:tcW w:w="1060" w:type="dxa"/>
            <w:vAlign w:val="bottom"/>
            <w:shd w:val="clear" w:color="auto" w:fill="CCEEFF"/>
          </w:tcPr>
          <w:p>
            <w:pPr>
              <w:jc w:val="right"/>
              <w:ind w:right="920"/>
              <w:spacing w:after="0"/>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665</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900"/>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270</w:t>
            </w:r>
          </w:p>
        </w:tc>
      </w:tr>
      <w:tr>
        <w:trPr>
          <w:trHeight w:val="156"/>
        </w:trPr>
        <w:tc>
          <w:tcPr>
            <w:tcW w:w="4680" w:type="dxa"/>
            <w:vAlign w:val="bottom"/>
          </w:tcPr>
          <w:p>
            <w:pPr>
              <w:jc w:val="right"/>
              <w:ind w:right="3340"/>
              <w:spacing w:after="0"/>
              <w:rPr>
                <w:sz w:val="20"/>
                <w:szCs w:val="20"/>
                <w:color w:val="auto"/>
              </w:rPr>
            </w:pPr>
            <w:r>
              <w:rPr>
                <w:rFonts w:ascii="Times New Roman" w:cs="Times New Roman" w:eastAsia="Times New Roman" w:hAnsi="Times New Roman"/>
                <w:sz w:val="12"/>
                <w:szCs w:val="12"/>
                <w:color w:val="auto"/>
              </w:rPr>
              <w:t>Loss on warrant exchange</w:t>
            </w:r>
          </w:p>
        </w:tc>
        <w:tc>
          <w:tcPr>
            <w:tcW w:w="1060" w:type="dxa"/>
            <w:vAlign w:val="bottom"/>
          </w:tcPr>
          <w:p>
            <w:pPr>
              <w:spacing w:after="0"/>
              <w:rPr>
                <w:sz w:val="13"/>
                <w:szCs w:val="13"/>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(338)</w:t>
            </w:r>
          </w:p>
        </w:tc>
      </w:tr>
      <w:tr>
        <w:trPr>
          <w:trHeight w:val="24"/>
        </w:trPr>
        <w:tc>
          <w:tcPr>
            <w:tcW w:w="46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193"/>
        </w:trPr>
        <w:tc>
          <w:tcPr>
            <w:tcW w:w="4680" w:type="dxa"/>
            <w:vAlign w:val="bottom"/>
            <w:tcBorders>
              <w:bottom w:val="single" w:sz="8" w:color="CCEEFF"/>
            </w:tcBorders>
            <w:shd w:val="clear" w:color="auto" w:fill="CCEEFF"/>
          </w:tcPr>
          <w:p>
            <w:pPr>
              <w:jc w:val="right"/>
              <w:ind w:right="3360"/>
              <w:spacing w:after="0"/>
              <w:rPr>
                <w:sz w:val="20"/>
                <w:szCs w:val="20"/>
                <w:color w:val="auto"/>
              </w:rPr>
            </w:pPr>
            <w:r>
              <w:rPr>
                <w:rFonts w:ascii="Times New Roman" w:cs="Times New Roman" w:eastAsia="Times New Roman" w:hAnsi="Times New Roman"/>
                <w:sz w:val="12"/>
                <w:szCs w:val="12"/>
                <w:color w:val="auto"/>
              </w:rPr>
              <w:t>Other income (expense)</w:t>
            </w:r>
          </w:p>
        </w:tc>
        <w:tc>
          <w:tcPr>
            <w:tcW w:w="1060" w:type="dxa"/>
            <w:vAlign w:val="bottom"/>
            <w:tcBorders>
              <w:bottom w:val="single" w:sz="8" w:color="auto"/>
            </w:tcBorders>
            <w:shd w:val="clear" w:color="auto" w:fill="CCEEFF"/>
          </w:tcPr>
          <w:p>
            <w:pPr>
              <w:jc w:val="right"/>
              <w:ind w:right="920"/>
              <w:spacing w:after="0"/>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665</w:t>
            </w: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900"/>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r>
    </w:tbl>
    <w:p>
      <w:pPr>
        <w:spacing w:after="0" w:line="217" w:lineRule="exact"/>
        <w:rPr>
          <w:sz w:val="20"/>
          <w:szCs w:val="20"/>
          <w:color w:val="auto"/>
        </w:rPr>
      </w:pPr>
    </w:p>
    <w:p>
      <w:pPr>
        <w:ind w:left="600" w:hanging="120"/>
        <w:spacing w:after="0"/>
        <w:tabs>
          <w:tab w:leader="none" w:pos="600" w:val="left"/>
        </w:tabs>
        <w:numPr>
          <w:ilvl w:val="0"/>
          <w:numId w:val="8"/>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2"/>
          <w:szCs w:val="12"/>
          <w:color w:val="auto"/>
        </w:rPr>
        <w:t>Represents the fair value of RINs transferred as consideration for services received.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Contract Balances</w:t>
      </w:r>
    </w:p>
    <w:p>
      <w:pPr>
        <w:spacing w:after="0" w:line="14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 following table provides information about receivables, contract assets, and contract liabilities from contracts with customers: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161290</wp:posOffset>
            </wp:positionV>
            <wp:extent cx="7193280"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377" w:right="31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50"/>
        </w:trPr>
        <w:tc>
          <w:tcPr>
            <w:tcW w:w="82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March 31,</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0" w:type="dxa"/>
            <w:vAlign w:val="bottom"/>
          </w:tcPr>
          <w:p>
            <w:pPr>
              <w:spacing w:after="0"/>
              <w:rPr>
                <w:sz w:val="1"/>
                <w:szCs w:val="1"/>
                <w:color w:val="auto"/>
              </w:rPr>
            </w:pPr>
          </w:p>
        </w:tc>
      </w:tr>
      <w:tr>
        <w:trPr>
          <w:trHeight w:val="166"/>
        </w:trPr>
        <w:tc>
          <w:tcPr>
            <w:tcW w:w="820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2024</w:t>
            </w: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2023</w:t>
            </w:r>
          </w:p>
        </w:tc>
        <w:tc>
          <w:tcPr>
            <w:tcW w:w="0" w:type="dxa"/>
            <w:vAlign w:val="bottom"/>
          </w:tcPr>
          <w:p>
            <w:pPr>
              <w:spacing w:after="0"/>
              <w:rPr>
                <w:sz w:val="1"/>
                <w:szCs w:val="1"/>
                <w:color w:val="auto"/>
              </w:rPr>
            </w:pPr>
          </w:p>
        </w:tc>
      </w:tr>
      <w:tr>
        <w:trPr>
          <w:trHeight w:val="157"/>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Accounts receivable, net</w:t>
            </w:r>
          </w:p>
        </w:tc>
        <w:tc>
          <w:tcPr>
            <w:tcW w:w="1060" w:type="dxa"/>
            <w:vAlign w:val="bottom"/>
            <w:tcBorders>
              <w:bottom w:val="single" w:sz="8" w:color="CCEEFF"/>
            </w:tcBorders>
            <w:shd w:val="clear" w:color="auto" w:fill="CCEEFF"/>
          </w:tcPr>
          <w:p>
            <w:pPr>
              <w:jc w:val="right"/>
              <w:ind w:right="920"/>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22,805</w:t>
            </w: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27,623</w:t>
            </w:r>
          </w:p>
        </w:tc>
        <w:tc>
          <w:tcPr>
            <w:tcW w:w="0" w:type="dxa"/>
            <w:vAlign w:val="bottom"/>
          </w:tcPr>
          <w:p>
            <w:pPr>
              <w:spacing w:after="0"/>
              <w:rPr>
                <w:sz w:val="1"/>
                <w:szCs w:val="1"/>
                <w:color w:val="auto"/>
              </w:rPr>
            </w:pPr>
          </w:p>
        </w:tc>
      </w:tr>
      <w:tr>
        <w:trPr>
          <w:trHeight w:val="159"/>
        </w:trPr>
        <w:tc>
          <w:tcPr>
            <w:tcW w:w="820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Contract assets:</w:t>
            </w:r>
          </w:p>
        </w:tc>
        <w:tc>
          <w:tcPr>
            <w:tcW w:w="10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8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Cost and estimated earnings in excess of billings</w:t>
            </w:r>
          </w:p>
        </w:tc>
        <w:tc>
          <w:tcPr>
            <w:tcW w:w="1060" w:type="dxa"/>
            <w:vAlign w:val="bottom"/>
            <w:tcBorders>
              <w:bottom w:val="single" w:sz="8" w:color="CCEEFF"/>
            </w:tcBorders>
            <w:shd w:val="clear" w:color="auto" w:fill="CCEEFF"/>
          </w:tcPr>
          <w:p>
            <w:pPr>
              <w:jc w:val="right"/>
              <w:ind w:right="920"/>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6,818</w:t>
            </w: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4,630</w:t>
            </w:r>
          </w:p>
        </w:tc>
        <w:tc>
          <w:tcPr>
            <w:tcW w:w="0" w:type="dxa"/>
            <w:vAlign w:val="bottom"/>
          </w:tcPr>
          <w:p>
            <w:pPr>
              <w:spacing w:after="0"/>
              <w:rPr>
                <w:sz w:val="1"/>
                <w:szCs w:val="1"/>
                <w:color w:val="auto"/>
              </w:rPr>
            </w:pPr>
          </w:p>
        </w:tc>
      </w:tr>
      <w:tr>
        <w:trPr>
          <w:trHeight w:val="156"/>
        </w:trPr>
        <w:tc>
          <w:tcPr>
            <w:tcW w:w="82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Accounts receivable retainage, net</w:t>
            </w:r>
          </w:p>
        </w:tc>
        <w:tc>
          <w:tcPr>
            <w:tcW w:w="10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2,179</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2,160</w:t>
            </w:r>
          </w:p>
        </w:tc>
        <w:tc>
          <w:tcPr>
            <w:tcW w:w="0" w:type="dxa"/>
            <w:vAlign w:val="bottom"/>
          </w:tcPr>
          <w:p>
            <w:pPr>
              <w:spacing w:after="0"/>
              <w:rPr>
                <w:sz w:val="1"/>
                <w:szCs w:val="1"/>
                <w:color w:val="auto"/>
              </w:rPr>
            </w:pPr>
          </w:p>
        </w:tc>
      </w:tr>
      <w:tr>
        <w:trPr>
          <w:trHeight w:val="24"/>
        </w:trPr>
        <w:tc>
          <w:tcPr>
            <w:tcW w:w="82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82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Contract assets total</w:t>
            </w:r>
          </w:p>
        </w:tc>
        <w:tc>
          <w:tcPr>
            <w:tcW w:w="1060" w:type="dxa"/>
            <w:vAlign w:val="bottom"/>
            <w:tcBorders>
              <w:bottom w:val="single" w:sz="8" w:color="auto"/>
            </w:tcBorders>
            <w:shd w:val="clear" w:color="auto" w:fill="CCEEFF"/>
          </w:tcPr>
          <w:p>
            <w:pPr>
              <w:jc w:val="right"/>
              <w:ind w:right="920"/>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8,997</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6,790</w:t>
            </w:r>
          </w:p>
        </w:tc>
        <w:tc>
          <w:tcPr>
            <w:tcW w:w="0" w:type="dxa"/>
            <w:vAlign w:val="bottom"/>
          </w:tcPr>
          <w:p>
            <w:pPr>
              <w:spacing w:after="0"/>
              <w:rPr>
                <w:sz w:val="1"/>
                <w:szCs w:val="1"/>
                <w:color w:val="auto"/>
              </w:rPr>
            </w:pPr>
          </w:p>
        </w:tc>
      </w:tr>
      <w:tr>
        <w:trPr>
          <w:trHeight w:val="20"/>
        </w:trPr>
        <w:tc>
          <w:tcPr>
            <w:tcW w:w="82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Contract liabilities:</w:t>
            </w: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8200" w:type="dxa"/>
            <w:vAlign w:val="bottom"/>
            <w:vMerge w:val="continue"/>
          </w:tcPr>
          <w:p>
            <w:pPr>
              <w:spacing w:after="0"/>
              <w:rPr>
                <w:sz w:val="8"/>
                <w:szCs w:val="8"/>
                <w:color w:val="auto"/>
              </w:rPr>
            </w:pPr>
          </w:p>
        </w:tc>
        <w:tc>
          <w:tcPr>
            <w:tcW w:w="10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8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Billings in excess of costs and estimated earnings</w:t>
            </w:r>
          </w:p>
        </w:tc>
        <w:tc>
          <w:tcPr>
            <w:tcW w:w="1060" w:type="dxa"/>
            <w:vAlign w:val="bottom"/>
            <w:tcBorders>
              <w:bottom w:val="single" w:sz="8" w:color="CCEEFF"/>
            </w:tcBorders>
            <w:shd w:val="clear" w:color="auto" w:fill="CCEEFF"/>
          </w:tcPr>
          <w:p>
            <w:pPr>
              <w:jc w:val="right"/>
              <w:ind w:right="920"/>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7,785</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6,314</w:t>
            </w:r>
          </w:p>
        </w:tc>
        <w:tc>
          <w:tcPr>
            <w:tcW w:w="0" w:type="dxa"/>
            <w:vAlign w:val="bottom"/>
          </w:tcPr>
          <w:p>
            <w:pPr>
              <w:spacing w:after="0"/>
              <w:rPr>
                <w:sz w:val="1"/>
                <w:szCs w:val="1"/>
                <w:color w:val="auto"/>
              </w:rPr>
            </w:pPr>
          </w:p>
        </w:tc>
      </w:tr>
      <w:tr>
        <w:trPr>
          <w:trHeight w:val="168"/>
        </w:trPr>
        <w:tc>
          <w:tcPr>
            <w:tcW w:w="820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Contract liabilities total</w:t>
            </w:r>
          </w:p>
        </w:tc>
        <w:tc>
          <w:tcPr>
            <w:tcW w:w="1060" w:type="dxa"/>
            <w:vAlign w:val="bottom"/>
            <w:tcBorders>
              <w:top w:val="single" w:sz="8" w:color="auto"/>
              <w:bottom w:val="single" w:sz="8" w:color="auto"/>
            </w:tcBorders>
          </w:tcPr>
          <w:p>
            <w:pPr>
              <w:jc w:val="right"/>
              <w:ind w:right="920"/>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7,785</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6,314</w:t>
            </w:r>
          </w:p>
        </w:tc>
        <w:tc>
          <w:tcPr>
            <w:tcW w:w="0" w:type="dxa"/>
            <w:vAlign w:val="bottom"/>
          </w:tcPr>
          <w:p>
            <w:pPr>
              <w:spacing w:after="0"/>
              <w:rPr>
                <w:sz w:val="1"/>
                <w:szCs w:val="1"/>
                <w:color w:val="auto"/>
              </w:rPr>
            </w:pPr>
          </w:p>
        </w:tc>
      </w:tr>
      <w:tr>
        <w:trPr>
          <w:trHeight w:val="20"/>
        </w:trPr>
        <w:tc>
          <w:tcPr>
            <w:tcW w:w="8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jc w:val="both"/>
        <w:ind w:firstLine="240"/>
        <w:spacing w:after="0" w:line="294" w:lineRule="auto"/>
        <w:rPr>
          <w:sz w:val="20"/>
          <w:szCs w:val="20"/>
          <w:color w:val="auto"/>
        </w:rPr>
      </w:pPr>
      <w:r>
        <w:rPr>
          <w:rFonts w:ascii="Times New Roman" w:cs="Times New Roman" w:eastAsia="Times New Roman" w:hAnsi="Times New Roman"/>
          <w:sz w:val="13"/>
          <w:szCs w:val="13"/>
          <w:color w:val="auto"/>
        </w:rPr>
        <w:t>During the three months ended March 31, 2024, the Company recognized revenue of $2,746 that was included in "Contract liabilities" at December 31, 2023. During the three months ended March 31, 2023, the Company recognized revenue of $8,013 that was included in "Contract liabilities" at December 31, 2022.</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Environmental credits held for sale</w:t>
      </w:r>
    </w:p>
    <w:p>
      <w:pPr>
        <w:spacing w:after="0" w:line="125"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3"/>
          <w:szCs w:val="13"/>
          <w:color w:val="auto"/>
        </w:rPr>
        <w:t>The Company provides dispensing and credit monetization services to OPAL owned facilities and third-party customers that own renewable gas generation facilities. The Company recognizes revenue from these services as the credits are minted on behalf of the customer. The Company receives non-cash consideration in the form of RINs or LCFSs for providing these services and recognizes the environmental credits received as part of Revenues - Fuel Station Services and Environmental credits held for sale within current assets based on their estimated fair value at contract inception. It is recorded at historical fair value at contract inception and reviewed to ensure it is recorded at lower of cost and net realizable value at each balance sheet date. Due to the historically higher LCFS pricing, the fair value at contract inception may be significantly higher than the net realizable value of the environmental credits generated at the period-end balance sheet date. For the three months ended March 31, 2024 and 2023, the Company recorded $3,156 and $1,218 as part of Cost of sales - Fuel Station Services in its condensed consolidated statements of operations to adjust environmental credits held for sale to lower of cost and net realizable value.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Fuel Station Services Construction Backlog</w:t>
      </w:r>
    </w:p>
    <w:p>
      <w:pPr>
        <w:spacing w:after="0" w:line="125" w:lineRule="exact"/>
        <w:rPr>
          <w:sz w:val="20"/>
          <w:szCs w:val="20"/>
          <w:color w:val="auto"/>
        </w:rPr>
      </w:pPr>
    </w:p>
    <w:p>
      <w:pPr>
        <w:jc w:val="both"/>
        <w:ind w:firstLine="240"/>
        <w:spacing w:after="0" w:line="294" w:lineRule="auto"/>
        <w:rPr>
          <w:sz w:val="20"/>
          <w:szCs w:val="20"/>
          <w:color w:val="auto"/>
        </w:rPr>
      </w:pPr>
      <w:r>
        <w:rPr>
          <w:rFonts w:ascii="Times New Roman" w:cs="Times New Roman" w:eastAsia="Times New Roman" w:hAnsi="Times New Roman"/>
          <w:sz w:val="13"/>
          <w:szCs w:val="13"/>
          <w:color w:val="auto"/>
        </w:rPr>
        <w:t>The Company's remaining performance obligations ("backlog") represent the unrecognized revenue value of its contract commitments. The Company's backlog may significantly vary each reporting period based on the timing of major new contract commitments. At March 31, 2024, the Company had a backlog of $43,731 of which $32,917 is anticipated to be recognized as revenue in the next 12 months.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Major Maintenance</w:t>
      </w:r>
    </w:p>
    <w:p>
      <w:pPr>
        <w:spacing w:after="0" w:line="195" w:lineRule="exact"/>
        <w:rPr>
          <w:sz w:val="20"/>
          <w:szCs w:val="20"/>
          <w:color w:val="auto"/>
        </w:rPr>
      </w:pPr>
    </w:p>
    <w:p>
      <w:pPr>
        <w:jc w:val="both"/>
        <w:ind w:firstLine="480"/>
        <w:spacing w:after="0" w:line="275" w:lineRule="auto"/>
        <w:rPr>
          <w:sz w:val="20"/>
          <w:szCs w:val="20"/>
          <w:color w:val="auto"/>
        </w:rPr>
      </w:pPr>
      <w:r>
        <w:rPr>
          <w:rFonts w:ascii="Times New Roman" w:cs="Times New Roman" w:eastAsia="Times New Roman" w:hAnsi="Times New Roman"/>
          <w:sz w:val="13"/>
          <w:szCs w:val="13"/>
          <w:color w:val="auto"/>
        </w:rPr>
        <w:t>Major maintenance is a component of maintenance expense and encompasses overhauls of internal combustion engines, gas compressors and electrical generators. Major maintenance is expensed as incurred. Major maintenance expense was $2,909 and $2,076 for the three months ended March 31, 2024 and 2023 respectively, and is included in cost of sales — Renewable Power in the consolidated statements of operations.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Vulnerability Due to Certain Concentrations</w:t>
      </w:r>
    </w:p>
    <w:p>
      <w:pPr>
        <w:spacing w:after="0" w:line="195" w:lineRule="exact"/>
        <w:rPr>
          <w:sz w:val="20"/>
          <w:szCs w:val="20"/>
          <w:color w:val="auto"/>
        </w:rPr>
      </w:pPr>
    </w:p>
    <w:p>
      <w:pPr>
        <w:jc w:val="both"/>
        <w:ind w:firstLine="480"/>
        <w:spacing w:after="0" w:line="266" w:lineRule="auto"/>
        <w:rPr>
          <w:sz w:val="20"/>
          <w:szCs w:val="20"/>
          <w:color w:val="auto"/>
        </w:rPr>
      </w:pPr>
      <w:r>
        <w:rPr>
          <w:rFonts w:ascii="Times New Roman" w:cs="Times New Roman" w:eastAsia="Times New Roman" w:hAnsi="Times New Roman"/>
          <w:sz w:val="13"/>
          <w:szCs w:val="13"/>
          <w:color w:val="auto"/>
        </w:rPr>
        <w:t>Financial instruments that potentially subject the Company to concentration of credit risk consist principally of cash, cash equivalents, restricted cash, short term investments, derivative instruments and trade accounts receivable. The Company holds cash, cash equivalents and restricted cash at several major financial institutions, much of which exceeds FDIC insured limits. Historically, the Company has not experienced any losses due to such concentration of credit risk. The Company’s temporary cash investments policy is to limit the dollar amount of investments with any one financial institution and monitor the credit ratings of those institutions. While the Company may be exposed to credit losses due to the nonperformance of the holders of its deposits, the Company does not expect the settlement of these transactions to have a material effect on its results of operations, cash flows or financial condition.</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161290</wp:posOffset>
            </wp:positionV>
            <wp:extent cx="7193280"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377"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3"/>
          <w:szCs w:val="13"/>
          <w:b w:val="1"/>
          <w:bCs w:val="1"/>
          <w:color w:val="auto"/>
        </w:rPr>
        <w:t>Income Taxes</w:t>
      </w:r>
    </w:p>
    <w:p>
      <w:pPr>
        <w:spacing w:after="0" w:line="125" w:lineRule="exact"/>
        <w:rPr>
          <w:sz w:val="20"/>
          <w:szCs w:val="20"/>
          <w:color w:val="auto"/>
        </w:rPr>
      </w:pPr>
    </w:p>
    <w:p>
      <w:pPr>
        <w:jc w:val="both"/>
        <w:ind w:firstLine="240"/>
        <w:spacing w:after="0" w:line="266" w:lineRule="auto"/>
        <w:rPr>
          <w:sz w:val="20"/>
          <w:szCs w:val="20"/>
          <w:color w:val="auto"/>
        </w:rPr>
      </w:pPr>
      <w:r>
        <w:rPr>
          <w:rFonts w:ascii="Times New Roman" w:cs="Times New Roman" w:eastAsia="Times New Roman" w:hAnsi="Times New Roman"/>
          <w:sz w:val="13"/>
          <w:szCs w:val="13"/>
          <w:color w:val="auto"/>
        </w:rPr>
        <w:t>The Company accounts for income taxes in accordance with ASC Topic 740, Accounting for Income Taxes (“ASC Topic 740”), which requires the recognition of tax benefits or expenses on temporary differences between the financial reporting and tax bases of its assets and liabilities by applying the enacted tax rates in effect for the year in which the differences are expected to reverse. Such net tax effects on temporary differences are reflected on the Company’s condensed consolidated balance sheets as deferred tax assets and liabilities. Deferred tax assets are reduced by a valuation allowance when the Company believes that it is more-likely-than-not that some portion or all of the deferred tax assets will not be realized. The Company calculates the interim tax provision in accordance with the provisions of ASC Subtopic 740-270, Income Taxes; Interim Reporting. For interim periods, the Company estimates the annual effective income tax rate and applies the estimated rate to the year-to-date income or loss before income taxes.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Significant Customers, Vendors and Concentration of Credit Risk</w:t>
      </w:r>
    </w:p>
    <w:p>
      <w:pPr>
        <w:spacing w:after="0" w:line="115" w:lineRule="exact"/>
        <w:rPr>
          <w:sz w:val="20"/>
          <w:szCs w:val="20"/>
          <w:color w:val="auto"/>
        </w:rPr>
      </w:pPr>
    </w:p>
    <w:p>
      <w:pPr>
        <w:jc w:val="both"/>
        <w:ind w:firstLine="240"/>
        <w:spacing w:after="0" w:line="294" w:lineRule="auto"/>
        <w:rPr>
          <w:sz w:val="20"/>
          <w:szCs w:val="20"/>
          <w:color w:val="auto"/>
        </w:rPr>
      </w:pPr>
      <w:r>
        <w:rPr>
          <w:rFonts w:ascii="Times New Roman" w:cs="Times New Roman" w:eastAsia="Times New Roman" w:hAnsi="Times New Roman"/>
          <w:sz w:val="13"/>
          <w:szCs w:val="13"/>
          <w:color w:val="auto"/>
        </w:rPr>
        <w:t>For the three months ended March 31, 2024, two customers accounted for 55% of the revenue. For the three months ended March 31, 2023, three customers accounted for 44% of the revenue. At March 31, 2024, two customers accounted for 58% of accounts receivable. At December 31, 2023, two customers accounted for 54% of accounts receivable.</w:t>
      </w:r>
    </w:p>
    <w:p>
      <w:pPr>
        <w:spacing w:after="0" w:line="64" w:lineRule="exact"/>
        <w:rPr>
          <w:sz w:val="20"/>
          <w:szCs w:val="20"/>
          <w:color w:val="auto"/>
        </w:rPr>
      </w:pPr>
    </w:p>
    <w:p>
      <w:pPr>
        <w:jc w:val="both"/>
        <w:ind w:firstLine="240"/>
        <w:spacing w:after="0" w:line="294" w:lineRule="auto"/>
        <w:rPr>
          <w:sz w:val="20"/>
          <w:szCs w:val="20"/>
          <w:color w:val="auto"/>
        </w:rPr>
      </w:pPr>
      <w:r>
        <w:rPr>
          <w:rFonts w:ascii="Times New Roman" w:cs="Times New Roman" w:eastAsia="Times New Roman" w:hAnsi="Times New Roman"/>
          <w:sz w:val="13"/>
          <w:szCs w:val="13"/>
          <w:color w:val="auto"/>
        </w:rPr>
        <w:t>Financial instruments that potentially subject the Company to concentrations of credit risk consist principally of cash and cash equivalents, and trade receivables. The Company places its cash with high credit quality financial institutions located in the United States of America. The Company performs ongoing credit evaluations of its customers.</w:t>
      </w:r>
    </w:p>
    <w:p>
      <w:pPr>
        <w:spacing w:after="0" w:line="6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As of March 31, 2024</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 xml:space="preserve"> no vendors accounted for more than 10% of the accounts payable. As of December 31, 2023, one vendor accounted for 32% of the accounts payable.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3. Investment in Other Entities</w:t>
      </w:r>
    </w:p>
    <w:p>
      <w:pPr>
        <w:spacing w:after="0" w:line="115" w:lineRule="exact"/>
        <w:rPr>
          <w:sz w:val="20"/>
          <w:szCs w:val="20"/>
          <w:color w:val="auto"/>
        </w:rPr>
      </w:pPr>
    </w:p>
    <w:p>
      <w:pPr>
        <w:jc w:val="both"/>
        <w:ind w:firstLine="240"/>
        <w:spacing w:after="0" w:line="275" w:lineRule="auto"/>
        <w:rPr>
          <w:sz w:val="20"/>
          <w:szCs w:val="20"/>
          <w:color w:val="auto"/>
        </w:rPr>
      </w:pPr>
      <w:r>
        <w:rPr>
          <w:rFonts w:ascii="Times New Roman" w:cs="Times New Roman" w:eastAsia="Times New Roman" w:hAnsi="Times New Roman"/>
          <w:sz w:val="13"/>
          <w:szCs w:val="13"/>
          <w:color w:val="auto"/>
        </w:rPr>
        <w:t>The Company uses the equity method to account for investments in affiliates that it does not control, but in which it has the ability to exercise significant influence over operating and financial policies. The Company's investments in these nonconsolidated affiliates are reflected in the Company's condensed consolidated balance sheets under the equity method, and the Company's proportionate net income, if any, is included in the Company's condensed consolidated statements of operations as income from equity method investments.</w:t>
      </w:r>
    </w:p>
    <w:p>
      <w:pPr>
        <w:spacing w:after="0" w:line="77" w:lineRule="exact"/>
        <w:rPr>
          <w:sz w:val="20"/>
          <w:szCs w:val="20"/>
          <w:color w:val="auto"/>
        </w:rPr>
      </w:pPr>
    </w:p>
    <w:p>
      <w:pPr>
        <w:jc w:val="both"/>
        <w:ind w:firstLine="240"/>
        <w:spacing w:after="0" w:line="269" w:lineRule="auto"/>
        <w:rPr>
          <w:sz w:val="20"/>
          <w:szCs w:val="20"/>
          <w:color w:val="auto"/>
        </w:rPr>
      </w:pPr>
      <w:r>
        <w:rPr>
          <w:rFonts w:ascii="Times New Roman" w:cs="Times New Roman" w:eastAsia="Times New Roman" w:hAnsi="Times New Roman"/>
          <w:sz w:val="13"/>
          <w:szCs w:val="13"/>
          <w:color w:val="auto"/>
        </w:rPr>
        <w:t>We continue to evaluate operational developments and the impact of the anticipated expansion of the operations of our existing equity method investments. Based on our analysis, it was determined that our equity method investments have evolved into a critical, integral part of our RNG segment business operations as they provide critical additional production capacity. Therefore, we have determined that the presentation of income (loss) from equity method investments as part of the operating income is more meaningful and useful information to the readers of our financial statements. As a result, we have reclassified our portion of income (loss) from equity method investments to Operating income for all periods presented.</w:t>
      </w:r>
    </w:p>
    <w:p>
      <w:pPr>
        <w:spacing w:after="0" w:line="36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 following table shows the movement of Investment in Other Entities:</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161290</wp:posOffset>
            </wp:positionV>
            <wp:extent cx="7193280"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364" w:right="31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70"/>
        </w:trPr>
        <w:tc>
          <w:tcPr>
            <w:tcW w:w="3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Pine Bend</w:t>
            </w:r>
          </w:p>
        </w:tc>
        <w:tc>
          <w:tcPr>
            <w:tcW w:w="2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Noble Road</w:t>
            </w:r>
          </w:p>
        </w:tc>
        <w:tc>
          <w:tcPr>
            <w:tcW w:w="2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GREP</w:t>
            </w:r>
          </w:p>
        </w:tc>
        <w:tc>
          <w:tcPr>
            <w:tcW w:w="3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SJI</w:t>
            </w:r>
          </w:p>
        </w:tc>
        <w:tc>
          <w:tcPr>
            <w:tcW w:w="2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Paragon</w:t>
            </w: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453"/>
              <w:spacing w:after="0"/>
              <w:rPr>
                <w:sz w:val="20"/>
                <w:szCs w:val="20"/>
                <w:color w:val="auto"/>
              </w:rPr>
            </w:pPr>
            <w:r>
              <w:rPr>
                <w:rFonts w:ascii="Times New Roman" w:cs="Times New Roman" w:eastAsia="Times New Roman" w:hAnsi="Times New Roman"/>
                <w:sz w:val="13"/>
                <w:szCs w:val="13"/>
                <w:color w:val="auto"/>
              </w:rPr>
              <w:t>Total</w:t>
            </w:r>
          </w:p>
        </w:tc>
      </w:tr>
      <w:tr>
        <w:trPr>
          <w:trHeight w:val="160"/>
        </w:trPr>
        <w:tc>
          <w:tcPr>
            <w:tcW w:w="3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Percentage of ownership</w:t>
            </w:r>
          </w:p>
        </w:tc>
        <w:tc>
          <w:tcPr>
            <w:tcW w:w="2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50 %</w:t>
            </w: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50 %</w:t>
            </w:r>
          </w:p>
        </w:tc>
        <w:tc>
          <w:tcPr>
            <w:tcW w:w="6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20 %</w:t>
            </w:r>
          </w:p>
        </w:tc>
        <w:tc>
          <w:tcPr>
            <w:tcW w:w="8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50 %</w:t>
            </w:r>
          </w:p>
        </w:tc>
        <w:tc>
          <w:tcPr>
            <w:tcW w:w="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50 %</w:t>
            </w:r>
          </w:p>
        </w:tc>
        <w:tc>
          <w:tcPr>
            <w:tcW w:w="6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r>
      <w:tr>
        <w:trPr>
          <w:trHeight w:val="200"/>
        </w:trPr>
        <w:tc>
          <w:tcPr>
            <w:tcW w:w="3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170"/>
        </w:trPr>
        <w:tc>
          <w:tcPr>
            <w:tcW w:w="3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at December 31, 2023</w:t>
            </w:r>
          </w:p>
        </w:tc>
        <w:tc>
          <w:tcPr>
            <w:tcW w:w="22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21,062</w:t>
            </w:r>
          </w:p>
        </w:tc>
        <w:tc>
          <w:tcPr>
            <w:tcW w:w="80" w:type="dxa"/>
            <w:vAlign w:val="bottom"/>
          </w:tcPr>
          <w:p>
            <w:pPr>
              <w:spacing w:after="0"/>
              <w:rPr>
                <w:sz w:val="14"/>
                <w:szCs w:val="14"/>
                <w:color w:val="auto"/>
              </w:rPr>
            </w:pPr>
          </w:p>
        </w:tc>
        <w:tc>
          <w:tcPr>
            <w:tcW w:w="2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22,174</w:t>
            </w:r>
          </w:p>
        </w:tc>
        <w:tc>
          <w:tcPr>
            <w:tcW w:w="60" w:type="dxa"/>
            <w:vAlign w:val="bottom"/>
          </w:tcPr>
          <w:p>
            <w:pPr>
              <w:spacing w:after="0"/>
              <w:rPr>
                <w:sz w:val="14"/>
                <w:szCs w:val="14"/>
                <w:color w:val="auto"/>
              </w:rPr>
            </w:pPr>
          </w:p>
        </w:tc>
        <w:tc>
          <w:tcPr>
            <w:tcW w:w="280" w:type="dxa"/>
            <w:vAlign w:val="bottom"/>
          </w:tcPr>
          <w:p>
            <w:pPr>
              <w:jc w:val="right"/>
              <w:ind w:right="133"/>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2,015</w:t>
            </w:r>
          </w:p>
        </w:tc>
        <w:tc>
          <w:tcPr>
            <w:tcW w:w="80" w:type="dxa"/>
            <w:vAlign w:val="bottom"/>
          </w:tcPr>
          <w:p>
            <w:pPr>
              <w:spacing w:after="0"/>
              <w:rPr>
                <w:sz w:val="14"/>
                <w:szCs w:val="14"/>
                <w:color w:val="auto"/>
              </w:rPr>
            </w:pPr>
          </w:p>
        </w:tc>
        <w:tc>
          <w:tcPr>
            <w:tcW w:w="320" w:type="dxa"/>
            <w:vAlign w:val="bottom"/>
          </w:tcPr>
          <w:p>
            <w:pPr>
              <w:jc w:val="right"/>
              <w:ind w:right="173"/>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1,567</w:t>
            </w:r>
          </w:p>
        </w:tc>
        <w:tc>
          <w:tcPr>
            <w:tcW w:w="80" w:type="dxa"/>
            <w:vAlign w:val="bottom"/>
          </w:tcPr>
          <w:p>
            <w:pPr>
              <w:spacing w:after="0"/>
              <w:rPr>
                <w:sz w:val="14"/>
                <w:szCs w:val="14"/>
                <w:color w:val="auto"/>
              </w:rPr>
            </w:pPr>
          </w:p>
        </w:tc>
        <w:tc>
          <w:tcPr>
            <w:tcW w:w="26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160,281</w:t>
            </w:r>
          </w:p>
        </w:tc>
        <w:tc>
          <w:tcPr>
            <w:tcW w:w="60" w:type="dxa"/>
            <w:vAlign w:val="bottom"/>
          </w:tcPr>
          <w:p>
            <w:pPr>
              <w:spacing w:after="0"/>
              <w:rPr>
                <w:sz w:val="14"/>
                <w:szCs w:val="14"/>
                <w:color w:val="auto"/>
              </w:rPr>
            </w:pPr>
          </w:p>
        </w:tc>
        <w:tc>
          <w:tcPr>
            <w:tcW w:w="320" w:type="dxa"/>
            <w:vAlign w:val="bottom"/>
          </w:tcPr>
          <w:p>
            <w:pPr>
              <w:jc w:val="right"/>
              <w:ind w:right="173"/>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207,099</w:t>
            </w:r>
          </w:p>
        </w:tc>
      </w:tr>
      <w:tr>
        <w:trPr>
          <w:trHeight w:val="17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from equity method investment</w:t>
            </w: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1,042</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1,469</w:t>
            </w: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rPr>
              <w:t>(71)</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rPr>
              <w:t>(59)</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3,255</w:t>
            </w: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5,636</w:t>
            </w:r>
          </w:p>
        </w:tc>
      </w:tr>
      <w:tr>
        <w:trPr>
          <w:trHeight w:val="170"/>
        </w:trPr>
        <w:tc>
          <w:tcPr>
            <w:tcW w:w="3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Contribution by the Company</w:t>
            </w:r>
          </w:p>
        </w:tc>
        <w:tc>
          <w:tcPr>
            <w:tcW w:w="22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96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1,500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1,500</w:t>
            </w:r>
          </w:p>
        </w:tc>
      </w:tr>
      <w:tr>
        <w:trPr>
          <w:trHeight w:val="133"/>
        </w:trPr>
        <w:tc>
          <w:tcPr>
            <w:tcW w:w="3120" w:type="dxa"/>
            <w:vAlign w:val="bottom"/>
            <w:shd w:val="clear" w:color="auto" w:fill="CCEEFF"/>
          </w:tcPr>
          <w:p>
            <w:pPr>
              <w:ind w:left="20"/>
              <w:spacing w:after="0" w:line="133" w:lineRule="exact"/>
              <w:rPr>
                <w:sz w:val="20"/>
                <w:szCs w:val="20"/>
                <w:color w:val="auto"/>
              </w:rPr>
            </w:pPr>
            <w:r>
              <w:rPr>
                <w:rFonts w:ascii="Times New Roman" w:cs="Times New Roman" w:eastAsia="Times New Roman" w:hAnsi="Times New Roman"/>
                <w:sz w:val="13"/>
                <w:szCs w:val="13"/>
                <w:color w:val="auto"/>
              </w:rPr>
              <w:t>Distributions from return on investment in equity</w:t>
            </w:r>
          </w:p>
        </w:tc>
        <w:tc>
          <w:tcPr>
            <w:tcW w:w="2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r>
      <w:tr>
        <w:trPr>
          <w:trHeight w:val="177"/>
        </w:trPr>
        <w:tc>
          <w:tcPr>
            <w:tcW w:w="312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3"/>
                <w:szCs w:val="13"/>
                <w:color w:val="auto"/>
              </w:rPr>
              <w:t xml:space="preserve">method investment </w:t>
            </w:r>
            <w:r>
              <w:rPr>
                <w:rFonts w:ascii="Times New Roman" w:cs="Times New Roman" w:eastAsia="Times New Roman" w:hAnsi="Times New Roman"/>
                <w:sz w:val="17"/>
                <w:szCs w:val="17"/>
                <w:color w:val="auto"/>
                <w:vertAlign w:val="superscript"/>
              </w:rPr>
              <w:t>(1)</w:t>
            </w: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rPr>
              <w:t>(996)</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rPr>
              <w:t>(1,400)</w:t>
            </w: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rPr>
              <w:t>(2,019)</w:t>
            </w:r>
          </w:p>
        </w:tc>
        <w:tc>
          <w:tcPr>
            <w:tcW w:w="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(4,415)</w:t>
            </w:r>
          </w:p>
        </w:tc>
      </w:tr>
      <w:tr>
        <w:trPr>
          <w:trHeight w:val="133"/>
        </w:trPr>
        <w:tc>
          <w:tcPr>
            <w:tcW w:w="3120" w:type="dxa"/>
            <w:vAlign w:val="bottom"/>
          </w:tcPr>
          <w:p>
            <w:pPr>
              <w:ind w:left="20"/>
              <w:spacing w:after="0" w:line="133" w:lineRule="exact"/>
              <w:rPr>
                <w:sz w:val="20"/>
                <w:szCs w:val="20"/>
                <w:color w:val="auto"/>
              </w:rPr>
            </w:pPr>
            <w:r>
              <w:rPr>
                <w:rFonts w:ascii="Times New Roman" w:cs="Times New Roman" w:eastAsia="Times New Roman" w:hAnsi="Times New Roman"/>
                <w:sz w:val="13"/>
                <w:szCs w:val="13"/>
                <w:color w:val="auto"/>
              </w:rPr>
              <w:t>Distributions from return of investment in equity</w:t>
            </w: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177"/>
        </w:trPr>
        <w:tc>
          <w:tcPr>
            <w:tcW w:w="3120" w:type="dxa"/>
            <w:vAlign w:val="bottom"/>
          </w:tcPr>
          <w:p>
            <w:pPr>
              <w:ind w:left="20"/>
              <w:spacing w:after="0" w:line="177" w:lineRule="exact"/>
              <w:rPr>
                <w:sz w:val="20"/>
                <w:szCs w:val="20"/>
                <w:color w:val="auto"/>
              </w:rPr>
            </w:pPr>
            <w:r>
              <w:rPr>
                <w:rFonts w:ascii="Times New Roman" w:cs="Times New Roman" w:eastAsia="Times New Roman" w:hAnsi="Times New Roman"/>
                <w:sz w:val="13"/>
                <w:szCs w:val="13"/>
                <w:color w:val="auto"/>
              </w:rPr>
              <w:t xml:space="preserve">method investment </w:t>
            </w:r>
            <w:r>
              <w:rPr>
                <w:rFonts w:ascii="Times New Roman" w:cs="Times New Roman" w:eastAsia="Times New Roman" w:hAnsi="Times New Roman"/>
                <w:sz w:val="17"/>
                <w:szCs w:val="17"/>
                <w:color w:val="auto"/>
                <w:vertAlign w:val="superscript"/>
              </w:rPr>
              <w:t>(2)</w:t>
            </w:r>
          </w:p>
        </w:tc>
        <w:tc>
          <w:tcPr>
            <w:tcW w:w="220" w:type="dxa"/>
            <w:vAlign w:val="bottom"/>
          </w:tcPr>
          <w:p>
            <w:pPr>
              <w:spacing w:after="0"/>
              <w:rPr>
                <w:sz w:val="15"/>
                <w:szCs w:val="15"/>
                <w:color w:val="auto"/>
              </w:rPr>
            </w:pPr>
          </w:p>
        </w:tc>
        <w:tc>
          <w:tcPr>
            <w:tcW w:w="104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(104)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5"/>
                <w:szCs w:val="15"/>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5"/>
                <w:szCs w:val="15"/>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5"/>
                <w:szCs w:val="15"/>
                <w:color w:val="auto"/>
              </w:rPr>
            </w:pPr>
          </w:p>
        </w:tc>
        <w:tc>
          <w:tcPr>
            <w:tcW w:w="104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(2,622)</w:t>
            </w: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(2,726)</w:t>
            </w:r>
          </w:p>
        </w:tc>
      </w:tr>
      <w:tr>
        <w:trPr>
          <w:trHeight w:val="17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Accumulated other comprehensive income</w:t>
            </w:r>
          </w:p>
        </w:tc>
        <w:tc>
          <w:tcPr>
            <w:tcW w:w="2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350</w:t>
            </w: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350</w:t>
            </w:r>
          </w:p>
        </w:tc>
      </w:tr>
      <w:tr>
        <w:trPr>
          <w:trHeight w:val="170"/>
        </w:trPr>
        <w:tc>
          <w:tcPr>
            <w:tcW w:w="3120" w:type="dxa"/>
            <w:vAlign w:val="bottom"/>
          </w:tcPr>
          <w:p>
            <w:pPr>
              <w:ind w:left="20"/>
              <w:spacing w:after="0" w:line="170" w:lineRule="exact"/>
              <w:rPr>
                <w:sz w:val="20"/>
                <w:szCs w:val="20"/>
                <w:color w:val="auto"/>
              </w:rPr>
            </w:pPr>
            <w:r>
              <w:rPr>
                <w:rFonts w:ascii="Times New Roman" w:cs="Times New Roman" w:eastAsia="Times New Roman" w:hAnsi="Times New Roman"/>
                <w:sz w:val="13"/>
                <w:szCs w:val="13"/>
                <w:color w:val="auto"/>
              </w:rPr>
              <w:t xml:space="preserve">Amortization of basis difference </w:t>
            </w:r>
            <w:r>
              <w:rPr>
                <w:rFonts w:ascii="Times New Roman" w:cs="Times New Roman" w:eastAsia="Times New Roman" w:hAnsi="Times New Roman"/>
                <w:sz w:val="17"/>
                <w:szCs w:val="17"/>
                <w:color w:val="auto"/>
                <w:vertAlign w:val="superscript"/>
              </w:rPr>
              <w:t>(3)</w:t>
            </w:r>
          </w:p>
        </w:tc>
        <w:tc>
          <w:tcPr>
            <w:tcW w:w="220" w:type="dxa"/>
            <w:vAlign w:val="bottom"/>
          </w:tcPr>
          <w:p>
            <w:pPr>
              <w:spacing w:after="0"/>
              <w:rPr>
                <w:sz w:val="14"/>
                <w:szCs w:val="14"/>
                <w:color w:val="auto"/>
              </w:rPr>
            </w:pPr>
          </w:p>
        </w:tc>
        <w:tc>
          <w:tcPr>
            <w:tcW w:w="104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(46)</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(147)</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104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(1,237)</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(1,430)</w:t>
            </w:r>
          </w:p>
        </w:tc>
      </w:tr>
      <w:tr>
        <w:trPr>
          <w:trHeight w:val="185"/>
        </w:trPr>
        <w:tc>
          <w:tcPr>
            <w:tcW w:w="3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March 31, 2024</w:t>
            </w:r>
          </w:p>
        </w:tc>
        <w:tc>
          <w:tcPr>
            <w:tcW w:w="22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20,958</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22,096</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1,944</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3,008</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158,008</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206,014</w:t>
            </w: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45" w:lineRule="exact"/>
        <w:rPr>
          <w:sz w:val="20"/>
          <w:szCs w:val="20"/>
          <w:color w:val="auto"/>
        </w:rPr>
      </w:pPr>
    </w:p>
    <w:p>
      <w:pPr>
        <w:ind w:left="140" w:hanging="140"/>
        <w:spacing w:after="0"/>
        <w:tabs>
          <w:tab w:leader="none" w:pos="140" w:val="left"/>
        </w:tabs>
        <w:numPr>
          <w:ilvl w:val="0"/>
          <w:numId w:val="9"/>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Recorded as part of cash flows from operating activities for the three months ended March 31, 2024.</w:t>
      </w:r>
    </w:p>
    <w:p>
      <w:pPr>
        <w:spacing w:after="0" w:line="104" w:lineRule="exact"/>
        <w:rPr>
          <w:rFonts w:ascii="Times New Roman" w:cs="Times New Roman" w:eastAsia="Times New Roman" w:hAnsi="Times New Roman"/>
          <w:sz w:val="17"/>
          <w:szCs w:val="17"/>
          <w:color w:val="auto"/>
          <w:vertAlign w:val="superscript"/>
        </w:rPr>
      </w:pPr>
    </w:p>
    <w:p>
      <w:pPr>
        <w:ind w:left="140" w:hanging="140"/>
        <w:spacing w:after="0"/>
        <w:tabs>
          <w:tab w:leader="none" w:pos="140" w:val="left"/>
        </w:tabs>
        <w:numPr>
          <w:ilvl w:val="0"/>
          <w:numId w:val="9"/>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Recorded as part of cash flows from investing activities for the three months ended March 31, 2024.</w:t>
      </w:r>
    </w:p>
    <w:p>
      <w:pPr>
        <w:spacing w:after="0" w:line="117" w:lineRule="exact"/>
        <w:rPr>
          <w:rFonts w:ascii="Times New Roman" w:cs="Times New Roman" w:eastAsia="Times New Roman" w:hAnsi="Times New Roman"/>
          <w:sz w:val="17"/>
          <w:szCs w:val="17"/>
          <w:color w:val="auto"/>
          <w:vertAlign w:val="superscript"/>
        </w:rPr>
      </w:pPr>
    </w:p>
    <w:p>
      <w:pPr>
        <w:ind w:left="240" w:right="3000" w:hanging="240"/>
        <w:spacing w:after="0" w:line="429" w:lineRule="auto"/>
        <w:tabs>
          <w:tab w:leader="none" w:pos="134" w:val="left"/>
        </w:tabs>
        <w:numPr>
          <w:ilvl w:val="0"/>
          <w:numId w:val="9"/>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Reflected in Income from equity method investments in the condensed consolidated statement of operations for the three months ended March 31, 2024. The following table summarizes the activity from our equity method investments as well as our share of net income from equity method investments: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940" w:type="dxa"/>
            <w:vAlign w:val="bottom"/>
          </w:tcPr>
          <w:p>
            <w:pPr>
              <w:spacing w:after="0"/>
              <w:rPr>
                <w:sz w:val="14"/>
                <w:szCs w:val="14"/>
                <w:color w:val="auto"/>
              </w:rPr>
            </w:pPr>
          </w:p>
        </w:tc>
        <w:tc>
          <w:tcPr>
            <w:tcW w:w="2720" w:type="dxa"/>
            <w:vAlign w:val="bottom"/>
            <w:tcBorders>
              <w:bottom w:val="single" w:sz="8" w:color="auto"/>
            </w:tcBorders>
            <w:gridSpan w:val="4"/>
          </w:tcPr>
          <w:p>
            <w:pPr>
              <w:jc w:val="right"/>
              <w:ind w:right="203"/>
              <w:spacing w:after="0"/>
              <w:rPr>
                <w:sz w:val="20"/>
                <w:szCs w:val="20"/>
                <w:color w:val="auto"/>
              </w:rPr>
            </w:pPr>
            <w:r>
              <w:rPr>
                <w:rFonts w:ascii="Times New Roman" w:cs="Times New Roman" w:eastAsia="Times New Roman" w:hAnsi="Times New Roman"/>
                <w:sz w:val="12"/>
                <w:szCs w:val="12"/>
                <w:b w:val="1"/>
                <w:bCs w:val="1"/>
                <w:color w:val="auto"/>
              </w:rPr>
              <w:t>Three Months Ended March 31,</w:t>
            </w:r>
          </w:p>
        </w:tc>
        <w:tc>
          <w:tcPr>
            <w:tcW w:w="480" w:type="dxa"/>
            <w:vAlign w:val="bottom"/>
            <w:tcBorders>
              <w:bottom w:val="single" w:sz="8" w:color="auto"/>
            </w:tcBorders>
          </w:tcPr>
          <w:p>
            <w:pPr>
              <w:spacing w:after="0"/>
              <w:rPr>
                <w:sz w:val="14"/>
                <w:szCs w:val="14"/>
                <w:color w:val="auto"/>
              </w:rPr>
            </w:pPr>
          </w:p>
        </w:tc>
      </w:tr>
      <w:tr>
        <w:trPr>
          <w:trHeight w:val="165"/>
        </w:trPr>
        <w:tc>
          <w:tcPr>
            <w:tcW w:w="694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2024</w:t>
            </w: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2"/>
                <w:szCs w:val="12"/>
                <w:b w:val="1"/>
                <w:bCs w:val="1"/>
                <w:color w:val="auto"/>
              </w:rPr>
              <w:t>2023</w:t>
            </w:r>
          </w:p>
        </w:tc>
        <w:tc>
          <w:tcPr>
            <w:tcW w:w="480" w:type="dxa"/>
            <w:vAlign w:val="bottom"/>
            <w:tcBorders>
              <w:bottom w:val="single" w:sz="8" w:color="auto"/>
            </w:tcBorders>
          </w:tcPr>
          <w:p>
            <w:pPr>
              <w:spacing w:after="0"/>
              <w:rPr>
                <w:sz w:val="14"/>
                <w:szCs w:val="14"/>
                <w:color w:val="auto"/>
              </w:rPr>
            </w:pPr>
          </w:p>
        </w:tc>
      </w:tr>
      <w:tr>
        <w:trPr>
          <w:trHeight w:val="152"/>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Revenue</w:t>
            </w:r>
          </w:p>
        </w:tc>
        <w:tc>
          <w:tcPr>
            <w:tcW w:w="1080" w:type="dxa"/>
            <w:vAlign w:val="bottom"/>
            <w:tcBorders>
              <w:bottom w:val="single" w:sz="8" w:color="CCEEFF"/>
            </w:tcBorders>
            <w:shd w:val="clear" w:color="auto" w:fill="CCEEFF"/>
          </w:tcPr>
          <w:p>
            <w:pPr>
              <w:jc w:val="right"/>
              <w:ind w:right="88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25,407</w:t>
            </w:r>
          </w:p>
        </w:tc>
        <w:tc>
          <w:tcPr>
            <w:tcW w:w="8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jc w:val="right"/>
              <w:ind w:right="923"/>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7,539</w:t>
            </w:r>
          </w:p>
        </w:tc>
      </w:tr>
      <w:tr>
        <w:trPr>
          <w:trHeight w:val="156"/>
        </w:trPr>
        <w:tc>
          <w:tcPr>
            <w:tcW w:w="69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Gross profit</w:t>
            </w:r>
          </w:p>
        </w:tc>
        <w:tc>
          <w:tcPr>
            <w:tcW w:w="10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11,094</w:t>
            </w: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1,651</w:t>
            </w:r>
          </w:p>
        </w:tc>
      </w:tr>
      <w:tr>
        <w:trPr>
          <w:trHeight w:val="24"/>
        </w:trPr>
        <w:tc>
          <w:tcPr>
            <w:tcW w:w="69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156"/>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income (loss)</w:t>
            </w:r>
          </w:p>
        </w:tc>
        <w:tc>
          <w:tcPr>
            <w:tcW w:w="10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10,704</w:t>
            </w: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(213)</w:t>
            </w:r>
          </w:p>
        </w:tc>
      </w:tr>
      <w:tr>
        <w:trPr>
          <w:trHeight w:val="204"/>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 xml:space="preserve">Net income from equity method investments </w:t>
            </w:r>
            <w:r>
              <w:rPr>
                <w:rFonts w:ascii="Times New Roman" w:cs="Times New Roman" w:eastAsia="Times New Roman" w:hAnsi="Times New Roman"/>
                <w:sz w:val="15"/>
                <w:szCs w:val="15"/>
                <w:color w:val="auto"/>
                <w:vertAlign w:val="superscript"/>
              </w:rPr>
              <w:t>(1)</w:t>
            </w:r>
          </w:p>
        </w:tc>
        <w:tc>
          <w:tcPr>
            <w:tcW w:w="1080" w:type="dxa"/>
            <w:vAlign w:val="bottom"/>
            <w:shd w:val="clear" w:color="auto" w:fill="CCEEFF"/>
          </w:tcPr>
          <w:p>
            <w:pPr>
              <w:jc w:val="right"/>
              <w:ind w:right="88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4,206</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923"/>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705</w:t>
            </w:r>
          </w:p>
        </w:tc>
      </w:tr>
    </w:tbl>
    <w:p>
      <w:pPr>
        <w:spacing w:after="0" w:line="217" w:lineRule="exact"/>
        <w:rPr>
          <w:sz w:val="20"/>
          <w:szCs w:val="20"/>
          <w:color w:val="auto"/>
        </w:rPr>
      </w:pPr>
    </w:p>
    <w:p>
      <w:pPr>
        <w:ind w:left="120" w:hanging="120"/>
        <w:spacing w:after="0"/>
        <w:tabs>
          <w:tab w:leader="none" w:pos="120" w:val="left"/>
        </w:tabs>
        <w:numPr>
          <w:ilvl w:val="0"/>
          <w:numId w:val="10"/>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2"/>
          <w:szCs w:val="12"/>
          <w:color w:val="auto"/>
        </w:rPr>
        <w:t>Net income from equity method investments represents our portion of the net income from equity method investments including amortization of any basis differences.</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4. Property, Plant, and Equipment, Net</w:t>
      </w:r>
    </w:p>
    <w:p>
      <w:pPr>
        <w:spacing w:after="0" w:line="9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Property, plant, and equipment, net, consisted of the following as of March 31, 2024 and December 31, 2023:</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161290</wp:posOffset>
            </wp:positionV>
            <wp:extent cx="7193280"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370" w:right="31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40"/>
        </w:trPr>
        <w:tc>
          <w:tcPr>
            <w:tcW w:w="8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gridSpan w:val="2"/>
          </w:tcPr>
          <w:p>
            <w:pPr>
              <w:ind w:left="200"/>
              <w:spacing w:after="0"/>
              <w:rPr>
                <w:sz w:val="20"/>
                <w:szCs w:val="20"/>
                <w:color w:val="auto"/>
              </w:rPr>
            </w:pPr>
            <w:r>
              <w:rPr>
                <w:rFonts w:ascii="Times New Roman" w:cs="Times New Roman" w:eastAsia="Times New Roman" w:hAnsi="Times New Roman"/>
                <w:sz w:val="12"/>
                <w:szCs w:val="12"/>
                <w:b w:val="1"/>
                <w:bCs w:val="1"/>
                <w:color w:val="auto"/>
              </w:rPr>
              <w:t>March 31,</w:t>
            </w:r>
          </w:p>
        </w:tc>
        <w:tc>
          <w:tcPr>
            <w:tcW w:w="240" w:type="dxa"/>
            <w:vAlign w:val="bottom"/>
          </w:tcPr>
          <w:p>
            <w:pPr>
              <w:spacing w:after="0"/>
              <w:rPr>
                <w:sz w:val="12"/>
                <w:szCs w:val="12"/>
                <w:color w:val="auto"/>
              </w:rPr>
            </w:pPr>
          </w:p>
        </w:tc>
        <w:tc>
          <w:tcPr>
            <w:tcW w:w="1240" w:type="dxa"/>
            <w:vAlign w:val="bottom"/>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December 31,</w:t>
            </w:r>
          </w:p>
        </w:tc>
      </w:tr>
      <w:tr>
        <w:trPr>
          <w:trHeight w:val="159"/>
        </w:trPr>
        <w:tc>
          <w:tcPr>
            <w:tcW w:w="8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2024</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2023</w:t>
            </w:r>
          </w:p>
        </w:tc>
      </w:tr>
      <w:tr>
        <w:trPr>
          <w:trHeight w:val="24"/>
        </w:trPr>
        <w:tc>
          <w:tcPr>
            <w:tcW w:w="8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50"/>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Plant and equipment</w:t>
            </w:r>
          </w:p>
        </w:tc>
        <w:tc>
          <w:tcPr>
            <w:tcW w:w="280" w:type="dxa"/>
            <w:vAlign w:val="bottom"/>
            <w:tcBorders>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198,174</w:t>
            </w: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205,188</w:t>
            </w:r>
          </w:p>
        </w:tc>
      </w:tr>
      <w:tr>
        <w:trPr>
          <w:trHeight w:val="156"/>
        </w:trPr>
        <w:tc>
          <w:tcPr>
            <w:tcW w:w="8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CNG/RNG fueling stations</w:t>
            </w:r>
          </w:p>
        </w:tc>
        <w:tc>
          <w:tcPr>
            <w:tcW w:w="2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56,529</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51,749</w:t>
            </w:r>
          </w:p>
        </w:tc>
      </w:tr>
      <w:tr>
        <w:trPr>
          <w:trHeight w:val="24"/>
        </w:trPr>
        <w:tc>
          <w:tcPr>
            <w:tcW w:w="8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80"/>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 xml:space="preserve">Construction in progress </w:t>
            </w:r>
            <w:r>
              <w:rPr>
                <w:rFonts w:ascii="Times New Roman" w:cs="Times New Roman" w:eastAsia="Times New Roman" w:hAnsi="Times New Roman"/>
                <w:sz w:val="15"/>
                <w:szCs w:val="15"/>
                <w:color w:val="auto"/>
                <w:vertAlign w:val="superscript"/>
              </w:rPr>
              <w:t>(1)</w:t>
            </w:r>
          </w:p>
        </w:tc>
        <w:tc>
          <w:tcPr>
            <w:tcW w:w="28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193,006</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175,060</w:t>
            </w:r>
          </w:p>
        </w:tc>
      </w:tr>
      <w:tr>
        <w:trPr>
          <w:trHeight w:val="156"/>
        </w:trPr>
        <w:tc>
          <w:tcPr>
            <w:tcW w:w="8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Buildings</w:t>
            </w:r>
          </w:p>
        </w:tc>
        <w:tc>
          <w:tcPr>
            <w:tcW w:w="2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2,585</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2,585</w:t>
            </w:r>
          </w:p>
        </w:tc>
      </w:tr>
      <w:tr>
        <w:trPr>
          <w:trHeight w:val="24"/>
        </w:trPr>
        <w:tc>
          <w:tcPr>
            <w:tcW w:w="8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60"/>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Land</w:t>
            </w:r>
          </w:p>
        </w:tc>
        <w:tc>
          <w:tcPr>
            <w:tcW w:w="280" w:type="dxa"/>
            <w:vAlign w:val="bottom"/>
            <w:tcBorders>
              <w:bottom w:val="single" w:sz="8" w:color="CCEEFF"/>
            </w:tcBorders>
            <w:shd w:val="clear" w:color="auto" w:fill="CCEEFF"/>
          </w:tcPr>
          <w:p>
            <w:pPr>
              <w:spacing w:after="0"/>
              <w:rPr>
                <w:sz w:val="13"/>
                <w:szCs w:val="1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1,303</w:t>
            </w: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1,303</w:t>
            </w:r>
          </w:p>
        </w:tc>
      </w:tr>
      <w:tr>
        <w:trPr>
          <w:trHeight w:val="156"/>
        </w:trPr>
        <w:tc>
          <w:tcPr>
            <w:tcW w:w="8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Service equipment</w:t>
            </w:r>
          </w:p>
        </w:tc>
        <w:tc>
          <w:tcPr>
            <w:tcW w:w="2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2,499</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2,481</w:t>
            </w:r>
          </w:p>
        </w:tc>
      </w:tr>
      <w:tr>
        <w:trPr>
          <w:trHeight w:val="24"/>
        </w:trPr>
        <w:tc>
          <w:tcPr>
            <w:tcW w:w="8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60"/>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Leasehold improvements</w:t>
            </w:r>
          </w:p>
        </w:tc>
        <w:tc>
          <w:tcPr>
            <w:tcW w:w="280" w:type="dxa"/>
            <w:vAlign w:val="bottom"/>
            <w:tcBorders>
              <w:bottom w:val="single" w:sz="8" w:color="CCEEFF"/>
            </w:tcBorders>
            <w:shd w:val="clear" w:color="auto" w:fill="CCEEFF"/>
          </w:tcPr>
          <w:p>
            <w:pPr>
              <w:spacing w:after="0"/>
              <w:rPr>
                <w:sz w:val="13"/>
                <w:szCs w:val="1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815</w:t>
            </w: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815</w:t>
            </w:r>
          </w:p>
        </w:tc>
      </w:tr>
      <w:tr>
        <w:trPr>
          <w:trHeight w:val="156"/>
        </w:trPr>
        <w:tc>
          <w:tcPr>
            <w:tcW w:w="8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Vehicles</w:t>
            </w:r>
          </w:p>
        </w:tc>
        <w:tc>
          <w:tcPr>
            <w:tcW w:w="2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489</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489</w:t>
            </w:r>
          </w:p>
        </w:tc>
      </w:tr>
      <w:tr>
        <w:trPr>
          <w:trHeight w:val="24"/>
        </w:trPr>
        <w:tc>
          <w:tcPr>
            <w:tcW w:w="8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60"/>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Office furniture and equipment</w:t>
            </w:r>
          </w:p>
        </w:tc>
        <w:tc>
          <w:tcPr>
            <w:tcW w:w="280" w:type="dxa"/>
            <w:vAlign w:val="bottom"/>
            <w:tcBorders>
              <w:bottom w:val="single" w:sz="8" w:color="CCEEFF"/>
            </w:tcBorders>
            <w:shd w:val="clear" w:color="auto" w:fill="CCEEFF"/>
          </w:tcPr>
          <w:p>
            <w:pPr>
              <w:spacing w:after="0"/>
              <w:rPr>
                <w:sz w:val="13"/>
                <w:szCs w:val="1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307</w:t>
            </w: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307</w:t>
            </w:r>
          </w:p>
        </w:tc>
      </w:tr>
      <w:tr>
        <w:trPr>
          <w:trHeight w:val="156"/>
        </w:trPr>
        <w:tc>
          <w:tcPr>
            <w:tcW w:w="8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Computer software</w:t>
            </w:r>
          </w:p>
        </w:tc>
        <w:tc>
          <w:tcPr>
            <w:tcW w:w="2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277</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277</w:t>
            </w:r>
          </w:p>
        </w:tc>
      </w:tr>
      <w:tr>
        <w:trPr>
          <w:trHeight w:val="24"/>
        </w:trPr>
        <w:tc>
          <w:tcPr>
            <w:tcW w:w="8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60"/>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Land lease - finance lease</w:t>
            </w:r>
          </w:p>
        </w:tc>
        <w:tc>
          <w:tcPr>
            <w:tcW w:w="280" w:type="dxa"/>
            <w:vAlign w:val="bottom"/>
            <w:tcBorders>
              <w:bottom w:val="single" w:sz="8" w:color="CCEEFF"/>
            </w:tcBorders>
            <w:shd w:val="clear" w:color="auto" w:fill="CCEEFF"/>
          </w:tcPr>
          <w:p>
            <w:pPr>
              <w:spacing w:after="0"/>
              <w:rPr>
                <w:sz w:val="13"/>
                <w:szCs w:val="1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6,283</w:t>
            </w: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6,469</w:t>
            </w:r>
          </w:p>
        </w:tc>
      </w:tr>
      <w:tr>
        <w:trPr>
          <w:trHeight w:val="156"/>
        </w:trPr>
        <w:tc>
          <w:tcPr>
            <w:tcW w:w="8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Vehicles - finance leases</w:t>
            </w:r>
          </w:p>
        </w:tc>
        <w:tc>
          <w:tcPr>
            <w:tcW w:w="2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2,460</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2,580</w:t>
            </w:r>
          </w:p>
        </w:tc>
      </w:tr>
      <w:tr>
        <w:trPr>
          <w:trHeight w:val="24"/>
        </w:trPr>
        <w:tc>
          <w:tcPr>
            <w:tcW w:w="8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80"/>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Other</w:t>
            </w:r>
          </w:p>
        </w:tc>
        <w:tc>
          <w:tcPr>
            <w:tcW w:w="28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591</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591</w:t>
            </w:r>
          </w:p>
        </w:tc>
      </w:tr>
      <w:tr>
        <w:trPr>
          <w:trHeight w:val="146"/>
        </w:trPr>
        <w:tc>
          <w:tcPr>
            <w:tcW w:w="82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465,318</w:t>
            </w: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449,894</w:t>
            </w:r>
          </w:p>
        </w:tc>
      </w:tr>
      <w:tr>
        <w:trPr>
          <w:trHeight w:val="24"/>
        </w:trPr>
        <w:tc>
          <w:tcPr>
            <w:tcW w:w="8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70"/>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Less: accumulated depreciation</w:t>
            </w:r>
          </w:p>
        </w:tc>
        <w:tc>
          <w:tcPr>
            <w:tcW w:w="28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(105,949)</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(110,401)</w:t>
            </w:r>
          </w:p>
        </w:tc>
      </w:tr>
      <w:tr>
        <w:trPr>
          <w:trHeight w:val="168"/>
        </w:trPr>
        <w:tc>
          <w:tcPr>
            <w:tcW w:w="82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Property, plant, and equipment, net</w:t>
            </w:r>
          </w:p>
        </w:tc>
        <w:tc>
          <w:tcPr>
            <w:tcW w:w="280" w:type="dxa"/>
            <w:vAlign w:val="bottom"/>
            <w:tcBorders>
              <w:top w:val="single" w:sz="8" w:color="auto"/>
              <w:bottom w:val="single" w:sz="8" w:color="auto"/>
            </w:tcBorders>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359,369</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339,493</w:t>
            </w:r>
          </w:p>
        </w:tc>
      </w:tr>
      <w:tr>
        <w:trPr>
          <w:trHeight w:val="20"/>
        </w:trPr>
        <w:tc>
          <w:tcPr>
            <w:tcW w:w="8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15" w:lineRule="exact"/>
        <w:rPr>
          <w:sz w:val="20"/>
          <w:szCs w:val="20"/>
          <w:color w:val="auto"/>
        </w:rPr>
      </w:pPr>
    </w:p>
    <w:p>
      <w:pPr>
        <w:ind w:left="380" w:hanging="140"/>
        <w:spacing w:after="0"/>
        <w:tabs>
          <w:tab w:leader="none" w:pos="380" w:val="left"/>
        </w:tabs>
        <w:numPr>
          <w:ilvl w:val="0"/>
          <w:numId w:val="11"/>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Includes capitalized interest of $1,444 and $5,475, respectively, for the three months ended March 31, 2024 and year ended December 31, 2023.</w:t>
      </w:r>
    </w:p>
    <w:p>
      <w:pPr>
        <w:spacing w:after="0" w:line="67"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3"/>
          <w:szCs w:val="13"/>
          <w:color w:val="auto"/>
        </w:rPr>
        <w:t>On October 20, 2023, our wholly owned subsidiary entered into an Asset Purchase and Sale Agreement (for the purposes of this paragraph, the “Agreement”) with Washington Gas Light Company ("WGL"). The subsidiary is currently constructing a production facility at the Prince William County landfill located in Manassas, Virginia, to process landfill gas into RNG. The Agreement obligates the subsidiary to develop, plan and permit a gas pipeline extension and associated interconnection facilities (the “Pipeline Project”) to deliver RNG from the facility to an interconnection point on WGL’s pipeline. Per the terms and conditions of the Agreement, WGL will purchase the Pipeline Project from the subsidiary after its final completion at a purchase price of $25 million. The closing is contingent upon approval of the Agreement by the Virginia State Corporation Commission, as well as the satisfaction of customary closing conditions, and the outside closing date is on or prior to October 20, 2024. As of March 31, 2024, we have recorded capital expenditure of $2.5 million which is included in the Property, Plant and Equipment on our condensed consolidated balance sheet.</w:t>
      </w:r>
    </w:p>
    <w:p>
      <w:pPr>
        <w:spacing w:after="0" w:line="54" w:lineRule="exact"/>
        <w:rPr>
          <w:sz w:val="20"/>
          <w:szCs w:val="20"/>
          <w:color w:val="auto"/>
        </w:rPr>
      </w:pPr>
    </w:p>
    <w:p>
      <w:pPr>
        <w:jc w:val="both"/>
        <w:ind w:firstLine="240"/>
        <w:spacing w:after="0" w:line="287" w:lineRule="auto"/>
        <w:rPr>
          <w:sz w:val="20"/>
          <w:szCs w:val="20"/>
          <w:color w:val="auto"/>
        </w:rPr>
      </w:pPr>
      <w:r>
        <w:rPr>
          <w:rFonts w:ascii="Times New Roman" w:cs="Times New Roman" w:eastAsia="Times New Roman" w:hAnsi="Times New Roman"/>
          <w:sz w:val="13"/>
          <w:szCs w:val="13"/>
          <w:color w:val="auto"/>
        </w:rPr>
        <w:t>As of March 31, 2024, the Construction in progress consists of capital expenditures on construction of RNG generation facilities including, but not limited to Prince William, Polk County, Cottonwood, Central Valley RNG projects and RNG dispensing facilities. The majority of these facilities, for which costs are in construction in progress as of March 31, 2024, are expected to be operational during late 2024 and mid 2025.</w:t>
      </w:r>
    </w:p>
    <w:p>
      <w:pPr>
        <w:spacing w:after="0" w:line="20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Depreciation expense on property, plant, and equipment for the three months ended March 31, 2024 and 2023 was $3,493 and $3,305, respectively.</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5. Intangible Assets, Net</w:t>
      </w:r>
    </w:p>
    <w:p>
      <w:pPr>
        <w:spacing w:after="0" w:line="9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Intangible assets, net, consisted of the following at March 31, 2024 and December 31, 2023:</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4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680" w:type="dxa"/>
            <w:vAlign w:val="bottom"/>
            <w:gridSpan w:val="3"/>
          </w:tcPr>
          <w:p>
            <w:pPr>
              <w:jc w:val="right"/>
              <w:ind w:right="702"/>
              <w:spacing w:after="0"/>
              <w:rPr>
                <w:sz w:val="20"/>
                <w:szCs w:val="20"/>
                <w:color w:val="auto"/>
              </w:rPr>
            </w:pPr>
            <w:r>
              <w:rPr>
                <w:rFonts w:ascii="Times New Roman" w:cs="Times New Roman" w:eastAsia="Times New Roman" w:hAnsi="Times New Roman"/>
                <w:sz w:val="12"/>
                <w:szCs w:val="12"/>
                <w:b w:val="1"/>
                <w:bCs w:val="1"/>
                <w:color w:val="auto"/>
              </w:rPr>
              <w:t>March 31, 2024</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tcPr>
          <w:p>
            <w:pPr>
              <w:spacing w:after="0"/>
              <w:rPr>
                <w:sz w:val="13"/>
                <w:szCs w:val="13"/>
                <w:color w:val="auto"/>
              </w:rPr>
            </w:pPr>
          </w:p>
        </w:tc>
      </w:tr>
      <w:tr>
        <w:trPr>
          <w:trHeight w:val="24"/>
        </w:trPr>
        <w:tc>
          <w:tcPr>
            <w:tcW w:w="44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147"/>
        </w:trPr>
        <w:tc>
          <w:tcPr>
            <w:tcW w:w="44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Weighted</w:t>
            </w:r>
          </w:p>
        </w:tc>
      </w:tr>
      <w:tr>
        <w:trPr>
          <w:trHeight w:val="140"/>
        </w:trPr>
        <w:tc>
          <w:tcPr>
            <w:tcW w:w="44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Average</w:t>
            </w:r>
          </w:p>
        </w:tc>
      </w:tr>
      <w:tr>
        <w:trPr>
          <w:trHeight w:val="140"/>
        </w:trPr>
        <w:tc>
          <w:tcPr>
            <w:tcW w:w="44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ind w:left="382"/>
              <w:spacing w:after="0"/>
              <w:rPr>
                <w:sz w:val="20"/>
                <w:szCs w:val="20"/>
                <w:color w:val="auto"/>
              </w:rPr>
            </w:pPr>
            <w:r>
              <w:rPr>
                <w:rFonts w:ascii="Times New Roman" w:cs="Times New Roman" w:eastAsia="Times New Roman" w:hAnsi="Times New Roman"/>
                <w:sz w:val="12"/>
                <w:szCs w:val="12"/>
                <w:b w:val="1"/>
                <w:bCs w:val="1"/>
                <w:color w:val="auto"/>
                <w:w w:val="98"/>
              </w:rPr>
              <w:t>Intangible</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Amortization</w:t>
            </w:r>
          </w:p>
        </w:tc>
      </w:tr>
      <w:tr>
        <w:trPr>
          <w:trHeight w:val="150"/>
        </w:trPr>
        <w:tc>
          <w:tcPr>
            <w:tcW w:w="44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jc w:val="center"/>
              <w:ind w:left="342"/>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Period</w:t>
            </w:r>
          </w:p>
        </w:tc>
      </w:tr>
      <w:tr>
        <w:trPr>
          <w:trHeight w:val="166"/>
        </w:trPr>
        <w:tc>
          <w:tcPr>
            <w:tcW w:w="444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Cost</w:t>
            </w: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Amortization</w:t>
            </w: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jc w:val="center"/>
              <w:ind w:left="362"/>
              <w:spacing w:after="0"/>
              <w:rPr>
                <w:sz w:val="20"/>
                <w:szCs w:val="20"/>
                <w:color w:val="auto"/>
              </w:rPr>
            </w:pPr>
            <w:r>
              <w:rPr>
                <w:rFonts w:ascii="Times New Roman" w:cs="Times New Roman" w:eastAsia="Times New Roman" w:hAnsi="Times New Roman"/>
                <w:sz w:val="12"/>
                <w:szCs w:val="12"/>
                <w:b w:val="1"/>
                <w:bCs w:val="1"/>
                <w:color w:val="auto"/>
                <w:w w:val="99"/>
              </w:rPr>
              <w:t>Net</w:t>
            </w: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4"/>
              </w:rPr>
              <w:t>(Years)</w:t>
            </w:r>
          </w:p>
        </w:tc>
      </w:tr>
      <w:tr>
        <w:trPr>
          <w:trHeight w:val="157"/>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Power purchase agreements</w:t>
            </w:r>
          </w:p>
        </w:tc>
        <w:tc>
          <w:tcPr>
            <w:tcW w:w="1080" w:type="dxa"/>
            <w:vAlign w:val="bottom"/>
            <w:tcBorders>
              <w:bottom w:val="single" w:sz="8" w:color="CCEEFF"/>
            </w:tcBorders>
            <w:shd w:val="clear" w:color="auto" w:fill="CCEEFF"/>
          </w:tcPr>
          <w:p>
            <w:pPr>
              <w:jc w:val="right"/>
              <w:ind w:right="940"/>
              <w:spacing w:after="0"/>
              <w:rPr>
                <w:sz w:val="20"/>
                <w:szCs w:val="20"/>
                <w:color w:val="auto"/>
              </w:rPr>
            </w:pPr>
            <w:r>
              <w:rPr>
                <w:rFonts w:ascii="Times New Roman" w:cs="Times New Roman" w:eastAsia="Times New Roman" w:hAnsi="Times New Roman"/>
                <w:sz w:val="12"/>
                <w:szCs w:val="12"/>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8,999</w:t>
            </w:r>
          </w:p>
        </w:tc>
        <w:tc>
          <w:tcPr>
            <w:tcW w:w="100" w:type="dxa"/>
            <w:vAlign w:val="bottom"/>
            <w:tcBorders>
              <w:bottom w:val="single" w:sz="8" w:color="CCEEFF"/>
            </w:tcBorders>
            <w:shd w:val="clear" w:color="auto" w:fill="CCEEFF"/>
          </w:tcPr>
          <w:p>
            <w:pPr>
              <w:spacing w:after="0"/>
              <w:rPr>
                <w:sz w:val="13"/>
                <w:szCs w:val="13"/>
                <w:color w:val="auto"/>
              </w:rPr>
            </w:pPr>
          </w:p>
        </w:tc>
        <w:tc>
          <w:tcPr>
            <w:tcW w:w="1200" w:type="dxa"/>
            <w:vAlign w:val="bottom"/>
            <w:tcBorders>
              <w:bottom w:val="single" w:sz="8" w:color="CCEEFF"/>
            </w:tcBorders>
            <w:shd w:val="clear" w:color="auto" w:fill="CCEEFF"/>
          </w:tcPr>
          <w:p>
            <w:pPr>
              <w:jc w:val="right"/>
              <w:ind w:right="1060"/>
              <w:spacing w:after="0"/>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(7,469)</w:t>
            </w:r>
          </w:p>
        </w:tc>
        <w:tc>
          <w:tcPr>
            <w:tcW w:w="10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shd w:val="clear" w:color="auto" w:fill="CCEEFF"/>
          </w:tcPr>
          <w:p>
            <w:pPr>
              <w:jc w:val="right"/>
              <w:ind w:right="1042"/>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1,530</w:t>
            </w:r>
          </w:p>
        </w:tc>
        <w:tc>
          <w:tcPr>
            <w:tcW w:w="1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18.1</w:t>
            </w:r>
          </w:p>
        </w:tc>
      </w:tr>
      <w:tr>
        <w:trPr>
          <w:trHeight w:val="156"/>
        </w:trPr>
        <w:tc>
          <w:tcPr>
            <w:tcW w:w="44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Transmission/distribution interconnection</w:t>
            </w:r>
          </w:p>
        </w:tc>
        <w:tc>
          <w:tcPr>
            <w:tcW w:w="10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1,600</w:t>
            </w: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(1,600)</w:t>
            </w: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15.1</w:t>
            </w:r>
          </w:p>
        </w:tc>
      </w:tr>
      <w:tr>
        <w:trPr>
          <w:trHeight w:val="24"/>
        </w:trPr>
        <w:tc>
          <w:tcPr>
            <w:tcW w:w="4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180"/>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Intellectual property</w:t>
            </w:r>
          </w:p>
        </w:tc>
        <w:tc>
          <w:tcPr>
            <w:tcW w:w="10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w:t>
            </w:r>
          </w:p>
        </w:tc>
        <w:tc>
          <w:tcPr>
            <w:tcW w:w="10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w:t>
            </w:r>
          </w:p>
        </w:tc>
        <w:tc>
          <w:tcPr>
            <w:tcW w:w="1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1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w:t>
            </w:r>
          </w:p>
        </w:tc>
      </w:tr>
      <w:tr>
        <w:trPr>
          <w:trHeight w:val="168"/>
        </w:trPr>
        <w:tc>
          <w:tcPr>
            <w:tcW w:w="44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Total intangible assets</w:t>
            </w:r>
          </w:p>
        </w:tc>
        <w:tc>
          <w:tcPr>
            <w:tcW w:w="1080" w:type="dxa"/>
            <w:vAlign w:val="bottom"/>
            <w:tcBorders>
              <w:top w:val="single" w:sz="8" w:color="auto"/>
              <w:bottom w:val="single" w:sz="8" w:color="auto"/>
            </w:tcBorders>
          </w:tcPr>
          <w:p>
            <w:pPr>
              <w:jc w:val="right"/>
              <w:ind w:right="940"/>
              <w:spacing w:after="0"/>
              <w:rPr>
                <w:sz w:val="20"/>
                <w:szCs w:val="20"/>
                <w:color w:val="auto"/>
              </w:rPr>
            </w:pPr>
            <w:r>
              <w:rPr>
                <w:rFonts w:ascii="Times New Roman" w:cs="Times New Roman" w:eastAsia="Times New Roman" w:hAnsi="Times New Roman"/>
                <w:sz w:val="12"/>
                <w:szCs w:val="12"/>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10,642</w:t>
            </w:r>
          </w:p>
        </w:tc>
        <w:tc>
          <w:tcPr>
            <w:tcW w:w="100" w:type="dxa"/>
            <w:vAlign w:val="bottom"/>
          </w:tcPr>
          <w:p>
            <w:pPr>
              <w:spacing w:after="0"/>
              <w:rPr>
                <w:sz w:val="14"/>
                <w:szCs w:val="14"/>
                <w:color w:val="auto"/>
              </w:rPr>
            </w:pPr>
          </w:p>
        </w:tc>
        <w:tc>
          <w:tcPr>
            <w:tcW w:w="1200" w:type="dxa"/>
            <w:vAlign w:val="bottom"/>
            <w:tcBorders>
              <w:top w:val="single" w:sz="8" w:color="auto"/>
              <w:bottom w:val="single" w:sz="8" w:color="auto"/>
            </w:tcBorders>
          </w:tcPr>
          <w:p>
            <w:pPr>
              <w:jc w:val="right"/>
              <w:ind w:right="1060"/>
              <w:spacing w:after="0"/>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(9,105)</w:t>
            </w:r>
          </w:p>
        </w:tc>
        <w:tc>
          <w:tcPr>
            <w:tcW w:w="100" w:type="dxa"/>
            <w:vAlign w:val="bottom"/>
          </w:tcPr>
          <w:p>
            <w:pPr>
              <w:spacing w:after="0"/>
              <w:rPr>
                <w:sz w:val="14"/>
                <w:szCs w:val="14"/>
                <w:color w:val="auto"/>
              </w:rPr>
            </w:pPr>
          </w:p>
        </w:tc>
        <w:tc>
          <w:tcPr>
            <w:tcW w:w="1160" w:type="dxa"/>
            <w:vAlign w:val="bottom"/>
            <w:tcBorders>
              <w:top w:val="single" w:sz="8" w:color="auto"/>
              <w:bottom w:val="single" w:sz="8" w:color="auto"/>
            </w:tcBorders>
          </w:tcPr>
          <w:p>
            <w:pPr>
              <w:jc w:val="right"/>
              <w:ind w:right="1042"/>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1,537</w:t>
            </w: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20"/>
        </w:trPr>
        <w:tc>
          <w:tcPr>
            <w:tcW w:w="44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bl>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161290</wp:posOffset>
            </wp:positionV>
            <wp:extent cx="7193280"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247" w:right="319" w:bottom="1440" w:gutter="0" w:footer="0" w:header="0"/>
        </w:sectPr>
      </w:pPr>
    </w:p>
    <w:bookmarkStart w:id="23" w:name="page24"/>
    <w:bookmarkEnd w:id="23"/>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4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680" w:type="dxa"/>
            <w:vAlign w:val="bottom"/>
            <w:gridSpan w:val="3"/>
          </w:tcPr>
          <w:p>
            <w:pPr>
              <w:jc w:val="right"/>
              <w:ind w:right="602"/>
              <w:spacing w:after="0"/>
              <w:rPr>
                <w:sz w:val="20"/>
                <w:szCs w:val="20"/>
                <w:color w:val="auto"/>
              </w:rPr>
            </w:pPr>
            <w:r>
              <w:rPr>
                <w:rFonts w:ascii="Times New Roman" w:cs="Times New Roman" w:eastAsia="Times New Roman" w:hAnsi="Times New Roman"/>
                <w:sz w:val="12"/>
                <w:szCs w:val="12"/>
                <w:b w:val="1"/>
                <w:bCs w:val="1"/>
                <w:color w:val="auto"/>
              </w:rPr>
              <w:t>December 31, 2023</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44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7"/>
        </w:trPr>
        <w:tc>
          <w:tcPr>
            <w:tcW w:w="44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Weighted</w:t>
            </w:r>
          </w:p>
        </w:tc>
        <w:tc>
          <w:tcPr>
            <w:tcW w:w="0" w:type="dxa"/>
            <w:vAlign w:val="bottom"/>
          </w:tcPr>
          <w:p>
            <w:pPr>
              <w:spacing w:after="0"/>
              <w:rPr>
                <w:sz w:val="1"/>
                <w:szCs w:val="1"/>
                <w:color w:val="auto"/>
              </w:rPr>
            </w:pPr>
          </w:p>
        </w:tc>
      </w:tr>
      <w:tr>
        <w:trPr>
          <w:trHeight w:val="140"/>
        </w:trPr>
        <w:tc>
          <w:tcPr>
            <w:tcW w:w="44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Average</w:t>
            </w:r>
          </w:p>
        </w:tc>
        <w:tc>
          <w:tcPr>
            <w:tcW w:w="0" w:type="dxa"/>
            <w:vAlign w:val="bottom"/>
          </w:tcPr>
          <w:p>
            <w:pPr>
              <w:spacing w:after="0"/>
              <w:rPr>
                <w:sz w:val="1"/>
                <w:szCs w:val="1"/>
                <w:color w:val="auto"/>
              </w:rPr>
            </w:pPr>
          </w:p>
        </w:tc>
      </w:tr>
      <w:tr>
        <w:trPr>
          <w:trHeight w:val="150"/>
        </w:trPr>
        <w:tc>
          <w:tcPr>
            <w:tcW w:w="44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jc w:val="center"/>
              <w:ind w:left="382"/>
              <w:spacing w:after="0"/>
              <w:rPr>
                <w:sz w:val="20"/>
                <w:szCs w:val="20"/>
                <w:color w:val="auto"/>
              </w:rPr>
            </w:pPr>
            <w:r>
              <w:rPr>
                <w:rFonts w:ascii="Times New Roman" w:cs="Times New Roman" w:eastAsia="Times New Roman" w:hAnsi="Times New Roman"/>
                <w:sz w:val="12"/>
                <w:szCs w:val="12"/>
                <w:b w:val="1"/>
                <w:bCs w:val="1"/>
                <w:color w:val="auto"/>
                <w:w w:val="98"/>
              </w:rPr>
              <w:t>Intangible</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Amortization</w:t>
            </w:r>
          </w:p>
        </w:tc>
        <w:tc>
          <w:tcPr>
            <w:tcW w:w="0" w:type="dxa"/>
            <w:vAlign w:val="bottom"/>
          </w:tcPr>
          <w:p>
            <w:pPr>
              <w:spacing w:after="0"/>
              <w:rPr>
                <w:sz w:val="1"/>
                <w:szCs w:val="1"/>
                <w:color w:val="auto"/>
              </w:rPr>
            </w:pPr>
          </w:p>
        </w:tc>
      </w:tr>
      <w:tr>
        <w:trPr>
          <w:trHeight w:val="140"/>
        </w:trPr>
        <w:tc>
          <w:tcPr>
            <w:tcW w:w="44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ind w:left="342"/>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Period</w:t>
            </w:r>
          </w:p>
        </w:tc>
        <w:tc>
          <w:tcPr>
            <w:tcW w:w="0" w:type="dxa"/>
            <w:vAlign w:val="bottom"/>
          </w:tcPr>
          <w:p>
            <w:pPr>
              <w:spacing w:after="0"/>
              <w:rPr>
                <w:sz w:val="1"/>
                <w:szCs w:val="1"/>
                <w:color w:val="auto"/>
              </w:rPr>
            </w:pPr>
          </w:p>
        </w:tc>
      </w:tr>
      <w:tr>
        <w:trPr>
          <w:trHeight w:val="166"/>
        </w:trPr>
        <w:tc>
          <w:tcPr>
            <w:tcW w:w="444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Cost</w:t>
            </w: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Amortization</w:t>
            </w: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jc w:val="center"/>
              <w:ind w:left="362"/>
              <w:spacing w:after="0"/>
              <w:rPr>
                <w:sz w:val="20"/>
                <w:szCs w:val="20"/>
                <w:color w:val="auto"/>
              </w:rPr>
            </w:pPr>
            <w:r>
              <w:rPr>
                <w:rFonts w:ascii="Times New Roman" w:cs="Times New Roman" w:eastAsia="Times New Roman" w:hAnsi="Times New Roman"/>
                <w:sz w:val="12"/>
                <w:szCs w:val="12"/>
                <w:b w:val="1"/>
                <w:bCs w:val="1"/>
                <w:color w:val="auto"/>
                <w:w w:val="99"/>
              </w:rPr>
              <w:t>Net</w:t>
            </w: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(years)</w:t>
            </w:r>
          </w:p>
        </w:tc>
        <w:tc>
          <w:tcPr>
            <w:tcW w:w="0" w:type="dxa"/>
            <w:vAlign w:val="bottom"/>
          </w:tcPr>
          <w:p>
            <w:pPr>
              <w:spacing w:after="0"/>
              <w:rPr>
                <w:sz w:val="1"/>
                <w:szCs w:val="1"/>
                <w:color w:val="auto"/>
              </w:rPr>
            </w:pPr>
          </w:p>
        </w:tc>
      </w:tr>
      <w:tr>
        <w:trPr>
          <w:trHeight w:val="157"/>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Power purchase agreements</w:t>
            </w:r>
          </w:p>
        </w:tc>
        <w:tc>
          <w:tcPr>
            <w:tcW w:w="1080" w:type="dxa"/>
            <w:vAlign w:val="bottom"/>
            <w:tcBorders>
              <w:bottom w:val="single" w:sz="8" w:color="CCEEFF"/>
            </w:tcBorders>
            <w:shd w:val="clear" w:color="auto" w:fill="CCEEFF"/>
          </w:tcPr>
          <w:p>
            <w:pPr>
              <w:jc w:val="right"/>
              <w:ind w:right="940"/>
              <w:spacing w:after="0"/>
              <w:rPr>
                <w:sz w:val="20"/>
                <w:szCs w:val="20"/>
                <w:color w:val="auto"/>
              </w:rPr>
            </w:pPr>
            <w:r>
              <w:rPr>
                <w:rFonts w:ascii="Times New Roman" w:cs="Times New Roman" w:eastAsia="Times New Roman" w:hAnsi="Times New Roman"/>
                <w:sz w:val="12"/>
                <w:szCs w:val="12"/>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8,999</w:t>
            </w:r>
          </w:p>
        </w:tc>
        <w:tc>
          <w:tcPr>
            <w:tcW w:w="100" w:type="dxa"/>
            <w:vAlign w:val="bottom"/>
            <w:tcBorders>
              <w:bottom w:val="single" w:sz="8" w:color="CCEEFF"/>
            </w:tcBorders>
            <w:shd w:val="clear" w:color="auto" w:fill="CCEEFF"/>
          </w:tcPr>
          <w:p>
            <w:pPr>
              <w:spacing w:after="0"/>
              <w:rPr>
                <w:sz w:val="13"/>
                <w:szCs w:val="13"/>
                <w:color w:val="auto"/>
              </w:rPr>
            </w:pPr>
          </w:p>
        </w:tc>
        <w:tc>
          <w:tcPr>
            <w:tcW w:w="1200" w:type="dxa"/>
            <w:vAlign w:val="bottom"/>
            <w:tcBorders>
              <w:bottom w:val="single" w:sz="8" w:color="CCEEFF"/>
            </w:tcBorders>
            <w:shd w:val="clear" w:color="auto" w:fill="CCEEFF"/>
          </w:tcPr>
          <w:p>
            <w:pPr>
              <w:jc w:val="right"/>
              <w:ind w:right="1060"/>
              <w:spacing w:after="0"/>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(7,926)</w:t>
            </w:r>
          </w:p>
        </w:tc>
        <w:tc>
          <w:tcPr>
            <w:tcW w:w="10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shd w:val="clear" w:color="auto" w:fill="CCEEFF"/>
          </w:tcPr>
          <w:p>
            <w:pPr>
              <w:jc w:val="right"/>
              <w:ind w:right="1042"/>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1,073</w:t>
            </w:r>
          </w:p>
        </w:tc>
        <w:tc>
          <w:tcPr>
            <w:tcW w:w="1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18.1</w:t>
            </w:r>
          </w:p>
        </w:tc>
        <w:tc>
          <w:tcPr>
            <w:tcW w:w="0" w:type="dxa"/>
            <w:vAlign w:val="bottom"/>
          </w:tcPr>
          <w:p>
            <w:pPr>
              <w:spacing w:after="0"/>
              <w:rPr>
                <w:sz w:val="1"/>
                <w:szCs w:val="1"/>
                <w:color w:val="auto"/>
              </w:rPr>
            </w:pPr>
          </w:p>
        </w:tc>
      </w:tr>
      <w:tr>
        <w:trPr>
          <w:trHeight w:val="156"/>
        </w:trPr>
        <w:tc>
          <w:tcPr>
            <w:tcW w:w="44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Transmission/distribution interconnection</w:t>
            </w:r>
          </w:p>
        </w:tc>
        <w:tc>
          <w:tcPr>
            <w:tcW w:w="10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1,600</w:t>
            </w: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(1,076)</w:t>
            </w: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524</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15.1</w:t>
            </w:r>
          </w:p>
        </w:tc>
        <w:tc>
          <w:tcPr>
            <w:tcW w:w="0" w:type="dxa"/>
            <w:vAlign w:val="bottom"/>
          </w:tcPr>
          <w:p>
            <w:pPr>
              <w:spacing w:after="0"/>
              <w:rPr>
                <w:sz w:val="1"/>
                <w:szCs w:val="1"/>
                <w:color w:val="auto"/>
              </w:rPr>
            </w:pPr>
          </w:p>
        </w:tc>
      </w:tr>
      <w:tr>
        <w:trPr>
          <w:trHeight w:val="24"/>
        </w:trPr>
        <w:tc>
          <w:tcPr>
            <w:tcW w:w="4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Intellectual property</w:t>
            </w:r>
          </w:p>
        </w:tc>
        <w:tc>
          <w:tcPr>
            <w:tcW w:w="10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w:t>
            </w:r>
          </w:p>
        </w:tc>
        <w:tc>
          <w:tcPr>
            <w:tcW w:w="10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w:t>
            </w:r>
          </w:p>
        </w:tc>
        <w:tc>
          <w:tcPr>
            <w:tcW w:w="1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1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w:t>
            </w:r>
          </w:p>
        </w:tc>
        <w:tc>
          <w:tcPr>
            <w:tcW w:w="0" w:type="dxa"/>
            <w:vAlign w:val="bottom"/>
          </w:tcPr>
          <w:p>
            <w:pPr>
              <w:spacing w:after="0"/>
              <w:rPr>
                <w:sz w:val="1"/>
                <w:szCs w:val="1"/>
                <w:color w:val="auto"/>
              </w:rPr>
            </w:pPr>
          </w:p>
        </w:tc>
      </w:tr>
      <w:tr>
        <w:trPr>
          <w:trHeight w:val="168"/>
        </w:trPr>
        <w:tc>
          <w:tcPr>
            <w:tcW w:w="44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Total intangible assets</w:t>
            </w:r>
          </w:p>
        </w:tc>
        <w:tc>
          <w:tcPr>
            <w:tcW w:w="1080" w:type="dxa"/>
            <w:vAlign w:val="bottom"/>
            <w:tcBorders>
              <w:top w:val="single" w:sz="8" w:color="auto"/>
              <w:bottom w:val="single" w:sz="8" w:color="auto"/>
            </w:tcBorders>
          </w:tcPr>
          <w:p>
            <w:pPr>
              <w:jc w:val="right"/>
              <w:ind w:right="940"/>
              <w:spacing w:after="0"/>
              <w:rPr>
                <w:sz w:val="20"/>
                <w:szCs w:val="20"/>
                <w:color w:val="auto"/>
              </w:rPr>
            </w:pPr>
            <w:r>
              <w:rPr>
                <w:rFonts w:ascii="Times New Roman" w:cs="Times New Roman" w:eastAsia="Times New Roman" w:hAnsi="Times New Roman"/>
                <w:sz w:val="12"/>
                <w:szCs w:val="12"/>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10,642</w:t>
            </w:r>
          </w:p>
        </w:tc>
        <w:tc>
          <w:tcPr>
            <w:tcW w:w="100" w:type="dxa"/>
            <w:vAlign w:val="bottom"/>
          </w:tcPr>
          <w:p>
            <w:pPr>
              <w:spacing w:after="0"/>
              <w:rPr>
                <w:sz w:val="14"/>
                <w:szCs w:val="14"/>
                <w:color w:val="auto"/>
              </w:rPr>
            </w:pPr>
          </w:p>
        </w:tc>
        <w:tc>
          <w:tcPr>
            <w:tcW w:w="1200" w:type="dxa"/>
            <w:vAlign w:val="bottom"/>
            <w:tcBorders>
              <w:top w:val="single" w:sz="8" w:color="auto"/>
              <w:bottom w:val="single" w:sz="8" w:color="auto"/>
            </w:tcBorders>
          </w:tcPr>
          <w:p>
            <w:pPr>
              <w:jc w:val="right"/>
              <w:ind w:right="1060"/>
              <w:spacing w:after="0"/>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(9,038)</w:t>
            </w:r>
          </w:p>
        </w:tc>
        <w:tc>
          <w:tcPr>
            <w:tcW w:w="100" w:type="dxa"/>
            <w:vAlign w:val="bottom"/>
          </w:tcPr>
          <w:p>
            <w:pPr>
              <w:spacing w:after="0"/>
              <w:rPr>
                <w:sz w:val="14"/>
                <w:szCs w:val="14"/>
                <w:color w:val="auto"/>
              </w:rPr>
            </w:pPr>
          </w:p>
        </w:tc>
        <w:tc>
          <w:tcPr>
            <w:tcW w:w="1160" w:type="dxa"/>
            <w:vAlign w:val="bottom"/>
            <w:tcBorders>
              <w:top w:val="single" w:sz="8" w:color="auto"/>
              <w:bottom w:val="single" w:sz="8" w:color="auto"/>
            </w:tcBorders>
          </w:tcPr>
          <w:p>
            <w:pPr>
              <w:jc w:val="right"/>
              <w:ind w:right="1042"/>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1,604</w:t>
            </w: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Amortization expense for the three months ended March 31, 2024 and 2023 was $67 and $160, respectively. At March 31, 2024, estimated future amortization expense for intangible assets is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Nine months ending December 31, 2024</w:t>
            </w:r>
          </w:p>
        </w:tc>
        <w:tc>
          <w:tcPr>
            <w:tcW w:w="620" w:type="dxa"/>
            <w:vAlign w:val="bottom"/>
            <w:shd w:val="clear" w:color="auto" w:fill="CCEEFF"/>
          </w:tcPr>
          <w:p>
            <w:pPr>
              <w:jc w:val="right"/>
              <w:ind w:right="480"/>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205</w:t>
            </w:r>
          </w:p>
        </w:tc>
      </w:tr>
      <w:tr>
        <w:trPr>
          <w:trHeight w:val="156"/>
        </w:trPr>
        <w:tc>
          <w:tcPr>
            <w:tcW w:w="98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Fiscal year:</w:t>
            </w: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24"/>
        </w:trPr>
        <w:tc>
          <w:tcPr>
            <w:tcW w:w="98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60"/>
        </w:trPr>
        <w:tc>
          <w:tcPr>
            <w:tcW w:w="9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2025</w:t>
            </w:r>
          </w:p>
        </w:tc>
        <w:tc>
          <w:tcPr>
            <w:tcW w:w="62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267</w:t>
            </w:r>
          </w:p>
        </w:tc>
      </w:tr>
      <w:tr>
        <w:trPr>
          <w:trHeight w:val="156"/>
        </w:trPr>
        <w:tc>
          <w:tcPr>
            <w:tcW w:w="98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2026</w:t>
            </w:r>
          </w:p>
        </w:tc>
        <w:tc>
          <w:tcPr>
            <w:tcW w:w="6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231</w:t>
            </w:r>
          </w:p>
        </w:tc>
      </w:tr>
      <w:tr>
        <w:trPr>
          <w:trHeight w:val="24"/>
        </w:trPr>
        <w:tc>
          <w:tcPr>
            <w:tcW w:w="98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60"/>
        </w:trPr>
        <w:tc>
          <w:tcPr>
            <w:tcW w:w="9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2027</w:t>
            </w:r>
          </w:p>
        </w:tc>
        <w:tc>
          <w:tcPr>
            <w:tcW w:w="62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171</w:t>
            </w:r>
          </w:p>
        </w:tc>
      </w:tr>
      <w:tr>
        <w:trPr>
          <w:trHeight w:val="156"/>
        </w:trPr>
        <w:tc>
          <w:tcPr>
            <w:tcW w:w="98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2028</w:t>
            </w:r>
          </w:p>
        </w:tc>
        <w:tc>
          <w:tcPr>
            <w:tcW w:w="6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171</w:t>
            </w:r>
          </w:p>
        </w:tc>
      </w:tr>
      <w:tr>
        <w:trPr>
          <w:trHeight w:val="24"/>
        </w:trPr>
        <w:tc>
          <w:tcPr>
            <w:tcW w:w="98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0"/>
        </w:trPr>
        <w:tc>
          <w:tcPr>
            <w:tcW w:w="9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Thereafter</w:t>
            </w:r>
          </w:p>
        </w:tc>
        <w:tc>
          <w:tcPr>
            <w:tcW w:w="6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492</w:t>
            </w:r>
          </w:p>
        </w:tc>
      </w:tr>
      <w:tr>
        <w:trPr>
          <w:trHeight w:val="146"/>
        </w:trPr>
        <w:tc>
          <w:tcPr>
            <w:tcW w:w="9800" w:type="dxa"/>
            <w:vAlign w:val="bottom"/>
          </w:tcPr>
          <w:p>
            <w:pPr>
              <w:spacing w:after="0"/>
              <w:rPr>
                <w:sz w:val="12"/>
                <w:szCs w:val="12"/>
                <w:color w:val="auto"/>
              </w:rPr>
            </w:pPr>
          </w:p>
        </w:tc>
        <w:tc>
          <w:tcPr>
            <w:tcW w:w="620" w:type="dxa"/>
            <w:vAlign w:val="bottom"/>
            <w:tcBorders>
              <w:top w:val="single" w:sz="8" w:color="auto"/>
            </w:tcBorders>
          </w:tcPr>
          <w:p>
            <w:pPr>
              <w:jc w:val="right"/>
              <w:ind w:right="480"/>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1,537</w:t>
            </w:r>
          </w:p>
        </w:tc>
      </w:tr>
      <w:tr>
        <w:trPr>
          <w:trHeight w:val="24"/>
        </w:trPr>
        <w:tc>
          <w:tcPr>
            <w:tcW w:w="98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98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6. Goodwill</w:t>
      </w:r>
    </w:p>
    <w:p>
      <w:pPr>
        <w:spacing w:after="0" w:line="12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 following table summarizes the changes in goodwill, if any, by reporting segment from the beginning of the period to the end of the period: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2"/>
                <w:szCs w:val="12"/>
                <w:b w:val="1"/>
                <w:bCs w:val="1"/>
                <w:color w:val="auto"/>
              </w:rPr>
              <w:t>RNG Fuel</w:t>
            </w:r>
          </w:p>
        </w:tc>
        <w:tc>
          <w:tcPr>
            <w:tcW w:w="140" w:type="dxa"/>
            <w:vAlign w:val="bottom"/>
          </w:tcPr>
          <w:p>
            <w:pPr>
              <w:spacing w:after="0"/>
              <w:rPr>
                <w:sz w:val="13"/>
                <w:szCs w:val="13"/>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Fuel Station Services</w:t>
            </w:r>
          </w:p>
        </w:tc>
        <w:tc>
          <w:tcPr>
            <w:tcW w:w="340" w:type="dxa"/>
            <w:vAlign w:val="bottom"/>
          </w:tcPr>
          <w:p>
            <w:pPr>
              <w:spacing w:after="0"/>
              <w:rPr>
                <w:sz w:val="13"/>
                <w:szCs w:val="13"/>
                <w:color w:val="auto"/>
              </w:rPr>
            </w:pPr>
          </w:p>
        </w:tc>
        <w:tc>
          <w:tcPr>
            <w:tcW w:w="1140" w:type="dxa"/>
            <w:vAlign w:val="bottom"/>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24"/>
        </w:trPr>
        <w:tc>
          <w:tcPr>
            <w:tcW w:w="6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70"/>
        </w:trPr>
        <w:tc>
          <w:tcPr>
            <w:tcW w:w="6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Balance December 31, 2023</w:t>
            </w:r>
          </w:p>
        </w:tc>
        <w:tc>
          <w:tcPr>
            <w:tcW w:w="280" w:type="dxa"/>
            <w:vAlign w:val="bottom"/>
            <w:tcBorders>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51,155</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3,453</w:t>
            </w:r>
          </w:p>
        </w:tc>
        <w:tc>
          <w:tcPr>
            <w:tcW w:w="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54,608</w:t>
            </w:r>
          </w:p>
        </w:tc>
      </w:tr>
      <w:tr>
        <w:trPr>
          <w:trHeight w:val="168"/>
        </w:trPr>
        <w:tc>
          <w:tcPr>
            <w:tcW w:w="61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Balance March 31, 2024</w:t>
            </w:r>
          </w:p>
        </w:tc>
        <w:tc>
          <w:tcPr>
            <w:tcW w:w="280" w:type="dxa"/>
            <w:vAlign w:val="bottom"/>
            <w:tcBorders>
              <w:top w:val="single" w:sz="8" w:color="auto"/>
              <w:bottom w:val="single" w:sz="8" w:color="auto"/>
            </w:tcBorders>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51,155</w:t>
            </w: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3,453</w:t>
            </w:r>
          </w:p>
        </w:tc>
        <w:tc>
          <w:tcPr>
            <w:tcW w:w="80" w:type="dxa"/>
            <w:vAlign w:val="bottom"/>
          </w:tcPr>
          <w:p>
            <w:pPr>
              <w:spacing w:after="0"/>
              <w:rPr>
                <w:sz w:val="14"/>
                <w:szCs w:val="14"/>
                <w:color w:val="auto"/>
              </w:rPr>
            </w:pPr>
          </w:p>
        </w:tc>
        <w:tc>
          <w:tcPr>
            <w:tcW w:w="340" w:type="dxa"/>
            <w:vAlign w:val="bottom"/>
            <w:tcBorders>
              <w:top w:val="single" w:sz="8" w:color="auto"/>
              <w:bottom w:val="single" w:sz="8" w:color="auto"/>
            </w:tcBorders>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54,608</w:t>
            </w:r>
          </w:p>
        </w:tc>
      </w:tr>
      <w:tr>
        <w:trPr>
          <w:trHeight w:val="20"/>
        </w:trPr>
        <w:tc>
          <w:tcPr>
            <w:tcW w:w="6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7. Borrowings</w:t>
      </w:r>
    </w:p>
    <w:p>
      <w:pPr>
        <w:spacing w:after="0" w:line="12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 following table summarizes the borrowings under the various debt facilities as of March 31, 2024 and December 31, 2023:</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7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360" w:type="dxa"/>
            <w:vAlign w:val="bottom"/>
            <w:gridSpan w:val="2"/>
          </w:tcPr>
          <w:p>
            <w:pPr>
              <w:ind w:left="440"/>
              <w:spacing w:after="0"/>
              <w:rPr>
                <w:sz w:val="20"/>
                <w:szCs w:val="20"/>
                <w:color w:val="auto"/>
              </w:rPr>
            </w:pPr>
            <w:r>
              <w:rPr>
                <w:rFonts w:ascii="Times New Roman" w:cs="Times New Roman" w:eastAsia="Times New Roman" w:hAnsi="Times New Roman"/>
                <w:sz w:val="12"/>
                <w:szCs w:val="12"/>
                <w:b w:val="1"/>
                <w:bCs w:val="1"/>
                <w:color w:val="auto"/>
              </w:rPr>
              <w:t>March 31, 2024</w:t>
            </w:r>
          </w:p>
        </w:tc>
        <w:tc>
          <w:tcPr>
            <w:tcW w:w="44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December 31, 2023</w:t>
            </w:r>
          </w:p>
        </w:tc>
      </w:tr>
      <w:tr>
        <w:trPr>
          <w:trHeight w:val="24"/>
        </w:trPr>
        <w:tc>
          <w:tcPr>
            <w:tcW w:w="72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50"/>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OPAL Term Loan</w:t>
            </w:r>
          </w:p>
        </w:tc>
        <w:tc>
          <w:tcPr>
            <w:tcW w:w="540" w:type="dxa"/>
            <w:vAlign w:val="bottom"/>
            <w:tcBorders>
              <w:bottom w:val="single" w:sz="8" w:color="CCEEFF"/>
            </w:tcBorders>
            <w:shd w:val="clear" w:color="auto" w:fill="CCEEFF"/>
          </w:tcPr>
          <w:p>
            <w:pPr>
              <w:spacing w:after="0"/>
              <w:rPr>
                <w:sz w:val="13"/>
                <w:szCs w:val="1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186,618</w:t>
            </w:r>
          </w:p>
        </w:tc>
        <w:tc>
          <w:tcPr>
            <w:tcW w:w="10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spacing w:after="0"/>
              <w:rPr>
                <w:sz w:val="13"/>
                <w:szCs w:val="1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186,618</w:t>
            </w:r>
          </w:p>
        </w:tc>
      </w:tr>
      <w:tr>
        <w:trPr>
          <w:trHeight w:val="156"/>
        </w:trPr>
        <w:tc>
          <w:tcPr>
            <w:tcW w:w="72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Less: unamortized debt issuance costs</w:t>
            </w:r>
          </w:p>
        </w:tc>
        <w:tc>
          <w:tcPr>
            <w:tcW w:w="54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(9,591)</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(10,086)</w:t>
            </w:r>
          </w:p>
        </w:tc>
      </w:tr>
      <w:tr>
        <w:trPr>
          <w:trHeight w:val="24"/>
        </w:trPr>
        <w:tc>
          <w:tcPr>
            <w:tcW w:w="7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80"/>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Less: current portion</w:t>
            </w:r>
          </w:p>
        </w:tc>
        <w:tc>
          <w:tcPr>
            <w:tcW w:w="54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(1,866)</w:t>
            </w:r>
          </w:p>
        </w:tc>
        <w:tc>
          <w:tcPr>
            <w:tcW w:w="1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46"/>
        </w:trPr>
        <w:tc>
          <w:tcPr>
            <w:tcW w:w="72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OPAL Term Loan, net of debt issuance costs</w:t>
            </w:r>
          </w:p>
        </w:tc>
        <w:tc>
          <w:tcPr>
            <w:tcW w:w="54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175,161</w:t>
            </w:r>
          </w:p>
        </w:tc>
        <w:tc>
          <w:tcPr>
            <w:tcW w:w="10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176,532</w:t>
            </w:r>
          </w:p>
        </w:tc>
      </w:tr>
      <w:tr>
        <w:trPr>
          <w:trHeight w:val="24"/>
        </w:trPr>
        <w:tc>
          <w:tcPr>
            <w:tcW w:w="72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50"/>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Sunoma Loan</w:t>
            </w:r>
          </w:p>
        </w:tc>
        <w:tc>
          <w:tcPr>
            <w:tcW w:w="540" w:type="dxa"/>
            <w:vAlign w:val="bottom"/>
            <w:tcBorders>
              <w:bottom w:val="single" w:sz="8" w:color="CCEEFF"/>
            </w:tcBorders>
            <w:shd w:val="clear" w:color="auto" w:fill="CCEEFF"/>
          </w:tcPr>
          <w:p>
            <w:pPr>
              <w:spacing w:after="0"/>
              <w:rPr>
                <w:sz w:val="13"/>
                <w:szCs w:val="1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22,074</w:t>
            </w:r>
          </w:p>
        </w:tc>
        <w:tc>
          <w:tcPr>
            <w:tcW w:w="10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spacing w:after="0"/>
              <w:rPr>
                <w:sz w:val="13"/>
                <w:szCs w:val="1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22,453</w:t>
            </w:r>
          </w:p>
        </w:tc>
      </w:tr>
      <w:tr>
        <w:trPr>
          <w:trHeight w:val="156"/>
        </w:trPr>
        <w:tc>
          <w:tcPr>
            <w:tcW w:w="72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Less: unamortized debt issuance costs</w:t>
            </w:r>
          </w:p>
        </w:tc>
        <w:tc>
          <w:tcPr>
            <w:tcW w:w="54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(813)</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(835)</w:t>
            </w:r>
          </w:p>
        </w:tc>
      </w:tr>
      <w:tr>
        <w:trPr>
          <w:trHeight w:val="24"/>
        </w:trPr>
        <w:tc>
          <w:tcPr>
            <w:tcW w:w="7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80"/>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Less: current portion</w:t>
            </w:r>
          </w:p>
        </w:tc>
        <w:tc>
          <w:tcPr>
            <w:tcW w:w="54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(1,652)</w:t>
            </w:r>
          </w:p>
        </w:tc>
        <w:tc>
          <w:tcPr>
            <w:tcW w:w="1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(1,608)</w:t>
            </w:r>
          </w:p>
        </w:tc>
      </w:tr>
      <w:tr>
        <w:trPr>
          <w:trHeight w:val="146"/>
        </w:trPr>
        <w:tc>
          <w:tcPr>
            <w:tcW w:w="72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Sunoma Loan, net of debt issuance costs</w:t>
            </w:r>
          </w:p>
        </w:tc>
        <w:tc>
          <w:tcPr>
            <w:tcW w:w="54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19,609</w:t>
            </w:r>
          </w:p>
        </w:tc>
        <w:tc>
          <w:tcPr>
            <w:tcW w:w="10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20,010</w:t>
            </w:r>
          </w:p>
        </w:tc>
      </w:tr>
      <w:tr>
        <w:trPr>
          <w:trHeight w:val="24"/>
        </w:trPr>
        <w:tc>
          <w:tcPr>
            <w:tcW w:w="72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93"/>
        </w:trPr>
        <w:tc>
          <w:tcPr>
            <w:tcW w:w="72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Non-current borrowings total</w:t>
            </w:r>
          </w:p>
        </w:tc>
        <w:tc>
          <w:tcPr>
            <w:tcW w:w="540" w:type="dxa"/>
            <w:vAlign w:val="bottom"/>
            <w:tcBorders>
              <w:bottom w:val="single" w:sz="8" w:color="auto"/>
            </w:tcBorders>
            <w:shd w:val="clear" w:color="auto" w:fill="CCEEFF"/>
          </w:tcPr>
          <w:p>
            <w:pPr>
              <w:jc w:val="right"/>
              <w:ind w:right="400"/>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194,770</w:t>
            </w: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325"/>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196,542</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ind w:right="220" w:firstLine="240"/>
        <w:spacing w:after="0" w:line="294" w:lineRule="auto"/>
        <w:rPr>
          <w:sz w:val="20"/>
          <w:szCs w:val="20"/>
          <w:color w:val="auto"/>
        </w:rPr>
      </w:pPr>
      <w:r>
        <w:rPr>
          <w:rFonts w:ascii="Times New Roman" w:cs="Times New Roman" w:eastAsia="Times New Roman" w:hAnsi="Times New Roman"/>
          <w:sz w:val="13"/>
          <w:szCs w:val="13"/>
          <w:color w:val="auto"/>
        </w:rPr>
        <w:t>As of March 31, 2024, principal maturities of debt are expected as follows, excluding any subsequent refinancing transactions and any undrawn debt facilities as of the date of the condensed consolidated balance sheets: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167640</wp:posOffset>
            </wp:positionV>
            <wp:extent cx="7193280"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66"/>
        </w:trPr>
        <w:tc>
          <w:tcPr>
            <w:tcW w:w="6360" w:type="dxa"/>
            <w:vAlign w:val="bottom"/>
            <w:tcBorders>
              <w:bottom w:val="single" w:sz="8" w:color="BFE4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2"/>
                <w:szCs w:val="12"/>
                <w:b w:val="1"/>
                <w:bCs w:val="1"/>
                <w:color w:val="auto"/>
              </w:rPr>
              <w:t>OPAL Term Loan</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Sunoma Loan</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157"/>
        </w:trPr>
        <w:tc>
          <w:tcPr>
            <w:tcW w:w="6360" w:type="dxa"/>
            <w:vAlign w:val="bottom"/>
            <w:tcBorders>
              <w:bottom w:val="single" w:sz="8" w:color="BFE4FF"/>
            </w:tcBorders>
            <w:shd w:val="clear" w:color="auto" w:fill="BFE4FF"/>
          </w:tcPr>
          <w:p>
            <w:pPr>
              <w:ind w:left="20"/>
              <w:spacing w:after="0"/>
              <w:rPr>
                <w:sz w:val="20"/>
                <w:szCs w:val="20"/>
                <w:color w:val="auto"/>
              </w:rPr>
            </w:pPr>
            <w:r>
              <w:rPr>
                <w:rFonts w:ascii="Times New Roman" w:cs="Times New Roman" w:eastAsia="Times New Roman" w:hAnsi="Times New Roman"/>
                <w:sz w:val="12"/>
                <w:szCs w:val="12"/>
                <w:color w:val="auto"/>
              </w:rPr>
              <w:t>Nine months ending December 31, 2024</w:t>
            </w:r>
          </w:p>
        </w:tc>
        <w:tc>
          <w:tcPr>
            <w:tcW w:w="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1,229</w:t>
            </w:r>
          </w:p>
        </w:tc>
        <w:tc>
          <w:tcPr>
            <w:tcW w:w="8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jc w:val="right"/>
              <w:ind w:right="185"/>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1,229</w:t>
            </w:r>
          </w:p>
        </w:tc>
      </w:tr>
      <w:tr>
        <w:trPr>
          <w:trHeight w:val="156"/>
        </w:trPr>
        <w:tc>
          <w:tcPr>
            <w:tcW w:w="63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Fiscal year:</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24"/>
        </w:trPr>
        <w:tc>
          <w:tcPr>
            <w:tcW w:w="6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60"/>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2025</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7,354</w:t>
            </w:r>
          </w:p>
        </w:tc>
        <w:tc>
          <w:tcPr>
            <w:tcW w:w="1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1,756</w:t>
            </w:r>
          </w:p>
        </w:tc>
        <w:tc>
          <w:tcPr>
            <w:tcW w:w="8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9,110</w:t>
            </w:r>
          </w:p>
        </w:tc>
      </w:tr>
      <w:tr>
        <w:trPr>
          <w:trHeight w:val="156"/>
        </w:trPr>
        <w:tc>
          <w:tcPr>
            <w:tcW w:w="63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2026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7,064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1,898</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8,962</w:t>
            </w:r>
          </w:p>
        </w:tc>
      </w:tr>
      <w:tr>
        <w:trPr>
          <w:trHeight w:val="24"/>
        </w:trPr>
        <w:tc>
          <w:tcPr>
            <w:tcW w:w="6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60"/>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2027</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6,786</w:t>
            </w:r>
          </w:p>
        </w:tc>
        <w:tc>
          <w:tcPr>
            <w:tcW w:w="1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2,051</w:t>
            </w:r>
          </w:p>
        </w:tc>
        <w:tc>
          <w:tcPr>
            <w:tcW w:w="8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8,837</w:t>
            </w:r>
          </w:p>
        </w:tc>
      </w:tr>
      <w:tr>
        <w:trPr>
          <w:trHeight w:val="178"/>
        </w:trPr>
        <w:tc>
          <w:tcPr>
            <w:tcW w:w="63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2028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165,414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2,213</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167,627</w:t>
            </w:r>
          </w:p>
        </w:tc>
      </w:tr>
      <w:tr>
        <w:trPr>
          <w:trHeight w:val="187"/>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Thereafter</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12,927</w:t>
            </w:r>
          </w:p>
        </w:tc>
        <w:tc>
          <w:tcPr>
            <w:tcW w:w="8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85"/>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12,927</w:t>
            </w:r>
          </w:p>
        </w:tc>
      </w:tr>
      <w:tr>
        <w:trPr>
          <w:trHeight w:val="151"/>
        </w:trPr>
        <w:tc>
          <w:tcPr>
            <w:tcW w:w="6360" w:type="dxa"/>
            <w:vAlign w:val="bottom"/>
          </w:tcPr>
          <w:p>
            <w:pPr>
              <w:spacing w:after="0"/>
              <w:rPr>
                <w:sz w:val="13"/>
                <w:szCs w:val="13"/>
                <w:color w:val="auto"/>
              </w:rPr>
            </w:pP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186,618</w:t>
            </w:r>
          </w:p>
        </w:tc>
        <w:tc>
          <w:tcPr>
            <w:tcW w:w="100" w:type="dxa"/>
            <w:vAlign w:val="bottom"/>
          </w:tcPr>
          <w:p>
            <w:pPr>
              <w:spacing w:after="0"/>
              <w:rPr>
                <w:sz w:val="13"/>
                <w:szCs w:val="13"/>
                <w:color w:val="auto"/>
              </w:rPr>
            </w:pP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22,074</w:t>
            </w:r>
          </w:p>
        </w:tc>
        <w:tc>
          <w:tcPr>
            <w:tcW w:w="80" w:type="dxa"/>
            <w:vAlign w:val="bottom"/>
          </w:tcPr>
          <w:p>
            <w:pPr>
              <w:spacing w:after="0"/>
              <w:rPr>
                <w:sz w:val="13"/>
                <w:szCs w:val="13"/>
                <w:color w:val="auto"/>
              </w:rPr>
            </w:pPr>
          </w:p>
        </w:tc>
        <w:tc>
          <w:tcPr>
            <w:tcW w:w="300" w:type="dxa"/>
            <w:vAlign w:val="bottom"/>
          </w:tcPr>
          <w:p>
            <w:pPr>
              <w:jc w:val="right"/>
              <w:ind w:right="185"/>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208,692</w:t>
            </w:r>
          </w:p>
        </w:tc>
      </w:tr>
      <w:tr>
        <w:trPr>
          <w:trHeight w:val="24"/>
        </w:trPr>
        <w:tc>
          <w:tcPr>
            <w:tcW w:w="6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6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OPAL Term Loan</w:t>
      </w:r>
    </w:p>
    <w:p>
      <w:pPr>
        <w:spacing w:after="0" w:line="155" w:lineRule="exact"/>
        <w:rPr>
          <w:sz w:val="20"/>
          <w:szCs w:val="20"/>
          <w:color w:val="auto"/>
        </w:rPr>
      </w:pPr>
    </w:p>
    <w:p>
      <w:pPr>
        <w:jc w:val="both"/>
        <w:ind w:firstLine="240"/>
        <w:spacing w:after="0" w:line="294" w:lineRule="auto"/>
        <w:rPr>
          <w:sz w:val="20"/>
          <w:szCs w:val="20"/>
          <w:color w:val="auto"/>
        </w:rPr>
      </w:pPr>
      <w:r>
        <w:rPr>
          <w:rFonts w:ascii="Times New Roman" w:cs="Times New Roman" w:eastAsia="Times New Roman" w:hAnsi="Times New Roman"/>
          <w:sz w:val="13"/>
          <w:szCs w:val="13"/>
          <w:color w:val="auto"/>
        </w:rPr>
        <w:t>On October 22, 2021, OPAL Fuels Intermediate Holding Company LLC (“OPAL Intermediate Holdco”), an indirect wholly-owned subsidiary of the Company, entered into a $125,000 term loan agreement (the "OPAL Term Loan") with a syndicate of lenders.</w:t>
      </w:r>
    </w:p>
    <w:p>
      <w:pPr>
        <w:spacing w:after="0" w:line="54" w:lineRule="exact"/>
        <w:rPr>
          <w:sz w:val="20"/>
          <w:szCs w:val="20"/>
          <w:color w:val="auto"/>
        </w:rPr>
      </w:pPr>
    </w:p>
    <w:p>
      <w:pPr>
        <w:jc w:val="both"/>
        <w:ind w:firstLine="240"/>
        <w:spacing w:after="0" w:line="269" w:lineRule="auto"/>
        <w:rPr>
          <w:sz w:val="20"/>
          <w:szCs w:val="20"/>
          <w:color w:val="auto"/>
        </w:rPr>
      </w:pPr>
      <w:r>
        <w:rPr>
          <w:rFonts w:ascii="Times New Roman" w:cs="Times New Roman" w:eastAsia="Times New Roman" w:hAnsi="Times New Roman"/>
          <w:sz w:val="13"/>
          <w:szCs w:val="13"/>
          <w:color w:val="auto"/>
        </w:rPr>
        <w:t>On September 1, 2023, OPAL Intermediate Holdco restructured its existing credit agreement and entered into a new senior secured credit facility (the "Credit Agreement") with OPAL Intermediate HoldCo as the Borrower, direct and indirect subsidiaries of the Borrower as guarantors (the “Guarantors”), the lenders party thereto, as lenders, Apterra Infrastructure Capital LLC, Barclays Bank PLC, BofA Securities, Inc., Celtic Bank Corporation, Citibank, N.A., JP Morgan Chase Bank, N.A. Investec Inc. and ICBC Standard Bank PLC, as joint lead arrangers, and Bank of America, N.A., as administrative agent. Four of the existing lenders participated in the new credit facility.</w:t>
      </w:r>
    </w:p>
    <w:p>
      <w:pPr>
        <w:spacing w:after="0" w:line="80" w:lineRule="exact"/>
        <w:rPr>
          <w:sz w:val="20"/>
          <w:szCs w:val="20"/>
          <w:color w:val="auto"/>
        </w:rPr>
      </w:pPr>
    </w:p>
    <w:p>
      <w:pPr>
        <w:jc w:val="both"/>
        <w:ind w:firstLine="240"/>
        <w:spacing w:after="0" w:line="275" w:lineRule="auto"/>
        <w:rPr>
          <w:sz w:val="20"/>
          <w:szCs w:val="20"/>
          <w:color w:val="auto"/>
        </w:rPr>
      </w:pPr>
      <w:r>
        <w:rPr>
          <w:rFonts w:ascii="Times New Roman" w:cs="Times New Roman" w:eastAsia="Times New Roman" w:hAnsi="Times New Roman"/>
          <w:sz w:val="13"/>
          <w:szCs w:val="13"/>
          <w:color w:val="auto"/>
        </w:rPr>
        <w:t>The Credit Agreement provides for up to $450.0 million of initial and delayed draw term loans (with such delayed draw term loans available for up to 18 months after closing) and $50.0 million of revolving loans. The proceeds from the facility are expected to be used to fund other general corporate purposes of the Borrower and Guarantors. The Company paid transaction fees and expenses in the amount of approximately $9,976. The amounts outstanding under the Credit Agreement are secured by the assets of the indirect subsidiaries of OPAL Intermediate Holdco..</w:t>
      </w:r>
    </w:p>
    <w:p>
      <w:pPr>
        <w:spacing w:after="0" w:line="77" w:lineRule="exact"/>
        <w:rPr>
          <w:sz w:val="20"/>
          <w:szCs w:val="20"/>
          <w:color w:val="auto"/>
        </w:rPr>
      </w:pPr>
    </w:p>
    <w:p>
      <w:pPr>
        <w:jc w:val="both"/>
        <w:ind w:firstLine="240"/>
        <w:spacing w:after="0" w:line="294" w:lineRule="auto"/>
        <w:rPr>
          <w:sz w:val="20"/>
          <w:szCs w:val="20"/>
          <w:color w:val="auto"/>
        </w:rPr>
      </w:pPr>
      <w:r>
        <w:rPr>
          <w:rFonts w:ascii="Times New Roman" w:cs="Times New Roman" w:eastAsia="Times New Roman" w:hAnsi="Times New Roman"/>
          <w:sz w:val="13"/>
          <w:szCs w:val="13"/>
          <w:color w:val="auto"/>
        </w:rPr>
        <w:t>As of March 31, 2024 and December 31, 2023, the outstanding loan balance (current and non-current) excluding deferred financing costs was $186,618. Additionally, the Company utilized $13,604 of availability under the revolver loan to provide for the issuance of letters of credit to support the operations of the Borrower and the Guarantors.</w:t>
      </w:r>
    </w:p>
    <w:p>
      <w:pPr>
        <w:spacing w:after="0" w:line="54" w:lineRule="exact"/>
        <w:rPr>
          <w:sz w:val="20"/>
          <w:szCs w:val="20"/>
          <w:color w:val="auto"/>
        </w:rPr>
      </w:pPr>
    </w:p>
    <w:p>
      <w:pPr>
        <w:jc w:val="both"/>
        <w:ind w:firstLine="240"/>
        <w:spacing w:after="0" w:line="275" w:lineRule="auto"/>
        <w:rPr>
          <w:sz w:val="20"/>
          <w:szCs w:val="20"/>
          <w:color w:val="auto"/>
        </w:rPr>
      </w:pPr>
      <w:r>
        <w:rPr>
          <w:rFonts w:ascii="Times New Roman" w:cs="Times New Roman" w:eastAsia="Times New Roman" w:hAnsi="Times New Roman"/>
          <w:sz w:val="13"/>
          <w:szCs w:val="13"/>
          <w:color w:val="auto"/>
        </w:rPr>
        <w:t>The outstanding loans under the Credit Agreement initially bear interest at an annual rate of Term SOFR plus 3.5%, increasing by 0.25% per annum during the term. Commencing March 31, 2025, the outstanding principal amount of the term loans amortizes at a rate of 1% per quarter and the Borrower is obligated to pay a leverage based cash sweep ranging from 25% to 100% of distributable cash of Borrower and the Guarantors, and subject to certain other mandatory prepayment requirements. The term loans and revolving loans mature on September 1, 2028.</w:t>
      </w:r>
    </w:p>
    <w:p>
      <w:pPr>
        <w:spacing w:after="0" w:line="77" w:lineRule="exact"/>
        <w:rPr>
          <w:sz w:val="20"/>
          <w:szCs w:val="20"/>
          <w:color w:val="auto"/>
        </w:rPr>
      </w:pPr>
    </w:p>
    <w:p>
      <w:pPr>
        <w:jc w:val="both"/>
        <w:ind w:firstLine="240"/>
        <w:spacing w:after="0" w:line="275" w:lineRule="auto"/>
        <w:rPr>
          <w:sz w:val="20"/>
          <w:szCs w:val="20"/>
          <w:color w:val="auto"/>
        </w:rPr>
      </w:pPr>
      <w:r>
        <w:rPr>
          <w:rFonts w:ascii="Times New Roman" w:cs="Times New Roman" w:eastAsia="Times New Roman" w:hAnsi="Times New Roman"/>
          <w:sz w:val="13"/>
          <w:szCs w:val="13"/>
          <w:color w:val="auto"/>
        </w:rPr>
        <w:t>The Credit Agreement requires the Borrower to maintain a consolidated debt service coverage ratio of not less than 1.2 to 1.0, as tested on a trailing four quarters basis as of the last day of each fiscal quarter during the term commencing with the quarter ended December 31, 2023, and to maintain a consolidated debt to cash flow ratio of not greater than 4.5 to 1.0 during the delayed draw availability period, and not greater than 4.0 to 1.0 thereafter.</w:t>
      </w:r>
    </w:p>
    <w:p>
      <w:pPr>
        <w:spacing w:after="0" w:line="147" w:lineRule="exact"/>
        <w:rPr>
          <w:sz w:val="20"/>
          <w:szCs w:val="20"/>
          <w:color w:val="auto"/>
        </w:rPr>
      </w:pPr>
    </w:p>
    <w:p>
      <w:pPr>
        <w:jc w:val="both"/>
        <w:ind w:firstLine="480"/>
        <w:spacing w:after="0" w:line="275" w:lineRule="auto"/>
        <w:rPr>
          <w:sz w:val="20"/>
          <w:szCs w:val="20"/>
          <w:color w:val="auto"/>
        </w:rPr>
      </w:pPr>
      <w:r>
        <w:rPr>
          <w:rFonts w:ascii="Times New Roman" w:cs="Times New Roman" w:eastAsia="Times New Roman" w:hAnsi="Times New Roman"/>
          <w:sz w:val="13"/>
          <w:szCs w:val="13"/>
          <w:color w:val="auto"/>
        </w:rPr>
        <w:t>The Credit Agreement includes certain customary and project-related affirmative and negative covenants, including restrictions on distributions, and events of default, which include payment defaults breaches of covenants; changes of control materially incorrect or misleading representations or warranties bankruptcy or other events of insolvency and certain project-related defaults. As of March 31, 2024, the Company is in compliance with the financial covenants under the OPAL Term Loan. Additionally, the OPAL Term Loan contains restrictions on distributions and additional indebtedness.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161290</wp:posOffset>
            </wp:positionV>
            <wp:extent cx="7193280"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377" w:right="319" w:bottom="1440" w:gutter="0" w:footer="0" w:header="0"/>
        </w:sectPr>
      </w:pPr>
    </w:p>
    <w:bookmarkStart w:id="25" w:name="page26"/>
    <w:bookmarkEnd w:id="25"/>
    <w:p>
      <w:pPr>
        <w:jc w:val="both"/>
        <w:ind w:firstLine="480"/>
        <w:spacing w:after="0" w:line="278" w:lineRule="auto"/>
        <w:rPr>
          <w:sz w:val="20"/>
          <w:szCs w:val="20"/>
          <w:color w:val="auto"/>
        </w:rPr>
      </w:pPr>
      <w:r>
        <w:rPr>
          <w:rFonts w:ascii="Times New Roman" w:cs="Times New Roman" w:eastAsia="Times New Roman" w:hAnsi="Times New Roman"/>
          <w:sz w:val="13"/>
          <w:szCs w:val="13"/>
          <w:color w:val="auto"/>
        </w:rPr>
        <w:t>The Company has the ability, during the delayed draw availability period and subject to the satisfaction of certain credit and project-related conditions precedent, to join other newly acquired subsidiaries with comparable renewable projects in development under the Credit Facility for comparable funding.</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Sunoma Loan</w:t>
      </w:r>
    </w:p>
    <w:p>
      <w:pPr>
        <w:spacing w:after="0" w:line="115" w:lineRule="exact"/>
        <w:rPr>
          <w:sz w:val="20"/>
          <w:szCs w:val="20"/>
          <w:color w:val="auto"/>
        </w:rPr>
      </w:pPr>
    </w:p>
    <w:p>
      <w:pPr>
        <w:jc w:val="both"/>
        <w:ind w:firstLine="240"/>
        <w:spacing w:after="0" w:line="275" w:lineRule="auto"/>
        <w:rPr>
          <w:sz w:val="20"/>
          <w:szCs w:val="20"/>
          <w:color w:val="auto"/>
        </w:rPr>
      </w:pPr>
      <w:r>
        <w:rPr>
          <w:rFonts w:ascii="Times New Roman" w:cs="Times New Roman" w:eastAsia="Times New Roman" w:hAnsi="Times New Roman"/>
          <w:sz w:val="13"/>
          <w:szCs w:val="13"/>
          <w:color w:val="auto"/>
        </w:rPr>
        <w:t>On August 27, 2020, Sunoma, an indirect wholly-owned subsidiary of the Company entered into a debt agreement (the "Sunoma Loan Agreement") with Live Oak Banking Company for an aggregate principal amount of $20,000. Sunoma paid $635 as financing fees. The loan bears interest at the greater of prime rate plus 3.50%, or 7.75%. The amounts outstanding under the Sunoma Loan are secured by the assets of Sunoma.</w:t>
      </w:r>
    </w:p>
    <w:p>
      <w:pPr>
        <w:spacing w:after="0" w:line="77" w:lineRule="exact"/>
        <w:rPr>
          <w:sz w:val="20"/>
          <w:szCs w:val="20"/>
          <w:color w:val="auto"/>
        </w:rPr>
      </w:pPr>
    </w:p>
    <w:p>
      <w:pPr>
        <w:jc w:val="both"/>
        <w:ind w:firstLine="240"/>
        <w:spacing w:after="0" w:line="275" w:lineRule="auto"/>
        <w:rPr>
          <w:sz w:val="20"/>
          <w:szCs w:val="20"/>
          <w:color w:val="auto"/>
        </w:rPr>
      </w:pPr>
      <w:r>
        <w:rPr>
          <w:rFonts w:ascii="Times New Roman" w:cs="Times New Roman" w:eastAsia="Times New Roman" w:hAnsi="Times New Roman"/>
          <w:sz w:val="13"/>
          <w:szCs w:val="13"/>
          <w:color w:val="auto"/>
        </w:rPr>
        <w:t>The Sunoma Loan Agreement contains certain financial covenants which require Sunoma to maintain (i) maximum debt to net worth ratio not to exceed 5:1 (ii) a minimum current ratio not be less than 1.0 and (iii) minimum debt service coverage ratio of trailing four quarters not be less than 1.25. On July 19, 2022, Sunoma completed the conversion of the construction loan into a permanent loan and increased the commitment from $20,000 to $23,000.</w:t>
      </w:r>
    </w:p>
    <w:p>
      <w:pPr>
        <w:spacing w:after="0" w:line="77" w:lineRule="exact"/>
        <w:rPr>
          <w:sz w:val="20"/>
          <w:szCs w:val="20"/>
          <w:color w:val="auto"/>
        </w:rPr>
      </w:pPr>
    </w:p>
    <w:p>
      <w:pPr>
        <w:jc w:val="both"/>
        <w:ind w:firstLine="240"/>
        <w:spacing w:after="0" w:line="294" w:lineRule="auto"/>
        <w:rPr>
          <w:sz w:val="20"/>
          <w:szCs w:val="20"/>
          <w:color w:val="auto"/>
        </w:rPr>
      </w:pPr>
      <w:r>
        <w:rPr>
          <w:rFonts w:ascii="Times New Roman" w:cs="Times New Roman" w:eastAsia="Times New Roman" w:hAnsi="Times New Roman"/>
          <w:sz w:val="13"/>
          <w:szCs w:val="13"/>
          <w:color w:val="auto"/>
        </w:rPr>
        <w:t>The borrowings under the Sunoma Loan Agreement bear interest at a rate of 7.68% and have a maturity date of July 19, 2033. The Company is required to pay a quarterly amortization of principal of $380 beginning in October 2023.</w:t>
      </w:r>
    </w:p>
    <w:p>
      <w:pPr>
        <w:spacing w:after="0" w:line="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As of March 31, 2024 and December 31, 2023, the outstanding loan balance (current and non-current) excluding deferred financing costs was $22,074 and $22,453, respectively.</w:t>
      </w:r>
    </w:p>
    <w:p>
      <w:pPr>
        <w:spacing w:after="0" w:line="119" w:lineRule="exact"/>
        <w:rPr>
          <w:sz w:val="20"/>
          <w:szCs w:val="20"/>
          <w:color w:val="auto"/>
        </w:rPr>
      </w:pPr>
    </w:p>
    <w:p>
      <w:pPr>
        <w:jc w:val="both"/>
        <w:ind w:firstLine="240"/>
        <w:spacing w:after="0" w:line="268" w:lineRule="auto"/>
        <w:rPr>
          <w:sz w:val="20"/>
          <w:szCs w:val="20"/>
          <w:color w:val="auto"/>
        </w:rPr>
      </w:pPr>
      <w:r>
        <w:rPr>
          <w:rFonts w:ascii="Times New Roman" w:cs="Times New Roman" w:eastAsia="Times New Roman" w:hAnsi="Times New Roman"/>
          <w:sz w:val="13"/>
          <w:szCs w:val="13"/>
          <w:color w:val="auto"/>
        </w:rPr>
        <w:t xml:space="preserve">The significant assets of Sunoma are parenthesized in the condensed consolidated balance sheets as March 31, 2024 and December 31, 2023. See Note 12. </w:t>
      </w:r>
      <w:r>
        <w:rPr>
          <w:rFonts w:ascii="Times New Roman" w:cs="Times New Roman" w:eastAsia="Times New Roman" w:hAnsi="Times New Roman"/>
          <w:sz w:val="13"/>
          <w:szCs w:val="13"/>
          <w:i w:val="1"/>
          <w:iCs w:val="1"/>
          <w:color w:val="auto"/>
        </w:rPr>
        <w:t>Variable Interest Entities</w:t>
      </w:r>
      <w:r>
        <w:rPr>
          <w:rFonts w:ascii="Times New Roman" w:cs="Times New Roman" w:eastAsia="Times New Roman" w:hAnsi="Times New Roman"/>
          <w:sz w:val="13"/>
          <w:szCs w:val="13"/>
          <w:color w:val="auto"/>
        </w:rPr>
        <w:t xml:space="preserve"> for additional information.</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Convertible Note Payable</w:t>
      </w:r>
    </w:p>
    <w:p>
      <w:pPr>
        <w:spacing w:after="0" w:line="105" w:lineRule="exact"/>
        <w:rPr>
          <w:sz w:val="20"/>
          <w:szCs w:val="20"/>
          <w:color w:val="auto"/>
        </w:rPr>
      </w:pPr>
    </w:p>
    <w:p>
      <w:pPr>
        <w:jc w:val="both"/>
        <w:ind w:firstLine="240"/>
        <w:spacing w:after="0" w:line="294" w:lineRule="auto"/>
        <w:rPr>
          <w:sz w:val="20"/>
          <w:szCs w:val="20"/>
          <w:color w:val="auto"/>
        </w:rPr>
      </w:pPr>
      <w:r>
        <w:rPr>
          <w:rFonts w:ascii="Times New Roman" w:cs="Times New Roman" w:eastAsia="Times New Roman" w:hAnsi="Times New Roman"/>
          <w:sz w:val="13"/>
          <w:szCs w:val="13"/>
          <w:color w:val="auto"/>
        </w:rPr>
        <w:t>On May 1, 2021, the Company acquired the remaining ownership interests in Beacon and signed an unsecured, contingently convertible note (the "Convertible Note") with Ares for a total aggregate amount for $50,000 at an interest rate of 8.00% per annum.</w:t>
      </w:r>
    </w:p>
    <w:p>
      <w:pPr>
        <w:spacing w:after="0" w:line="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 Company repaid the outstanding balance in full on September 1, 2023.</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Municipality Loan</w:t>
      </w:r>
    </w:p>
    <w:p>
      <w:pPr>
        <w:spacing w:after="0" w:line="115" w:lineRule="exact"/>
        <w:rPr>
          <w:sz w:val="20"/>
          <w:szCs w:val="20"/>
          <w:color w:val="auto"/>
        </w:rPr>
      </w:pPr>
    </w:p>
    <w:p>
      <w:pPr>
        <w:jc w:val="both"/>
        <w:ind w:firstLine="240"/>
        <w:spacing w:after="0" w:line="294" w:lineRule="auto"/>
        <w:rPr>
          <w:sz w:val="20"/>
          <w:szCs w:val="20"/>
          <w:color w:val="auto"/>
        </w:rPr>
      </w:pPr>
      <w:r>
        <w:rPr>
          <w:rFonts w:ascii="Times New Roman" w:cs="Times New Roman" w:eastAsia="Times New Roman" w:hAnsi="Times New Roman"/>
          <w:sz w:val="13"/>
          <w:szCs w:val="13"/>
          <w:color w:val="auto"/>
        </w:rPr>
        <w:t>FM3, an indirect wholly-owned subsidiary of the Company, entered into a loan agreement for the construction of an interconnection that was initially funded by the municipality. The loan was fully repaid in April 2023.</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Senior Secured Credit Facility</w:t>
      </w:r>
    </w:p>
    <w:p>
      <w:pPr>
        <w:spacing w:after="0" w:line="125" w:lineRule="exact"/>
        <w:rPr>
          <w:sz w:val="20"/>
          <w:szCs w:val="20"/>
          <w:color w:val="auto"/>
        </w:rPr>
      </w:pPr>
    </w:p>
    <w:p>
      <w:pPr>
        <w:jc w:val="both"/>
        <w:ind w:firstLine="240"/>
        <w:spacing w:after="0" w:line="275" w:lineRule="auto"/>
        <w:rPr>
          <w:sz w:val="20"/>
          <w:szCs w:val="20"/>
          <w:color w:val="auto"/>
        </w:rPr>
      </w:pPr>
      <w:r>
        <w:rPr>
          <w:rFonts w:ascii="Times New Roman" w:cs="Times New Roman" w:eastAsia="Times New Roman" w:hAnsi="Times New Roman"/>
          <w:sz w:val="13"/>
          <w:szCs w:val="13"/>
          <w:color w:val="auto"/>
        </w:rPr>
        <w:t>On September 21, 2015, FM3, an indirect wholly-owned subsidiary of the Company, entered into a senior secured credit facility (the "Senior Secured Credit Facility") as a borrower and a syndicate of lenders, which provides for an aggregate principal amount of $150,000, consisting of (i) a term loan of $125,000 and a (ii) working capital letter of credit facility of up to $19,000 and a (iii) debt service reserve and liquidity facility of up to $6,000.</w:t>
      </w:r>
    </w:p>
    <w:p>
      <w:pPr>
        <w:spacing w:after="0" w:line="7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On March 20, 2023, the Company repaid in full the remaining outstanding loan under this facility.</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Interest rates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2024</w:t>
      </w:r>
    </w:p>
    <w:p>
      <w:pPr>
        <w:spacing w:after="0" w:line="1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For the three months ended March 31, 2024, the weighted average effective interest rate including amortization of debt issuance costs on OPAL Term Loan was 7.30%.</w:t>
      </w:r>
    </w:p>
    <w:p>
      <w:pPr>
        <w:spacing w:after="0" w:line="1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For the three months ended March 31, 2024, the interest rate on Sunoma Loan was 8.60%.</w:t>
      </w: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167640</wp:posOffset>
            </wp:positionV>
            <wp:extent cx="7193280"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207"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3"/>
          <w:szCs w:val="13"/>
          <w:i w:val="1"/>
          <w:iCs w:val="1"/>
          <w:color w:val="auto"/>
        </w:rPr>
        <w:t>2023</w:t>
      </w:r>
    </w:p>
    <w:p>
      <w:pPr>
        <w:spacing w:after="0" w:line="163" w:lineRule="exact"/>
        <w:rPr>
          <w:sz w:val="20"/>
          <w:szCs w:val="20"/>
          <w:color w:val="auto"/>
        </w:rPr>
      </w:pPr>
    </w:p>
    <w:p>
      <w:pPr>
        <w:ind w:firstLine="240"/>
        <w:spacing w:after="0" w:line="262" w:lineRule="auto"/>
        <w:rPr>
          <w:sz w:val="20"/>
          <w:szCs w:val="20"/>
          <w:color w:val="auto"/>
        </w:rPr>
      </w:pPr>
      <w:r>
        <w:rPr>
          <w:rFonts w:ascii="Times New Roman" w:cs="Times New Roman" w:eastAsia="Times New Roman" w:hAnsi="Times New Roman"/>
          <w:sz w:val="13"/>
          <w:szCs w:val="13"/>
          <w:color w:val="auto"/>
        </w:rPr>
        <w:t>For the three months ended March 31, 2023, the weighted average effective interest rate on Senior Secured Credit Facility including amortization of debt issuance costs on Senior Secured Credit Facility was 5.60% including a margin plus LIBOR. The debt was repaid in full in March 2023.</w:t>
      </w:r>
    </w:p>
    <w:p>
      <w:pPr>
        <w:spacing w:after="0" w:line="11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For the three months ended March 31, 2023, the weighted average effective interest rate on OPAL Term Loan including amortization of debt issuance costs was 8.40%.</w:t>
      </w:r>
    </w:p>
    <w:p>
      <w:pPr>
        <w:spacing w:after="0" w:line="1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For three months ended March 31, 2023, the interest rate on Sunoma loan was 7.84%.</w:t>
      </w:r>
    </w:p>
    <w:p>
      <w:pPr>
        <w:spacing w:after="0" w:line="17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For the three months ended March 31, 2023, the payment-in-kind interest rate on Convertible Note Payable was 8.00%.</w:t>
      </w:r>
    </w:p>
    <w:p>
      <w:pPr>
        <w:spacing w:after="0" w:line="17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For the three months ended March 31, 2023, the weighted average interest rate on Municipality loan was 3.00%.</w:t>
      </w:r>
    </w:p>
    <w:p>
      <w:pPr>
        <w:spacing w:after="0" w:line="11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 following table summarizes the Company's total interest expense for the three months ended March 31,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110490</wp:posOffset>
            </wp:positionV>
            <wp:extent cx="6265545" cy="2286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65545" cy="228600"/>
                    </a:xfrm>
                    <a:prstGeom prst="rect">
                      <a:avLst/>
                    </a:prstGeom>
                    <a:noFill/>
                  </pic:spPr>
                </pic:pic>
              </a:graphicData>
            </a:graphic>
          </wp:anchor>
        </w:drawing>
      </w:r>
    </w:p>
    <w:p>
      <w:pPr>
        <w:spacing w:after="0" w:line="157" w:lineRule="exact"/>
        <w:rPr>
          <w:sz w:val="20"/>
          <w:szCs w:val="20"/>
          <w:color w:val="auto"/>
        </w:rPr>
      </w:pPr>
    </w:p>
    <w:p>
      <w:pPr>
        <w:jc w:val="center"/>
        <w:ind w:left="4420"/>
        <w:spacing w:after="0"/>
        <w:rPr>
          <w:sz w:val="20"/>
          <w:szCs w:val="20"/>
          <w:color w:val="auto"/>
        </w:rPr>
      </w:pPr>
      <w:r>
        <w:rPr>
          <w:rFonts w:ascii="Times New Roman" w:cs="Times New Roman" w:eastAsia="Times New Roman" w:hAnsi="Times New Roman"/>
          <w:sz w:val="13"/>
          <w:szCs w:val="13"/>
          <w:b w:val="1"/>
          <w:bCs w:val="1"/>
          <w:color w:val="auto"/>
        </w:rPr>
        <w:t>Three Months Ended</w:t>
      </w:r>
    </w:p>
    <w:p>
      <w:pPr>
        <w:spacing w:after="0" w:line="27" w:lineRule="exact"/>
        <w:rPr>
          <w:sz w:val="20"/>
          <w:szCs w:val="20"/>
          <w:color w:val="auto"/>
        </w:rPr>
      </w:pPr>
    </w:p>
    <w:p>
      <w:pPr>
        <w:jc w:val="center"/>
        <w:ind w:left="4420"/>
        <w:spacing w:after="0"/>
        <w:rPr>
          <w:sz w:val="20"/>
          <w:szCs w:val="20"/>
          <w:color w:val="auto"/>
        </w:rPr>
      </w:pPr>
      <w:r>
        <w:rPr>
          <w:rFonts w:ascii="Times New Roman" w:cs="Times New Roman" w:eastAsia="Times New Roman" w:hAnsi="Times New Roman"/>
          <w:sz w:val="13"/>
          <w:szCs w:val="13"/>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4619625</wp:posOffset>
            </wp:positionH>
            <wp:positionV relativeFrom="paragraph">
              <wp:posOffset>19685</wp:posOffset>
            </wp:positionV>
            <wp:extent cx="1645920" cy="63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645920" cy="6350"/>
                    </a:xfrm>
                    <a:prstGeom prst="rect">
                      <a:avLst/>
                    </a:prstGeom>
                    <a:noFill/>
                  </pic:spPr>
                </pic:pic>
              </a:graphicData>
            </a:graphic>
          </wp:anchor>
        </w:drawing>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28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2024</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85"/>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Senior Secured Credit Facility</w:t>
            </w:r>
          </w:p>
        </w:tc>
        <w:tc>
          <w:tcPr>
            <w:tcW w:w="840" w:type="dxa"/>
            <w:vAlign w:val="bottom"/>
            <w:shd w:val="clear" w:color="auto" w:fill="CCEEFF"/>
          </w:tcPr>
          <w:p>
            <w:pPr>
              <w:jc w:val="right"/>
              <w:ind w:right="693"/>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281</w:t>
            </w:r>
          </w:p>
        </w:tc>
      </w:tr>
      <w:tr>
        <w:trPr>
          <w:trHeight w:val="190"/>
        </w:trPr>
        <w:tc>
          <w:tcPr>
            <w:tcW w:w="7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Convertible Note Payable mark-to-market</w:t>
            </w:r>
          </w:p>
        </w:tc>
        <w:tc>
          <w:tcPr>
            <w:tcW w:w="840" w:type="dxa"/>
            <w:vAlign w:val="bottom"/>
          </w:tcPr>
          <w:p>
            <w:pPr>
              <w:spacing w:after="0"/>
              <w:rPr>
                <w:sz w:val="16"/>
                <w:szCs w:val="16"/>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563</w:t>
            </w:r>
          </w:p>
        </w:tc>
      </w:tr>
      <w:tr>
        <w:trPr>
          <w:trHeight w:val="19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Sunoma Loan</w:t>
            </w:r>
          </w:p>
        </w:tc>
        <w:tc>
          <w:tcPr>
            <w:tcW w:w="84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461</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445</w:t>
            </w:r>
          </w:p>
        </w:tc>
      </w:tr>
      <w:tr>
        <w:trPr>
          <w:trHeight w:val="190"/>
        </w:trPr>
        <w:tc>
          <w:tcPr>
            <w:tcW w:w="7280" w:type="dxa"/>
            <w:vAlign w:val="bottom"/>
          </w:tcPr>
          <w:p>
            <w:pPr>
              <w:ind w:left="20"/>
              <w:spacing w:after="0" w:line="190" w:lineRule="exact"/>
              <w:rPr>
                <w:sz w:val="20"/>
                <w:szCs w:val="20"/>
                <w:color w:val="auto"/>
              </w:rPr>
            </w:pPr>
            <w:r>
              <w:rPr>
                <w:rFonts w:ascii="Times New Roman" w:cs="Times New Roman" w:eastAsia="Times New Roman" w:hAnsi="Times New Roman"/>
                <w:sz w:val="13"/>
                <w:szCs w:val="13"/>
                <w:color w:val="auto"/>
              </w:rPr>
              <w:t xml:space="preserve">OPAL Term Loan </w:t>
            </w:r>
            <w:r>
              <w:rPr>
                <w:rFonts w:ascii="Times New Roman" w:cs="Times New Roman" w:eastAsia="Times New Roman" w:hAnsi="Times New Roman"/>
                <w:sz w:val="17"/>
                <w:szCs w:val="17"/>
                <w:color w:val="auto"/>
                <w:vertAlign w:val="superscript"/>
              </w:rPr>
              <w:t>(1)</w:t>
            </w:r>
          </w:p>
        </w:tc>
        <w:tc>
          <w:tcPr>
            <w:tcW w:w="8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2,769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r>
      <w:tr>
        <w:trPr>
          <w:trHeight w:val="190"/>
        </w:trPr>
        <w:tc>
          <w:tcPr>
            <w:tcW w:w="7280" w:type="dxa"/>
            <w:vAlign w:val="bottom"/>
            <w:shd w:val="clear" w:color="auto" w:fill="CCEEFF"/>
          </w:tcPr>
          <w:p>
            <w:pPr>
              <w:ind w:left="20"/>
              <w:spacing w:after="0" w:line="190" w:lineRule="exact"/>
              <w:rPr>
                <w:sz w:val="20"/>
                <w:szCs w:val="20"/>
                <w:color w:val="auto"/>
              </w:rPr>
            </w:pPr>
            <w:r>
              <w:rPr>
                <w:rFonts w:ascii="Times New Roman" w:cs="Times New Roman" w:eastAsia="Times New Roman" w:hAnsi="Times New Roman"/>
                <w:sz w:val="13"/>
                <w:szCs w:val="13"/>
                <w:color w:val="auto"/>
              </w:rPr>
              <w:t xml:space="preserve">Equipment loan </w:t>
            </w:r>
            <w:r>
              <w:rPr>
                <w:rFonts w:ascii="Times New Roman" w:cs="Times New Roman" w:eastAsia="Times New Roman" w:hAnsi="Times New Roman"/>
                <w:sz w:val="17"/>
                <w:szCs w:val="17"/>
                <w:color w:val="auto"/>
                <w:vertAlign w:val="superscript"/>
              </w:rPr>
              <w:t>(2)</w:t>
            </w:r>
          </w:p>
        </w:tc>
        <w:tc>
          <w:tcPr>
            <w:tcW w:w="84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90"/>
        </w:trPr>
        <w:tc>
          <w:tcPr>
            <w:tcW w:w="7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Commitment fees and other finance fees</w:t>
            </w:r>
          </w:p>
        </w:tc>
        <w:tc>
          <w:tcPr>
            <w:tcW w:w="8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w:t>
            </w:r>
          </w:p>
        </w:tc>
      </w:tr>
      <w:tr>
        <w:trPr>
          <w:trHeight w:val="19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Amortization of deferred financing cost</w:t>
            </w:r>
          </w:p>
        </w:tc>
        <w:tc>
          <w:tcPr>
            <w:tcW w:w="84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555</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450</w:t>
            </w:r>
          </w:p>
        </w:tc>
      </w:tr>
      <w:tr>
        <w:trPr>
          <w:trHeight w:val="190"/>
        </w:trPr>
        <w:tc>
          <w:tcPr>
            <w:tcW w:w="7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expense on finance leases</w:t>
            </w:r>
          </w:p>
        </w:tc>
        <w:tc>
          <w:tcPr>
            <w:tcW w:w="8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r>
      <w:tr>
        <w:trPr>
          <w:trHeight w:val="19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income</w:t>
            </w:r>
          </w:p>
        </w:tc>
        <w:tc>
          <w:tcPr>
            <w:tcW w:w="84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(666)</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(1,261)</w:t>
            </w:r>
          </w:p>
        </w:tc>
      </w:tr>
      <w:tr>
        <w:trPr>
          <w:trHeight w:val="180"/>
        </w:trPr>
        <w:tc>
          <w:tcPr>
            <w:tcW w:w="72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Total interest expense</w:t>
            </w:r>
          </w:p>
        </w:tc>
        <w:tc>
          <w:tcPr>
            <w:tcW w:w="840" w:type="dxa"/>
            <w:vAlign w:val="bottom"/>
            <w:tcBorders>
              <w:bottom w:val="single" w:sz="8" w:color="auto"/>
            </w:tcBorders>
          </w:tcPr>
          <w:p>
            <w:pPr>
              <w:jc w:val="right"/>
              <w:ind w:right="693"/>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3,961</w:t>
            </w:r>
          </w:p>
        </w:tc>
        <w:tc>
          <w:tcPr>
            <w:tcW w:w="100" w:type="dxa"/>
            <w:vAlign w:val="bottom"/>
          </w:tcPr>
          <w:p>
            <w:pPr>
              <w:spacing w:after="0"/>
              <w:rPr>
                <w:sz w:val="15"/>
                <w:szCs w:val="15"/>
                <w:color w:val="auto"/>
              </w:rPr>
            </w:pPr>
          </w:p>
        </w:tc>
        <w:tc>
          <w:tcPr>
            <w:tcW w:w="2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641</w:t>
            </w:r>
          </w:p>
        </w:tc>
      </w:tr>
      <w:tr>
        <w:trPr>
          <w:trHeight w:val="20"/>
        </w:trPr>
        <w:tc>
          <w:tcPr>
            <w:tcW w:w="7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ind w:left="120" w:hanging="120"/>
        <w:spacing w:after="0"/>
        <w:tabs>
          <w:tab w:leader="none" w:pos="120" w:val="left"/>
        </w:tabs>
        <w:numPr>
          <w:ilvl w:val="0"/>
          <w:numId w:val="12"/>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2"/>
          <w:szCs w:val="12"/>
          <w:color w:val="auto"/>
        </w:rPr>
        <w:t>Excludes $1,444 and $1,808 of interest capitalized and recorded as part of Property, Plant and Equipment for the three months ended March 31, 2024 and 2023, respectively.</w:t>
      </w:r>
    </w:p>
    <w:p>
      <w:pPr>
        <w:spacing w:after="0" w:line="117" w:lineRule="exact"/>
        <w:rPr>
          <w:rFonts w:ascii="Times New Roman" w:cs="Times New Roman" w:eastAsia="Times New Roman" w:hAnsi="Times New Roman"/>
          <w:sz w:val="15"/>
          <w:szCs w:val="15"/>
          <w:color w:val="auto"/>
          <w:vertAlign w:val="superscript"/>
        </w:rPr>
      </w:pPr>
    </w:p>
    <w:p>
      <w:pPr>
        <w:ind w:left="120" w:hanging="120"/>
        <w:spacing w:after="0"/>
        <w:tabs>
          <w:tab w:leader="none" w:pos="120" w:val="left"/>
        </w:tabs>
        <w:numPr>
          <w:ilvl w:val="0"/>
          <w:numId w:val="12"/>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2"/>
          <w:szCs w:val="12"/>
          <w:color w:val="auto"/>
        </w:rPr>
        <w:t>Sunoma equipment loan recorded as part of Other current liabilities and Other long-term liabilities as of March 31, 2024.</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8. Leases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following are the type of contracts that fall under ASC 842:</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Lessor contracts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Fuel Provider agreements</w:t>
      </w:r>
    </w:p>
    <w:p>
      <w:pPr>
        <w:spacing w:after="0" w:line="193" w:lineRule="exact"/>
        <w:rPr>
          <w:sz w:val="20"/>
          <w:szCs w:val="20"/>
          <w:color w:val="auto"/>
        </w:rPr>
      </w:pPr>
    </w:p>
    <w:p>
      <w:pPr>
        <w:jc w:val="both"/>
        <w:ind w:firstLine="240"/>
        <w:spacing w:after="0" w:line="259" w:lineRule="auto"/>
        <w:rPr>
          <w:sz w:val="20"/>
          <w:szCs w:val="20"/>
          <w:color w:val="auto"/>
        </w:rPr>
      </w:pPr>
      <w:r>
        <w:rPr>
          <w:rFonts w:ascii="Times New Roman" w:cs="Times New Roman" w:eastAsia="Times New Roman" w:hAnsi="Times New Roman"/>
          <w:sz w:val="13"/>
          <w:szCs w:val="13"/>
          <w:color w:val="auto"/>
        </w:rPr>
        <w:t>Fuel provider agreements ("FPAs") are for the sale of brown gas, service and maintenance of sites. The Company is contracted to design and build a Fueling Station on the customer's property in exchange for the Company providing CNG/RNG to the customer for a determined number of years. These are considered to be operating leases with variable consideration. As per ASC 842, the revenue is recognized in the period earned.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Power Purchase agreements</w:t>
      </w:r>
    </w:p>
    <w:p>
      <w:pPr>
        <w:spacing w:after="0" w:line="173" w:lineRule="exact"/>
        <w:rPr>
          <w:sz w:val="20"/>
          <w:szCs w:val="20"/>
          <w:color w:val="auto"/>
        </w:rPr>
      </w:pPr>
    </w:p>
    <w:p>
      <w:pPr>
        <w:jc w:val="both"/>
        <w:ind w:firstLine="240"/>
        <w:spacing w:after="0" w:line="294" w:lineRule="auto"/>
        <w:rPr>
          <w:sz w:val="20"/>
          <w:szCs w:val="20"/>
          <w:color w:val="auto"/>
        </w:rPr>
      </w:pPr>
      <w:r>
        <w:rPr>
          <w:rFonts w:ascii="Times New Roman" w:cs="Times New Roman" w:eastAsia="Times New Roman" w:hAnsi="Times New Roman"/>
          <w:sz w:val="13"/>
          <w:szCs w:val="13"/>
          <w:color w:val="auto"/>
        </w:rPr>
        <w:t>Power purchase agreements ("PPAs") are for the sale of electricity generated at our Renewable Power facilities. All of our Renewable Power facilities operate under fixed pricing or indexed pricing based on market prices. Two of our</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167640</wp:posOffset>
            </wp:positionV>
            <wp:extent cx="7193280"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366" w:right="319" w:bottom="1440" w:gutter="0" w:footer="0" w:header="0"/>
        </w:sectPr>
      </w:pPr>
    </w:p>
    <w:bookmarkStart w:id="27" w:name="page28"/>
    <w:bookmarkEnd w:id="27"/>
    <w:p>
      <w:pPr>
        <w:jc w:val="both"/>
        <w:spacing w:after="0" w:line="294" w:lineRule="auto"/>
        <w:rPr>
          <w:sz w:val="20"/>
          <w:szCs w:val="20"/>
          <w:color w:val="auto"/>
        </w:rPr>
      </w:pPr>
      <w:r>
        <w:rPr>
          <w:rFonts w:ascii="Times New Roman" w:cs="Times New Roman" w:eastAsia="Times New Roman" w:hAnsi="Times New Roman"/>
          <w:sz w:val="13"/>
          <w:szCs w:val="13"/>
          <w:color w:val="auto"/>
        </w:rPr>
        <w:t>Renewable Power facilities transfer the right to control the use of the power plant to the purchaser and are therefore classified as operating leases. There were no amendments to these two contracts after the Adoption Date.</w:t>
      </w:r>
    </w:p>
    <w:p>
      <w:pPr>
        <w:spacing w:after="0" w:line="11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Included in Fuel Station Services revenues are $772 and $570 related to the lease portion of the FPAs for the three months ended March 31, 2024 and 2023, respectively.</w:t>
      </w:r>
    </w:p>
    <w:p>
      <w:pPr>
        <w:spacing w:after="0" w:line="17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Included in Renewable Power revenues are $219 and $331 related to the lease element of the PPAs for the three months ended March 31, 2024 and 2023, respectively.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Lessee contracts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Ground/Site leases</w:t>
      </w:r>
    </w:p>
    <w:p>
      <w:pPr>
        <w:spacing w:after="0" w:line="173" w:lineRule="exact"/>
        <w:rPr>
          <w:sz w:val="20"/>
          <w:szCs w:val="20"/>
          <w:color w:val="auto"/>
        </w:rPr>
      </w:pPr>
    </w:p>
    <w:p>
      <w:pPr>
        <w:jc w:val="both"/>
        <w:ind w:firstLine="480"/>
        <w:spacing w:after="0" w:line="294" w:lineRule="auto"/>
        <w:rPr>
          <w:sz w:val="20"/>
          <w:szCs w:val="20"/>
          <w:color w:val="auto"/>
        </w:rPr>
      </w:pPr>
      <w:r>
        <w:rPr>
          <w:rFonts w:ascii="Times New Roman" w:cs="Times New Roman" w:eastAsia="Times New Roman" w:hAnsi="Times New Roman"/>
          <w:sz w:val="13"/>
          <w:szCs w:val="13"/>
          <w:color w:val="auto"/>
        </w:rPr>
        <w:t>The Company through various of its indirectly owned subsidiaries holds site leases on landfills/dairy farms to build RNG generation facilities. Typically, the lease payments over the lease term are immaterial except for three of our RNG facilities - Beacon and two sites at our Central Valley project - MS Digester ("MS") and VS Digester ("VS").</w:t>
      </w:r>
    </w:p>
    <w:p>
      <w:pPr>
        <w:spacing w:after="0" w:line="114" w:lineRule="exact"/>
        <w:rPr>
          <w:sz w:val="20"/>
          <w:szCs w:val="20"/>
          <w:color w:val="auto"/>
        </w:rPr>
      </w:pPr>
    </w:p>
    <w:p>
      <w:pPr>
        <w:jc w:val="both"/>
        <w:ind w:firstLine="480"/>
        <w:spacing w:after="0" w:line="294" w:lineRule="auto"/>
        <w:rPr>
          <w:sz w:val="20"/>
          <w:szCs w:val="20"/>
          <w:color w:val="auto"/>
        </w:rPr>
      </w:pPr>
      <w:r>
        <w:rPr>
          <w:rFonts w:ascii="Times New Roman" w:cs="Times New Roman" w:eastAsia="Times New Roman" w:hAnsi="Times New Roman"/>
          <w:sz w:val="13"/>
          <w:szCs w:val="13"/>
          <w:color w:val="auto"/>
        </w:rPr>
        <w:t>On December 27, 2023, OPAL entered into an Amended and Restated Lease Agreement which amended the payment terms to include a minimum volume requirement that requires OPAL to pay lease payments of $1 per GGE of CNG pumped with annual minimum volumes for the lease term.</w:t>
      </w:r>
    </w:p>
    <w:p>
      <w:pPr>
        <w:spacing w:after="0" w:line="114" w:lineRule="exact"/>
        <w:rPr>
          <w:sz w:val="20"/>
          <w:szCs w:val="20"/>
          <w:color w:val="auto"/>
        </w:rPr>
      </w:pPr>
    </w:p>
    <w:p>
      <w:pPr>
        <w:jc w:val="both"/>
        <w:ind w:firstLine="480"/>
        <w:spacing w:after="0" w:line="294" w:lineRule="auto"/>
        <w:rPr>
          <w:sz w:val="20"/>
          <w:szCs w:val="20"/>
          <w:color w:val="auto"/>
        </w:rPr>
      </w:pPr>
      <w:r>
        <w:rPr>
          <w:rFonts w:ascii="Times New Roman" w:cs="Times New Roman" w:eastAsia="Times New Roman" w:hAnsi="Times New Roman"/>
          <w:sz w:val="13"/>
          <w:szCs w:val="13"/>
          <w:color w:val="auto"/>
        </w:rPr>
        <w:t>The Company determined that the site lease is a finance lease because the present value of the sum of the lease payments is substantially greater than the fair value of the parcel of land. Therefore, the Company recorded right-of-use asset and related lease liability on December 27, 2023.</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Office lease</w:t>
      </w:r>
    </w:p>
    <w:p>
      <w:pPr>
        <w:spacing w:after="0" w:line="173" w:lineRule="exact"/>
        <w:rPr>
          <w:sz w:val="20"/>
          <w:szCs w:val="20"/>
          <w:color w:val="auto"/>
        </w:rPr>
      </w:pPr>
    </w:p>
    <w:p>
      <w:pPr>
        <w:jc w:val="both"/>
        <w:ind w:firstLine="480"/>
        <w:spacing w:after="0" w:line="275" w:lineRule="auto"/>
        <w:rPr>
          <w:sz w:val="20"/>
          <w:szCs w:val="20"/>
          <w:color w:val="auto"/>
        </w:rPr>
      </w:pPr>
      <w:r>
        <w:rPr>
          <w:rFonts w:ascii="Times New Roman" w:cs="Times New Roman" w:eastAsia="Times New Roman" w:hAnsi="Times New Roman"/>
          <w:sz w:val="13"/>
          <w:szCs w:val="13"/>
          <w:color w:val="auto"/>
        </w:rPr>
        <w:t>The Company entered into a lease for office and warehouse space that became effective upon the termination of the original lease term on January 31, 2018. The term of the lease renewal was 36 months and contained an option to renew for an additional 24 months. In September 2020, the Company exercised this option. In March 2022, the Company entered into an amendment to the lease which extended the lease term till January 2026.</w:t>
      </w:r>
    </w:p>
    <w:p>
      <w:pPr>
        <w:spacing w:after="0" w:line="1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The Company determined that the three site leases and the one office lease as operating leases.</w:t>
      </w:r>
    </w:p>
    <w:p>
      <w:pPr>
        <w:spacing w:after="0" w:line="171" w:lineRule="exact"/>
        <w:rPr>
          <w:sz w:val="20"/>
          <w:szCs w:val="20"/>
          <w:color w:val="auto"/>
        </w:rPr>
      </w:pPr>
    </w:p>
    <w:p>
      <w:pPr>
        <w:jc w:val="both"/>
        <w:ind w:firstLine="480"/>
        <w:spacing w:after="0" w:line="273" w:lineRule="auto"/>
        <w:rPr>
          <w:sz w:val="20"/>
          <w:szCs w:val="20"/>
          <w:color w:val="auto"/>
        </w:rPr>
      </w:pPr>
      <w:r>
        <w:rPr>
          <w:rFonts w:ascii="Times New Roman" w:cs="Times New Roman" w:eastAsia="Times New Roman" w:hAnsi="Times New Roman"/>
          <w:sz w:val="13"/>
          <w:szCs w:val="13"/>
          <w:color w:val="auto"/>
        </w:rPr>
        <w:t>Under ASC 842, leases are classified as either finance or operating arrangements, with such classification affecting the pattern and classification of expense recognition in an entity's income statement. For operating leases, ASC 842 requires recognition in an entity’s income statement of a single lease expense, calculated so that the cost of the lease is allocated over the lease term, generally on a straight-line basis. Right-of-use assets represent a right to use an underlying asset for the lease term and the related lease liability represents an obligation to make lease payments pursuant to the contractual terms of the lease agreement.</w:t>
      </w:r>
    </w:p>
    <w:p>
      <w:pPr>
        <w:spacing w:after="0" w:line="290" w:lineRule="exact"/>
        <w:rPr>
          <w:sz w:val="20"/>
          <w:szCs w:val="20"/>
          <w:color w:val="auto"/>
        </w:rPr>
      </w:pPr>
    </w:p>
    <w:p>
      <w:pPr>
        <w:jc w:val="both"/>
        <w:ind w:firstLine="480"/>
        <w:spacing w:after="0" w:line="275" w:lineRule="auto"/>
        <w:rPr>
          <w:sz w:val="20"/>
          <w:szCs w:val="20"/>
          <w:color w:val="auto"/>
        </w:rPr>
      </w:pPr>
      <w:r>
        <w:rPr>
          <w:rFonts w:ascii="Times New Roman" w:cs="Times New Roman" w:eastAsia="Times New Roman" w:hAnsi="Times New Roman"/>
          <w:sz w:val="13"/>
          <w:szCs w:val="13"/>
          <w:color w:val="auto"/>
        </w:rPr>
        <w:t>Based on the above guidance, the lease expense for the site leases is included as part of Cost of sales - RNG Fuel in its condensed consolidated statement of operations for the three months ended March 31, 2024 and 2023. The lease expense for the office lease is recorded as part Selling, general and administrative expenses in its condensed consolidated statement of operations for the three months ended March 31, 2024 and 2023.</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Vehicle leases</w:t>
      </w:r>
    </w:p>
    <w:p>
      <w:pPr>
        <w:spacing w:after="0" w:line="173" w:lineRule="exact"/>
        <w:rPr>
          <w:sz w:val="20"/>
          <w:szCs w:val="20"/>
          <w:color w:val="auto"/>
        </w:rPr>
      </w:pPr>
    </w:p>
    <w:p>
      <w:pPr>
        <w:jc w:val="both"/>
        <w:ind w:firstLine="480"/>
        <w:spacing w:after="0" w:line="294" w:lineRule="auto"/>
        <w:rPr>
          <w:sz w:val="20"/>
          <w:szCs w:val="20"/>
          <w:color w:val="auto"/>
        </w:rPr>
      </w:pPr>
      <w:r>
        <w:rPr>
          <w:rFonts w:ascii="Times New Roman" w:cs="Times New Roman" w:eastAsia="Times New Roman" w:hAnsi="Times New Roman"/>
          <w:sz w:val="13"/>
          <w:szCs w:val="13"/>
          <w:color w:val="auto"/>
        </w:rPr>
        <w:t>The Company leases approximately 104 vehicles in our FM3 and OPAL Fuel Station Services subsidiaries. The leases contain repurchase options at the end of the lease term and the sum total of the lease payments represents substantially the fair value of the asset.</w:t>
      </w:r>
    </w:p>
    <w:p>
      <w:pPr>
        <w:spacing w:after="0" w:line="114" w:lineRule="exact"/>
        <w:rPr>
          <w:sz w:val="20"/>
          <w:szCs w:val="20"/>
          <w:color w:val="auto"/>
        </w:rPr>
      </w:pPr>
    </w:p>
    <w:p>
      <w:pPr>
        <w:jc w:val="both"/>
        <w:ind w:firstLine="480"/>
        <w:spacing w:after="0" w:line="294" w:lineRule="auto"/>
        <w:rPr>
          <w:sz w:val="20"/>
          <w:szCs w:val="20"/>
          <w:color w:val="auto"/>
        </w:rPr>
      </w:pPr>
      <w:r>
        <w:rPr>
          <w:rFonts w:ascii="Times New Roman" w:cs="Times New Roman" w:eastAsia="Times New Roman" w:hAnsi="Times New Roman"/>
          <w:sz w:val="13"/>
          <w:szCs w:val="13"/>
          <w:color w:val="auto"/>
        </w:rPr>
        <w:t>Under ASC 842, the Company determined that the vehicle leases are finance leases. For finance leases, ASC 842 requires recognition of amortization of right-of-use asset as part of depreciation and amortization expense and the interest on the finance lease liability as interest expense in the income statement. The Company accordingly recognized its lease</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161290</wp:posOffset>
            </wp:positionV>
            <wp:extent cx="7193280"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368" w:right="319" w:bottom="1440" w:gutter="0" w:footer="0" w:header="0"/>
        </w:sectPr>
      </w:pPr>
    </w:p>
    <w:bookmarkStart w:id="28" w:name="page29"/>
    <w:bookmarkEnd w:id="28"/>
    <w:p>
      <w:pPr>
        <w:spacing w:after="0" w:line="294" w:lineRule="auto"/>
        <w:rPr>
          <w:sz w:val="20"/>
          <w:szCs w:val="20"/>
          <w:color w:val="auto"/>
        </w:rPr>
      </w:pPr>
      <w:r>
        <w:rPr>
          <w:rFonts w:ascii="Times New Roman" w:cs="Times New Roman" w:eastAsia="Times New Roman" w:hAnsi="Times New Roman"/>
          <w:sz w:val="13"/>
          <w:szCs w:val="13"/>
          <w:color w:val="auto"/>
        </w:rPr>
        <w:t>expense on the vehicle leases as part of Depreciation, amortization and accretion expense and interest and financing expense, net in its condensed statement of operations for the three months ended March 31, 2024 and 2023.</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Lease Disclosures Under ASC 842</w:t>
      </w:r>
    </w:p>
    <w:p>
      <w:pPr>
        <w:spacing w:after="0" w:line="175" w:lineRule="exact"/>
        <w:rPr>
          <w:sz w:val="20"/>
          <w:szCs w:val="20"/>
          <w:color w:val="auto"/>
        </w:rPr>
      </w:pPr>
    </w:p>
    <w:p>
      <w:pPr>
        <w:ind w:firstLine="480"/>
        <w:spacing w:after="0" w:line="294" w:lineRule="auto"/>
        <w:rPr>
          <w:sz w:val="20"/>
          <w:szCs w:val="20"/>
          <w:color w:val="auto"/>
        </w:rPr>
      </w:pPr>
      <w:r>
        <w:rPr>
          <w:rFonts w:ascii="Times New Roman" w:cs="Times New Roman" w:eastAsia="Times New Roman" w:hAnsi="Times New Roman"/>
          <w:sz w:val="13"/>
          <w:szCs w:val="13"/>
          <w:color w:val="auto"/>
        </w:rPr>
        <w:t>The objective of the disclosure requirements under ASC 842 is to enable users of an entity’s financial statements to assess the amount, timing and uncertainty of cash flows arising from lease arrangements. In addition to the supplemental qualitative leasing disclosures included above, below are quantitative disclosures that are intended to meet the stated objective of ASC 842.</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Right-of-use assets and Lease liabilities as of March 31, 2024 and December 31, 2023 are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960" w:type="dxa"/>
            <w:vAlign w:val="bottom"/>
            <w:tcBorders>
              <w:top w:val="single" w:sz="8" w:color="auto"/>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5220" w:type="dxa"/>
            <w:vAlign w:val="bottom"/>
            <w:tcBorders>
              <w:top w:val="single" w:sz="8" w:color="auto"/>
              <w:bottom w:val="single" w:sz="8" w:color="auto"/>
            </w:tcBorders>
            <w:shd w:val="clear" w:color="auto" w:fill="CCEEFF"/>
          </w:tcPr>
          <w:p>
            <w:pPr>
              <w:ind w:left="2040"/>
              <w:spacing w:after="0"/>
              <w:rPr>
                <w:sz w:val="20"/>
                <w:szCs w:val="20"/>
                <w:color w:val="auto"/>
              </w:rPr>
            </w:pPr>
            <w:r>
              <w:rPr>
                <w:rFonts w:ascii="Times New Roman" w:cs="Times New Roman" w:eastAsia="Times New Roman" w:hAnsi="Times New Roman"/>
                <w:sz w:val="13"/>
                <w:szCs w:val="13"/>
                <w:b w:val="1"/>
                <w:bCs w:val="1"/>
                <w:color w:val="auto"/>
              </w:rPr>
              <w:t>Location in Balance Sheet</w:t>
            </w:r>
          </w:p>
        </w:tc>
        <w:tc>
          <w:tcPr>
            <w:tcW w:w="280" w:type="dxa"/>
            <w:vAlign w:val="bottom"/>
            <w:tcBorders>
              <w:top w:val="single" w:sz="8" w:color="auto"/>
              <w:bottom w:val="single" w:sz="8" w:color="auto"/>
            </w:tcBorders>
            <w:shd w:val="clear" w:color="auto" w:fill="CCEEFF"/>
          </w:tcPr>
          <w:p>
            <w:pPr>
              <w:spacing w:after="0"/>
              <w:rPr>
                <w:sz w:val="15"/>
                <w:szCs w:val="15"/>
                <w:color w:val="auto"/>
              </w:rPr>
            </w:pPr>
          </w:p>
        </w:tc>
        <w:tc>
          <w:tcPr>
            <w:tcW w:w="1700" w:type="dxa"/>
            <w:vAlign w:val="bottom"/>
            <w:tcBorders>
              <w:top w:val="single" w:sz="8" w:color="auto"/>
              <w:bottom w:val="single" w:sz="8" w:color="auto"/>
            </w:tcBorders>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b w:val="1"/>
                <w:bCs w:val="1"/>
                <w:color w:val="auto"/>
              </w:rPr>
              <w:t>March 31, 2024</w:t>
            </w:r>
          </w:p>
        </w:tc>
        <w:tc>
          <w:tcPr>
            <w:tcW w:w="280" w:type="dxa"/>
            <w:vAlign w:val="bottom"/>
            <w:tcBorders>
              <w:top w:val="single" w:sz="8" w:color="auto"/>
              <w:bottom w:val="single" w:sz="8" w:color="auto"/>
            </w:tcBorders>
            <w:shd w:val="clear" w:color="auto" w:fill="CCEEFF"/>
          </w:tcPr>
          <w:p>
            <w:pPr>
              <w:spacing w:after="0"/>
              <w:rPr>
                <w:sz w:val="15"/>
                <w:szCs w:val="15"/>
                <w:color w:val="auto"/>
              </w:rPr>
            </w:pPr>
          </w:p>
        </w:tc>
        <w:tc>
          <w:tcPr>
            <w:tcW w:w="1760" w:type="dxa"/>
            <w:vAlign w:val="bottom"/>
            <w:tcBorders>
              <w:top w:val="single" w:sz="8" w:color="auto"/>
              <w:bottom w:val="single" w:sz="8" w:color="auto"/>
            </w:tcBorders>
            <w:shd w:val="clear" w:color="auto" w:fill="CCEEFF"/>
          </w:tcPr>
          <w:p>
            <w:pPr>
              <w:jc w:val="right"/>
              <w:ind w:right="413"/>
              <w:spacing w:after="0"/>
              <w:rPr>
                <w:sz w:val="20"/>
                <w:szCs w:val="20"/>
                <w:color w:val="auto"/>
              </w:rPr>
            </w:pPr>
            <w:r>
              <w:rPr>
                <w:rFonts w:ascii="Times New Roman" w:cs="Times New Roman" w:eastAsia="Times New Roman" w:hAnsi="Times New Roman"/>
                <w:sz w:val="13"/>
                <w:szCs w:val="13"/>
                <w:b w:val="1"/>
                <w:bCs w:val="1"/>
                <w:color w:val="auto"/>
              </w:rPr>
              <w:t>December 31, 2023</w:t>
            </w:r>
          </w:p>
        </w:tc>
      </w:tr>
      <w:tr>
        <w:trPr>
          <w:trHeight w:val="160"/>
        </w:trPr>
        <w:tc>
          <w:tcPr>
            <w:tcW w:w="19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Assets:</w:t>
            </w:r>
          </w:p>
        </w:tc>
        <w:tc>
          <w:tcPr>
            <w:tcW w:w="5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60" w:type="dxa"/>
            <w:vAlign w:val="bottom"/>
          </w:tcPr>
          <w:p>
            <w:pPr>
              <w:spacing w:after="0"/>
              <w:rPr>
                <w:sz w:val="13"/>
                <w:szCs w:val="13"/>
                <w:color w:val="auto"/>
              </w:rPr>
            </w:pPr>
          </w:p>
        </w:tc>
      </w:tr>
      <w:tr>
        <w:trPr>
          <w:trHeight w:val="170"/>
        </w:trPr>
        <w:tc>
          <w:tcPr>
            <w:tcW w:w="1960" w:type="dxa"/>
            <w:vAlign w:val="bottom"/>
            <w:shd w:val="clear" w:color="auto" w:fill="CCEEFF"/>
          </w:tcPr>
          <w:p>
            <w:pPr>
              <w:ind w:left="20"/>
              <w:spacing w:after="0" w:line="170" w:lineRule="exact"/>
              <w:rPr>
                <w:sz w:val="20"/>
                <w:szCs w:val="20"/>
                <w:color w:val="auto"/>
              </w:rPr>
            </w:pPr>
            <w:r>
              <w:rPr>
                <w:rFonts w:ascii="Times New Roman" w:cs="Times New Roman" w:eastAsia="Times New Roman" w:hAnsi="Times New Roman"/>
                <w:sz w:val="13"/>
                <w:szCs w:val="13"/>
                <w:color w:val="auto"/>
              </w:rPr>
              <w:t xml:space="preserve">Operating leases </w:t>
            </w:r>
            <w:r>
              <w:rPr>
                <w:rFonts w:ascii="Times New Roman" w:cs="Times New Roman" w:eastAsia="Times New Roman" w:hAnsi="Times New Roman"/>
                <w:sz w:val="17"/>
                <w:szCs w:val="17"/>
                <w:color w:val="auto"/>
                <w:vertAlign w:val="superscript"/>
              </w:rPr>
              <w:t>(1)</w:t>
            </w:r>
            <w:r>
              <w:rPr>
                <w:rFonts w:ascii="Times New Roman" w:cs="Times New Roman" w:eastAsia="Times New Roman" w:hAnsi="Times New Roman"/>
                <w:sz w:val="13"/>
                <w:szCs w:val="13"/>
                <w:color w:val="auto"/>
              </w:rPr>
              <w:t>:</w:t>
            </w:r>
          </w:p>
        </w:tc>
        <w:tc>
          <w:tcPr>
            <w:tcW w:w="5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70"/>
        </w:trPr>
        <w:tc>
          <w:tcPr>
            <w:tcW w:w="19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Site leases</w:t>
            </w:r>
          </w:p>
        </w:tc>
        <w:tc>
          <w:tcPr>
            <w:tcW w:w="522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Right-of-use assets</w:t>
            </w:r>
          </w:p>
        </w:tc>
        <w:tc>
          <w:tcPr>
            <w:tcW w:w="280" w:type="dxa"/>
            <w:vAlign w:val="bottom"/>
          </w:tcPr>
          <w:p>
            <w:pPr>
              <w:jc w:val="right"/>
              <w:ind w:right="133"/>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11,278</w:t>
            </w:r>
          </w:p>
        </w:tc>
        <w:tc>
          <w:tcPr>
            <w:tcW w:w="80" w:type="dxa"/>
            <w:vAlign w:val="bottom"/>
          </w:tcPr>
          <w:p>
            <w:pPr>
              <w:spacing w:after="0"/>
              <w:rPr>
                <w:sz w:val="14"/>
                <w:szCs w:val="14"/>
                <w:color w:val="auto"/>
              </w:rPr>
            </w:pPr>
          </w:p>
        </w:tc>
        <w:tc>
          <w:tcPr>
            <w:tcW w:w="280" w:type="dxa"/>
            <w:vAlign w:val="bottom"/>
          </w:tcPr>
          <w:p>
            <w:pPr>
              <w:jc w:val="right"/>
              <w:ind w:right="133"/>
              <w:spacing w:after="0"/>
              <w:rPr>
                <w:sz w:val="20"/>
                <w:szCs w:val="20"/>
                <w:color w:val="auto"/>
              </w:rPr>
            </w:pPr>
            <w:r>
              <w:rPr>
                <w:rFonts w:ascii="Times New Roman" w:cs="Times New Roman" w:eastAsia="Times New Roman" w:hAnsi="Times New Roman"/>
                <w:sz w:val="13"/>
                <w:szCs w:val="13"/>
                <w:color w:val="auto"/>
                <w:w w:val="91"/>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11,330</w:t>
            </w:r>
          </w:p>
        </w:tc>
      </w:tr>
      <w:tr>
        <w:trPr>
          <w:trHeight w:val="170"/>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Office lease</w:t>
            </w:r>
          </w:p>
        </w:tc>
        <w:tc>
          <w:tcPr>
            <w:tcW w:w="52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Right-of-use assets</w:t>
            </w:r>
          </w:p>
        </w:tc>
        <w:tc>
          <w:tcPr>
            <w:tcW w:w="280" w:type="dxa"/>
            <w:vAlign w:val="bottom"/>
            <w:tcBorders>
              <w:bottom w:val="single" w:sz="8" w:color="auto"/>
            </w:tcBorders>
            <w:shd w:val="clear" w:color="auto" w:fill="CCEEFF"/>
          </w:tcPr>
          <w:p>
            <w:pPr>
              <w:spacing w:after="0"/>
              <w:rPr>
                <w:sz w:val="14"/>
                <w:szCs w:val="14"/>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859</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971</w:t>
            </w:r>
          </w:p>
        </w:tc>
      </w:tr>
      <w:tr>
        <w:trPr>
          <w:trHeight w:val="160"/>
        </w:trPr>
        <w:tc>
          <w:tcPr>
            <w:tcW w:w="1960" w:type="dxa"/>
            <w:vAlign w:val="bottom"/>
            <w:tcBorders>
              <w:bottom w:val="single" w:sz="8" w:color="CCEEFF"/>
            </w:tcBorders>
          </w:tcPr>
          <w:p>
            <w:pPr>
              <w:spacing w:after="0"/>
              <w:rPr>
                <w:sz w:val="13"/>
                <w:szCs w:val="13"/>
                <w:color w:val="auto"/>
              </w:rPr>
            </w:pPr>
          </w:p>
        </w:tc>
        <w:tc>
          <w:tcPr>
            <w:tcW w:w="522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12,137</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12,301</w:t>
            </w:r>
          </w:p>
        </w:tc>
      </w:tr>
      <w:tr>
        <w:trPr>
          <w:trHeight w:val="150"/>
        </w:trPr>
        <w:tc>
          <w:tcPr>
            <w:tcW w:w="1960" w:type="dxa"/>
            <w:vAlign w:val="bottom"/>
            <w:shd w:val="clear" w:color="auto" w:fill="CCEEFF"/>
          </w:tcPr>
          <w:p>
            <w:pPr>
              <w:ind w:left="20"/>
              <w:spacing w:after="0" w:line="150" w:lineRule="exact"/>
              <w:rPr>
                <w:sz w:val="20"/>
                <w:szCs w:val="20"/>
                <w:color w:val="auto"/>
              </w:rPr>
            </w:pPr>
            <w:r>
              <w:rPr>
                <w:rFonts w:ascii="Times New Roman" w:cs="Times New Roman" w:eastAsia="Times New Roman" w:hAnsi="Times New Roman"/>
                <w:sz w:val="13"/>
                <w:szCs w:val="13"/>
                <w:color w:val="auto"/>
              </w:rPr>
              <w:t xml:space="preserve">Finance leases </w:t>
            </w:r>
            <w:r>
              <w:rPr>
                <w:rFonts w:ascii="Times New Roman" w:cs="Times New Roman" w:eastAsia="Times New Roman" w:hAnsi="Times New Roman"/>
                <w:sz w:val="17"/>
                <w:szCs w:val="17"/>
                <w:color w:val="auto"/>
                <w:vertAlign w:val="superscript"/>
              </w:rPr>
              <w:t>(1)</w:t>
            </w:r>
            <w:r>
              <w:rPr>
                <w:rFonts w:ascii="Times New Roman" w:cs="Times New Roman" w:eastAsia="Times New Roman" w:hAnsi="Times New Roman"/>
                <w:sz w:val="13"/>
                <w:szCs w:val="13"/>
                <w:color w:val="auto"/>
              </w:rPr>
              <w:t>:</w:t>
            </w:r>
          </w:p>
        </w:tc>
        <w:tc>
          <w:tcPr>
            <w:tcW w:w="52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r>
      <w:tr>
        <w:trPr>
          <w:trHeight w:val="170"/>
        </w:trPr>
        <w:tc>
          <w:tcPr>
            <w:tcW w:w="19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Vehicle leases</w:t>
            </w:r>
          </w:p>
        </w:tc>
        <w:tc>
          <w:tcPr>
            <w:tcW w:w="522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Property, plant and equipment, net</w:t>
            </w:r>
          </w:p>
        </w:tc>
        <w:tc>
          <w:tcPr>
            <w:tcW w:w="28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2,460</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2,580</w:t>
            </w:r>
          </w:p>
        </w:tc>
      </w:tr>
      <w:tr>
        <w:trPr>
          <w:trHeight w:val="170"/>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Site leases</w:t>
            </w:r>
          </w:p>
        </w:tc>
        <w:tc>
          <w:tcPr>
            <w:tcW w:w="52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Property, plant and equipment, net</w:t>
            </w:r>
          </w:p>
        </w:tc>
        <w:tc>
          <w:tcPr>
            <w:tcW w:w="280" w:type="dxa"/>
            <w:vAlign w:val="bottom"/>
            <w:tcBorders>
              <w:bottom w:val="single" w:sz="8" w:color="auto"/>
            </w:tcBorders>
            <w:shd w:val="clear" w:color="auto" w:fill="CCEEFF"/>
          </w:tcPr>
          <w:p>
            <w:pPr>
              <w:spacing w:after="0"/>
              <w:rPr>
                <w:sz w:val="14"/>
                <w:szCs w:val="14"/>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6,283</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6,468</w:t>
            </w:r>
          </w:p>
        </w:tc>
      </w:tr>
      <w:tr>
        <w:trPr>
          <w:trHeight w:val="160"/>
        </w:trPr>
        <w:tc>
          <w:tcPr>
            <w:tcW w:w="1960" w:type="dxa"/>
            <w:vAlign w:val="bottom"/>
            <w:tcBorders>
              <w:bottom w:val="single" w:sz="8" w:color="CCEEFF"/>
            </w:tcBorders>
          </w:tcPr>
          <w:p>
            <w:pPr>
              <w:spacing w:after="0"/>
              <w:rPr>
                <w:sz w:val="13"/>
                <w:szCs w:val="13"/>
                <w:color w:val="auto"/>
              </w:rPr>
            </w:pPr>
          </w:p>
        </w:tc>
        <w:tc>
          <w:tcPr>
            <w:tcW w:w="522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8,743</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9,048</w:t>
            </w:r>
          </w:p>
        </w:tc>
      </w:tr>
      <w:tr>
        <w:trPr>
          <w:trHeight w:val="180"/>
        </w:trPr>
        <w:tc>
          <w:tcPr>
            <w:tcW w:w="1960" w:type="dxa"/>
            <w:vAlign w:val="bottom"/>
            <w:shd w:val="clear" w:color="auto" w:fill="CCEEFF"/>
          </w:tcPr>
          <w:p>
            <w:pPr>
              <w:spacing w:after="0"/>
              <w:rPr>
                <w:sz w:val="15"/>
                <w:szCs w:val="15"/>
                <w:color w:val="auto"/>
              </w:rPr>
            </w:pPr>
          </w:p>
        </w:tc>
        <w:tc>
          <w:tcPr>
            <w:tcW w:w="522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62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760" w:type="dxa"/>
            <w:vAlign w:val="bottom"/>
            <w:tcBorders>
              <w:bottom w:val="single" w:sz="8" w:color="auto"/>
            </w:tcBorders>
            <w:shd w:val="clear" w:color="auto" w:fill="CCEEFF"/>
          </w:tcPr>
          <w:p>
            <w:pPr>
              <w:spacing w:after="0"/>
              <w:rPr>
                <w:sz w:val="15"/>
                <w:szCs w:val="15"/>
                <w:color w:val="auto"/>
              </w:rPr>
            </w:pPr>
          </w:p>
        </w:tc>
      </w:tr>
      <w:tr>
        <w:trPr>
          <w:trHeight w:val="160"/>
        </w:trPr>
        <w:tc>
          <w:tcPr>
            <w:tcW w:w="19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right-of-use assets</w:t>
            </w:r>
          </w:p>
        </w:tc>
        <w:tc>
          <w:tcPr>
            <w:tcW w:w="5220" w:type="dxa"/>
            <w:vAlign w:val="bottom"/>
          </w:tcPr>
          <w:p>
            <w:pPr>
              <w:spacing w:after="0"/>
              <w:rPr>
                <w:sz w:val="13"/>
                <w:szCs w:val="13"/>
                <w:color w:val="auto"/>
              </w:rPr>
            </w:pPr>
          </w:p>
        </w:tc>
        <w:tc>
          <w:tcPr>
            <w:tcW w:w="2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20,880</w:t>
            </w:r>
          </w:p>
        </w:tc>
        <w:tc>
          <w:tcPr>
            <w:tcW w:w="80" w:type="dxa"/>
            <w:vAlign w:val="bottom"/>
          </w:tcPr>
          <w:p>
            <w:pPr>
              <w:spacing w:after="0"/>
              <w:rPr>
                <w:sz w:val="13"/>
                <w:szCs w:val="13"/>
                <w:color w:val="auto"/>
              </w:rPr>
            </w:pPr>
          </w:p>
        </w:tc>
        <w:tc>
          <w:tcPr>
            <w:tcW w:w="2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21,349</w:t>
            </w:r>
          </w:p>
        </w:tc>
      </w:tr>
      <w:tr>
        <w:trPr>
          <w:trHeight w:val="20"/>
        </w:trPr>
        <w:tc>
          <w:tcPr>
            <w:tcW w:w="1960" w:type="dxa"/>
            <w:vAlign w:val="bottom"/>
            <w:tcBorders>
              <w:bottom w:val="single" w:sz="8" w:color="CCEEFF"/>
            </w:tcBorders>
          </w:tcPr>
          <w:p>
            <w:pPr>
              <w:spacing w:after="0" w:line="20" w:lineRule="exact"/>
              <w:rPr>
                <w:sz w:val="1"/>
                <w:szCs w:val="1"/>
                <w:color w:val="auto"/>
              </w:rPr>
            </w:pPr>
          </w:p>
        </w:tc>
        <w:tc>
          <w:tcPr>
            <w:tcW w:w="52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130"/>
        </w:trPr>
        <w:tc>
          <w:tcPr>
            <w:tcW w:w="1960" w:type="dxa"/>
            <w:vAlign w:val="bottom"/>
            <w:shd w:val="clear" w:color="auto" w:fill="CCEEFF"/>
          </w:tcPr>
          <w:p>
            <w:pPr>
              <w:ind w:left="20"/>
              <w:spacing w:after="0" w:line="131" w:lineRule="exact"/>
              <w:rPr>
                <w:sz w:val="20"/>
                <w:szCs w:val="20"/>
                <w:color w:val="auto"/>
              </w:rPr>
            </w:pPr>
            <w:r>
              <w:rPr>
                <w:rFonts w:ascii="Times New Roman" w:cs="Times New Roman" w:eastAsia="Times New Roman" w:hAnsi="Times New Roman"/>
                <w:sz w:val="12"/>
                <w:szCs w:val="12"/>
                <w:color w:val="auto"/>
              </w:rPr>
              <w:t xml:space="preserve">Liabilities </w:t>
            </w:r>
            <w:r>
              <w:rPr>
                <w:rFonts w:ascii="Times New Roman" w:cs="Times New Roman" w:eastAsia="Times New Roman" w:hAnsi="Times New Roman"/>
                <w:sz w:val="15"/>
                <w:szCs w:val="15"/>
                <w:color w:val="auto"/>
                <w:vertAlign w:val="superscript"/>
              </w:rPr>
              <w:t>(1)</w:t>
            </w:r>
            <w:r>
              <w:rPr>
                <w:rFonts w:ascii="Times New Roman" w:cs="Times New Roman" w:eastAsia="Times New Roman" w:hAnsi="Times New Roman"/>
                <w:sz w:val="12"/>
                <w:szCs w:val="12"/>
                <w:color w:val="auto"/>
              </w:rPr>
              <w:t>:</w:t>
            </w:r>
          </w:p>
        </w:tc>
        <w:tc>
          <w:tcPr>
            <w:tcW w:w="52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0"/>
        </w:trPr>
        <w:tc>
          <w:tcPr>
            <w:tcW w:w="19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Sites leases - operating</w:t>
            </w:r>
          </w:p>
        </w:tc>
        <w:tc>
          <w:tcPr>
            <w:tcW w:w="522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Lease liabilities - current portion</w:t>
            </w:r>
          </w:p>
        </w:tc>
        <w:tc>
          <w:tcPr>
            <w:tcW w:w="28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w:t>
            </w:r>
          </w:p>
        </w:tc>
        <w:tc>
          <w:tcPr>
            <w:tcW w:w="80" w:type="dxa"/>
            <w:vAlign w:val="bottom"/>
          </w:tcPr>
          <w:p>
            <w:pPr>
              <w:spacing w:after="0"/>
              <w:rPr>
                <w:sz w:val="14"/>
                <w:szCs w:val="14"/>
                <w:color w:val="auto"/>
              </w:rPr>
            </w:pPr>
          </w:p>
        </w:tc>
        <w:tc>
          <w:tcPr>
            <w:tcW w:w="280" w:type="dxa"/>
            <w:vAlign w:val="bottom"/>
          </w:tcPr>
          <w:p>
            <w:pPr>
              <w:jc w:val="right"/>
              <w:ind w:right="133"/>
              <w:spacing w:after="0"/>
              <w:rPr>
                <w:sz w:val="20"/>
                <w:szCs w:val="20"/>
                <w:color w:val="auto"/>
              </w:rPr>
            </w:pPr>
            <w:r>
              <w:rPr>
                <w:rFonts w:ascii="Times New Roman" w:cs="Times New Roman" w:eastAsia="Times New Roman" w:hAnsi="Times New Roman"/>
                <w:sz w:val="13"/>
                <w:szCs w:val="13"/>
                <w:color w:val="auto"/>
                <w:w w:val="91"/>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w:t>
            </w:r>
          </w:p>
        </w:tc>
      </w:tr>
      <w:tr>
        <w:trPr>
          <w:trHeight w:val="170"/>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Office lease - operating</w:t>
            </w:r>
          </w:p>
        </w:tc>
        <w:tc>
          <w:tcPr>
            <w:tcW w:w="52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Lease liabilities - current portion</w:t>
            </w:r>
          </w:p>
        </w:tc>
        <w:tc>
          <w:tcPr>
            <w:tcW w:w="28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518</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508</w:t>
            </w:r>
          </w:p>
        </w:tc>
      </w:tr>
      <w:tr>
        <w:trPr>
          <w:trHeight w:val="170"/>
        </w:trPr>
        <w:tc>
          <w:tcPr>
            <w:tcW w:w="19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Vehicle leases - finance</w:t>
            </w:r>
          </w:p>
        </w:tc>
        <w:tc>
          <w:tcPr>
            <w:tcW w:w="522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Accrued expenses and other current liabilities</w:t>
            </w:r>
          </w:p>
        </w:tc>
        <w:tc>
          <w:tcPr>
            <w:tcW w:w="28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862</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827</w:t>
            </w:r>
          </w:p>
        </w:tc>
      </w:tr>
      <w:tr>
        <w:trPr>
          <w:trHeight w:val="170"/>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Site leases - finance</w:t>
            </w:r>
          </w:p>
        </w:tc>
        <w:tc>
          <w:tcPr>
            <w:tcW w:w="52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Accrued expenses and other current liabilities</w:t>
            </w:r>
          </w:p>
        </w:tc>
        <w:tc>
          <w:tcPr>
            <w:tcW w:w="280" w:type="dxa"/>
            <w:vAlign w:val="bottom"/>
            <w:tcBorders>
              <w:bottom w:val="single" w:sz="8" w:color="auto"/>
            </w:tcBorders>
            <w:shd w:val="clear" w:color="auto" w:fill="CCEEFF"/>
          </w:tcPr>
          <w:p>
            <w:pPr>
              <w:spacing w:after="0"/>
              <w:rPr>
                <w:sz w:val="14"/>
                <w:szCs w:val="14"/>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583</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571</w:t>
            </w:r>
          </w:p>
        </w:tc>
      </w:tr>
      <w:tr>
        <w:trPr>
          <w:trHeight w:val="160"/>
        </w:trPr>
        <w:tc>
          <w:tcPr>
            <w:tcW w:w="1960" w:type="dxa"/>
            <w:vAlign w:val="bottom"/>
            <w:tcBorders>
              <w:bottom w:val="single" w:sz="8" w:color="CCEEFF"/>
            </w:tcBorders>
          </w:tcPr>
          <w:p>
            <w:pPr>
              <w:spacing w:after="0"/>
              <w:rPr>
                <w:sz w:val="13"/>
                <w:szCs w:val="13"/>
                <w:color w:val="auto"/>
              </w:rPr>
            </w:pPr>
          </w:p>
        </w:tc>
        <w:tc>
          <w:tcPr>
            <w:tcW w:w="522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2,101</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2,036</w:t>
            </w:r>
          </w:p>
        </w:tc>
      </w:tr>
      <w:tr>
        <w:trPr>
          <w:trHeight w:val="180"/>
        </w:trPr>
        <w:tc>
          <w:tcPr>
            <w:tcW w:w="1960" w:type="dxa"/>
            <w:vAlign w:val="bottom"/>
            <w:shd w:val="clear" w:color="auto" w:fill="CCEEFF"/>
          </w:tcPr>
          <w:p>
            <w:pPr>
              <w:spacing w:after="0"/>
              <w:rPr>
                <w:sz w:val="15"/>
                <w:szCs w:val="15"/>
                <w:color w:val="auto"/>
              </w:rPr>
            </w:pPr>
          </w:p>
        </w:tc>
        <w:tc>
          <w:tcPr>
            <w:tcW w:w="5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r>
      <w:tr>
        <w:trPr>
          <w:trHeight w:val="170"/>
        </w:trPr>
        <w:tc>
          <w:tcPr>
            <w:tcW w:w="19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Sites leases - operating</w:t>
            </w:r>
          </w:p>
        </w:tc>
        <w:tc>
          <w:tcPr>
            <w:tcW w:w="522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Operating lease liabilities - non-current portion</w:t>
            </w:r>
          </w:p>
        </w:tc>
        <w:tc>
          <w:tcPr>
            <w:tcW w:w="28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11,178</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11,222</w:t>
            </w:r>
          </w:p>
        </w:tc>
      </w:tr>
      <w:tr>
        <w:trPr>
          <w:trHeight w:val="170"/>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Office lease - operating</w:t>
            </w:r>
          </w:p>
        </w:tc>
        <w:tc>
          <w:tcPr>
            <w:tcW w:w="52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Operating lease liabilities - non-current portion</w:t>
            </w:r>
          </w:p>
        </w:tc>
        <w:tc>
          <w:tcPr>
            <w:tcW w:w="28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468</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602</w:t>
            </w:r>
          </w:p>
        </w:tc>
      </w:tr>
      <w:tr>
        <w:trPr>
          <w:trHeight w:val="170"/>
        </w:trPr>
        <w:tc>
          <w:tcPr>
            <w:tcW w:w="19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Vehicle leases - finance</w:t>
            </w:r>
          </w:p>
        </w:tc>
        <w:tc>
          <w:tcPr>
            <w:tcW w:w="522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Other long-term liabilities</w:t>
            </w:r>
          </w:p>
        </w:tc>
        <w:tc>
          <w:tcPr>
            <w:tcW w:w="28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1,661</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1,801</w:t>
            </w:r>
          </w:p>
        </w:tc>
      </w:tr>
      <w:tr>
        <w:trPr>
          <w:trHeight w:val="170"/>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Site leases - finance</w:t>
            </w:r>
          </w:p>
        </w:tc>
        <w:tc>
          <w:tcPr>
            <w:tcW w:w="52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Other long-term liabilities</w:t>
            </w:r>
          </w:p>
        </w:tc>
        <w:tc>
          <w:tcPr>
            <w:tcW w:w="2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5,679</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3"/>
                <w:szCs w:val="13"/>
                <w:color w:val="auto"/>
                <w:w w:val="91"/>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5,587</w:t>
            </w:r>
          </w:p>
        </w:tc>
      </w:tr>
      <w:tr>
        <w:trPr>
          <w:trHeight w:val="160"/>
        </w:trPr>
        <w:tc>
          <w:tcPr>
            <w:tcW w:w="1960" w:type="dxa"/>
            <w:vAlign w:val="bottom"/>
            <w:tcBorders>
              <w:bottom w:val="single" w:sz="8" w:color="CCEEFF"/>
            </w:tcBorders>
          </w:tcPr>
          <w:p>
            <w:pPr>
              <w:spacing w:after="0"/>
              <w:rPr>
                <w:sz w:val="13"/>
                <w:szCs w:val="13"/>
                <w:color w:val="auto"/>
              </w:rPr>
            </w:pPr>
          </w:p>
        </w:tc>
        <w:tc>
          <w:tcPr>
            <w:tcW w:w="522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18,986</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19,212</w:t>
            </w:r>
          </w:p>
        </w:tc>
      </w:tr>
      <w:tr>
        <w:trPr>
          <w:trHeight w:val="180"/>
        </w:trPr>
        <w:tc>
          <w:tcPr>
            <w:tcW w:w="1960" w:type="dxa"/>
            <w:vAlign w:val="bottom"/>
            <w:shd w:val="clear" w:color="auto" w:fill="CCEEFF"/>
          </w:tcPr>
          <w:p>
            <w:pPr>
              <w:spacing w:after="0"/>
              <w:rPr>
                <w:sz w:val="15"/>
                <w:szCs w:val="15"/>
                <w:color w:val="auto"/>
              </w:rPr>
            </w:pPr>
          </w:p>
        </w:tc>
        <w:tc>
          <w:tcPr>
            <w:tcW w:w="522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62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760" w:type="dxa"/>
            <w:vAlign w:val="bottom"/>
            <w:tcBorders>
              <w:bottom w:val="single" w:sz="8" w:color="auto"/>
            </w:tcBorders>
            <w:shd w:val="clear" w:color="auto" w:fill="CCEEFF"/>
          </w:tcPr>
          <w:p>
            <w:pPr>
              <w:spacing w:after="0"/>
              <w:rPr>
                <w:sz w:val="15"/>
                <w:szCs w:val="15"/>
                <w:color w:val="auto"/>
              </w:rPr>
            </w:pPr>
          </w:p>
        </w:tc>
      </w:tr>
      <w:tr>
        <w:trPr>
          <w:trHeight w:val="160"/>
        </w:trPr>
        <w:tc>
          <w:tcPr>
            <w:tcW w:w="19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lease liabilities</w:t>
            </w:r>
          </w:p>
        </w:tc>
        <w:tc>
          <w:tcPr>
            <w:tcW w:w="5220" w:type="dxa"/>
            <w:vAlign w:val="bottom"/>
          </w:tcPr>
          <w:p>
            <w:pPr>
              <w:spacing w:after="0"/>
              <w:rPr>
                <w:sz w:val="13"/>
                <w:szCs w:val="13"/>
                <w:color w:val="auto"/>
              </w:rPr>
            </w:pPr>
          </w:p>
        </w:tc>
        <w:tc>
          <w:tcPr>
            <w:tcW w:w="2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21,087</w:t>
            </w:r>
          </w:p>
        </w:tc>
        <w:tc>
          <w:tcPr>
            <w:tcW w:w="80" w:type="dxa"/>
            <w:vAlign w:val="bottom"/>
          </w:tcPr>
          <w:p>
            <w:pPr>
              <w:spacing w:after="0"/>
              <w:rPr>
                <w:sz w:val="13"/>
                <w:szCs w:val="13"/>
                <w:color w:val="auto"/>
              </w:rPr>
            </w:pPr>
          </w:p>
        </w:tc>
        <w:tc>
          <w:tcPr>
            <w:tcW w:w="2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21,248</w:t>
            </w:r>
          </w:p>
        </w:tc>
      </w:tr>
      <w:tr>
        <w:trPr>
          <w:trHeight w:val="20"/>
        </w:trPr>
        <w:tc>
          <w:tcPr>
            <w:tcW w:w="196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37" w:lineRule="exact"/>
        <w:rPr>
          <w:sz w:val="20"/>
          <w:szCs w:val="20"/>
          <w:color w:val="auto"/>
        </w:rPr>
      </w:pPr>
    </w:p>
    <w:p>
      <w:pPr>
        <w:ind w:right="140"/>
        <w:spacing w:after="0" w:line="224" w:lineRule="auto"/>
        <w:tabs>
          <w:tab w:leader="none" w:pos="134" w:val="left"/>
        </w:tabs>
        <w:numPr>
          <w:ilvl w:val="0"/>
          <w:numId w:val="13"/>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The Operating and Finance lease right-of-use asset and Operating and Finance lease liabilities represent the present value of lease payments for the remaining term of the lease. The discount rate used ranged from 3.59% to 8.44%.</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table below presents components of the Company's lease expense for the three months ended March 31, 2024 and 2023:</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161290</wp:posOffset>
            </wp:positionV>
            <wp:extent cx="7193280"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368" w:right="31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80"/>
        </w:trPr>
        <w:tc>
          <w:tcPr>
            <w:tcW w:w="3320" w:type="dxa"/>
            <w:vAlign w:val="bottom"/>
            <w:tcBorders>
              <w:top w:val="single" w:sz="8" w:color="auto"/>
              <w:bottom w:val="single" w:sz="8" w:color="auto"/>
            </w:tcBorders>
            <w:shd w:val="clear" w:color="auto" w:fill="CCEEFF"/>
          </w:tcPr>
          <w:p>
            <w:pPr>
              <w:ind w:left="158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4040" w:type="dxa"/>
            <w:vAlign w:val="bottom"/>
            <w:tcBorders>
              <w:top w:val="single" w:sz="8" w:color="auto"/>
              <w:bottom w:val="single" w:sz="8" w:color="auto"/>
            </w:tcBorders>
            <w:shd w:val="clear" w:color="auto" w:fill="CCEEFF"/>
          </w:tcPr>
          <w:p>
            <w:pPr>
              <w:ind w:left="1240"/>
              <w:spacing w:after="0"/>
              <w:rPr>
                <w:sz w:val="20"/>
                <w:szCs w:val="20"/>
                <w:color w:val="auto"/>
              </w:rPr>
            </w:pPr>
            <w:r>
              <w:rPr>
                <w:rFonts w:ascii="Times New Roman" w:cs="Times New Roman" w:eastAsia="Times New Roman" w:hAnsi="Times New Roman"/>
                <w:sz w:val="13"/>
                <w:szCs w:val="13"/>
                <w:b w:val="1"/>
                <w:bCs w:val="1"/>
                <w:color w:val="auto"/>
              </w:rPr>
              <w:t>Location in Statement of Operations</w:t>
            </w:r>
          </w:p>
        </w:tc>
        <w:tc>
          <w:tcPr>
            <w:tcW w:w="420" w:type="dxa"/>
            <w:vAlign w:val="bottom"/>
            <w:tcBorders>
              <w:top w:val="single" w:sz="8" w:color="auto"/>
              <w:bottom w:val="single" w:sz="8" w:color="auto"/>
            </w:tcBorders>
            <w:shd w:val="clear" w:color="auto" w:fill="CCEEFF"/>
          </w:tcPr>
          <w:p>
            <w:pPr>
              <w:spacing w:after="0"/>
              <w:rPr>
                <w:sz w:val="15"/>
                <w:szCs w:val="15"/>
                <w:color w:val="auto"/>
              </w:rPr>
            </w:pPr>
          </w:p>
        </w:tc>
        <w:tc>
          <w:tcPr>
            <w:tcW w:w="3200" w:type="dxa"/>
            <w:vAlign w:val="bottom"/>
            <w:tcBorders>
              <w:top w:val="single" w:sz="8" w:color="auto"/>
              <w:bottom w:val="single" w:sz="8" w:color="auto"/>
            </w:tcBorders>
            <w:gridSpan w:val="4"/>
            <w:shd w:val="clear" w:color="auto" w:fill="CCEEFF"/>
          </w:tcPr>
          <w:p>
            <w:pPr>
              <w:jc w:val="right"/>
              <w:ind w:right="833"/>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r>
      <w:tr>
        <w:trPr>
          <w:trHeight w:val="160"/>
        </w:trPr>
        <w:tc>
          <w:tcPr>
            <w:tcW w:w="3320" w:type="dxa"/>
            <w:vAlign w:val="bottom"/>
            <w:tcBorders>
              <w:bottom w:val="single" w:sz="8" w:color="CCEEFF"/>
            </w:tcBorders>
          </w:tcPr>
          <w:p>
            <w:pPr>
              <w:spacing w:after="0"/>
              <w:rPr>
                <w:sz w:val="13"/>
                <w:szCs w:val="13"/>
                <w:color w:val="auto"/>
              </w:rPr>
            </w:pPr>
          </w:p>
        </w:tc>
        <w:tc>
          <w:tcPr>
            <w:tcW w:w="404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693"/>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60"/>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lease expense for site leases</w:t>
            </w:r>
          </w:p>
        </w:tc>
        <w:tc>
          <w:tcPr>
            <w:tcW w:w="40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Cost of sales - RNG Fuel</w:t>
            </w:r>
          </w:p>
        </w:tc>
        <w:tc>
          <w:tcPr>
            <w:tcW w:w="42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283</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263</w:t>
            </w:r>
          </w:p>
        </w:tc>
      </w:tr>
      <w:tr>
        <w:trPr>
          <w:trHeight w:val="170"/>
        </w:trPr>
        <w:tc>
          <w:tcPr>
            <w:tcW w:w="3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Operating lease expense for office lease</w:t>
            </w:r>
          </w:p>
        </w:tc>
        <w:tc>
          <w:tcPr>
            <w:tcW w:w="404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Selling, general, administrative expenses</w:t>
            </w:r>
          </w:p>
        </w:tc>
        <w:tc>
          <w:tcPr>
            <w:tcW w:w="4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w:t>
            </w:r>
          </w:p>
        </w:tc>
      </w:tr>
      <w:tr>
        <w:trPr>
          <w:trHeight w:val="170"/>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Amortization of right-of-use assets - finance leases</w:t>
            </w:r>
          </w:p>
        </w:tc>
        <w:tc>
          <w:tcPr>
            <w:tcW w:w="40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Depreciation, amortization and accretion expense</w:t>
            </w:r>
          </w:p>
        </w:tc>
        <w:tc>
          <w:tcPr>
            <w:tcW w:w="4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234</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w:t>
            </w:r>
          </w:p>
        </w:tc>
      </w:tr>
      <w:tr>
        <w:trPr>
          <w:trHeight w:val="170"/>
        </w:trPr>
        <w:tc>
          <w:tcPr>
            <w:tcW w:w="3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Interest expense on lease liabilities - finance leases</w:t>
            </w:r>
          </w:p>
        </w:tc>
        <w:tc>
          <w:tcPr>
            <w:tcW w:w="4040" w:type="dxa"/>
            <w:vAlign w:val="bottom"/>
            <w:tcBorders>
              <w:bottom w:val="single" w:sz="8" w:color="CCEEFF"/>
            </w:tcBorders>
          </w:tcPr>
          <w:p>
            <w:pPr>
              <w:ind w:left="600"/>
              <w:spacing w:after="0"/>
              <w:rPr>
                <w:sz w:val="20"/>
                <w:szCs w:val="20"/>
                <w:color w:val="auto"/>
              </w:rPr>
            </w:pPr>
            <w:r>
              <w:rPr>
                <w:rFonts w:ascii="Times New Roman" w:cs="Times New Roman" w:eastAsia="Times New Roman" w:hAnsi="Times New Roman"/>
                <w:sz w:val="13"/>
                <w:szCs w:val="13"/>
                <w:color w:val="auto"/>
              </w:rPr>
              <w:t>Interest and financing expense, net</w:t>
            </w:r>
          </w:p>
        </w:tc>
        <w:tc>
          <w:tcPr>
            <w:tcW w:w="4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147</w:t>
            </w:r>
          </w:p>
        </w:tc>
        <w:tc>
          <w:tcPr>
            <w:tcW w:w="8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w:t>
            </w:r>
          </w:p>
        </w:tc>
      </w:tr>
      <w:tr>
        <w:trPr>
          <w:trHeight w:val="185"/>
        </w:trPr>
        <w:tc>
          <w:tcPr>
            <w:tcW w:w="3320" w:type="dxa"/>
            <w:vAlign w:val="bottom"/>
            <w:tcBorders>
              <w:bottom w:val="single" w:sz="8" w:color="CCEEFF"/>
            </w:tcBorders>
            <w:shd w:val="clear" w:color="auto" w:fill="CCEEFF"/>
          </w:tcPr>
          <w:p>
            <w:pPr>
              <w:spacing w:after="0"/>
              <w:rPr>
                <w:sz w:val="15"/>
                <w:szCs w:val="15"/>
                <w:color w:val="auto"/>
              </w:rPr>
            </w:pPr>
          </w:p>
        </w:tc>
        <w:tc>
          <w:tcPr>
            <w:tcW w:w="404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ind w:right="273"/>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785</w:t>
            </w:r>
          </w:p>
        </w:tc>
        <w:tc>
          <w:tcPr>
            <w:tcW w:w="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ind w:right="273"/>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540</w:t>
            </w: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40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Company does not have material short term lease expense for the three months ended March 31, 2024 and 2023.</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Company did not enter into any operating leases greater than 12 months for the three months ended March 31, 2024.</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Weighted average remaining lease term (years)</w:t>
            </w:r>
          </w:p>
        </w:tc>
        <w:tc>
          <w:tcPr>
            <w:tcW w:w="2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March 31, 2024</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3"/>
                <w:szCs w:val="13"/>
                <w:color w:val="auto"/>
              </w:rPr>
              <w:t>Operating leases</w:t>
            </w:r>
          </w:p>
        </w:tc>
        <w:tc>
          <w:tcPr>
            <w:tcW w:w="2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Financing leases</w:t>
            </w:r>
          </w:p>
        </w:tc>
        <w:tc>
          <w:tcPr>
            <w:tcW w:w="2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Weighted average discount rate</w:t>
            </w:r>
          </w:p>
        </w:tc>
        <w:tc>
          <w:tcPr>
            <w:tcW w:w="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Operating leases</w:t>
            </w:r>
          </w:p>
        </w:tc>
        <w:tc>
          <w:tcPr>
            <w:tcW w:w="2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7.85 %</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3"/>
                <w:szCs w:val="13"/>
                <w:color w:val="auto"/>
              </w:rPr>
              <w:t>Financing leases</w:t>
            </w: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6.60 %</w:t>
            </w:r>
          </w:p>
        </w:tc>
        <w:tc>
          <w:tcPr>
            <w:tcW w:w="0" w:type="dxa"/>
            <w:vAlign w:val="bottom"/>
          </w:tcPr>
          <w:p>
            <w:pPr>
              <w:spacing w:after="0"/>
              <w:rPr>
                <w:sz w:val="1"/>
                <w:szCs w:val="1"/>
                <w:color w:val="auto"/>
              </w:rPr>
            </w:pPr>
          </w:p>
        </w:tc>
      </w:tr>
      <w:tr>
        <w:trPr>
          <w:trHeight w:val="367"/>
        </w:trPr>
        <w:tc>
          <w:tcPr>
            <w:tcW w:w="8120" w:type="dxa"/>
            <w:vAlign w:val="bottom"/>
            <w:gridSpan w:val="11"/>
          </w:tcPr>
          <w:p>
            <w:pPr>
              <w:spacing w:after="0"/>
              <w:rPr>
                <w:sz w:val="20"/>
                <w:szCs w:val="20"/>
                <w:color w:val="auto"/>
              </w:rPr>
            </w:pPr>
            <w:r>
              <w:rPr>
                <w:rFonts w:ascii="Times New Roman" w:cs="Times New Roman" w:eastAsia="Times New Roman" w:hAnsi="Times New Roman"/>
                <w:sz w:val="13"/>
                <w:szCs w:val="13"/>
                <w:color w:val="auto"/>
              </w:rPr>
              <w:t>The table below provides the total amount of lease payments on an undiscounted basis on our lease contracts as of March 31, 2024:</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240" w:type="dxa"/>
            <w:vAlign w:val="bottom"/>
            <w:tcBorders>
              <w:bottom w:val="single" w:sz="8" w:color="auto"/>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340" w:type="dxa"/>
            <w:vAlign w:val="bottom"/>
            <w:tcBorders>
              <w:bottom w:val="single" w:sz="8" w:color="auto"/>
            </w:tcBorders>
            <w:gridSpan w:val="2"/>
            <w:shd w:val="clear" w:color="auto" w:fill="CCEEFF"/>
          </w:tcPr>
          <w:p>
            <w:pPr>
              <w:ind w:left="200"/>
              <w:spacing w:after="0"/>
              <w:rPr>
                <w:sz w:val="20"/>
                <w:szCs w:val="20"/>
                <w:color w:val="auto"/>
              </w:rPr>
            </w:pPr>
            <w:r>
              <w:rPr>
                <w:rFonts w:ascii="Times New Roman" w:cs="Times New Roman" w:eastAsia="Times New Roman" w:hAnsi="Times New Roman"/>
                <w:sz w:val="13"/>
                <w:szCs w:val="13"/>
                <w:b w:val="1"/>
                <w:bCs w:val="1"/>
                <w:color w:val="auto"/>
              </w:rPr>
              <w:t>Site leases</w:t>
            </w:r>
          </w:p>
        </w:tc>
        <w:tc>
          <w:tcPr>
            <w:tcW w:w="240" w:type="dxa"/>
            <w:vAlign w:val="bottom"/>
            <w:tcBorders>
              <w:bottom w:val="single" w:sz="8" w:color="auto"/>
            </w:tcBorders>
            <w:shd w:val="clear" w:color="auto" w:fill="CCEEFF"/>
          </w:tcPr>
          <w:p>
            <w:pPr>
              <w:spacing w:after="0"/>
              <w:rPr>
                <w:sz w:val="13"/>
                <w:szCs w:val="13"/>
                <w:color w:val="auto"/>
              </w:rPr>
            </w:pPr>
          </w:p>
        </w:tc>
        <w:tc>
          <w:tcPr>
            <w:tcW w:w="1380" w:type="dxa"/>
            <w:vAlign w:val="bottom"/>
            <w:tcBorders>
              <w:bottom w:val="single" w:sz="8" w:color="auto"/>
            </w:tcBorders>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Office leases</w:t>
            </w:r>
          </w:p>
        </w:tc>
        <w:tc>
          <w:tcPr>
            <w:tcW w:w="220" w:type="dxa"/>
            <w:vAlign w:val="bottom"/>
            <w:tcBorders>
              <w:bottom w:val="single" w:sz="8" w:color="auto"/>
            </w:tcBorders>
            <w:shd w:val="clear" w:color="auto" w:fill="CCEEFF"/>
          </w:tcPr>
          <w:p>
            <w:pPr>
              <w:spacing w:after="0"/>
              <w:rPr>
                <w:sz w:val="13"/>
                <w:szCs w:val="13"/>
                <w:color w:val="auto"/>
              </w:rPr>
            </w:pPr>
          </w:p>
        </w:tc>
        <w:tc>
          <w:tcPr>
            <w:tcW w:w="1400" w:type="dxa"/>
            <w:vAlign w:val="bottom"/>
            <w:tcBorders>
              <w:bottom w:val="single" w:sz="8" w:color="auto"/>
            </w:tcBorders>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Vehicle leases</w:t>
            </w:r>
          </w:p>
        </w:tc>
        <w:tc>
          <w:tcPr>
            <w:tcW w:w="140" w:type="dxa"/>
            <w:vAlign w:val="bottom"/>
            <w:tcBorders>
              <w:bottom w:val="single" w:sz="8" w:color="auto"/>
            </w:tcBorders>
            <w:shd w:val="clear" w:color="auto" w:fill="CCEEFF"/>
          </w:tcPr>
          <w:p>
            <w:pPr>
              <w:spacing w:after="0"/>
              <w:rPr>
                <w:sz w:val="13"/>
                <w:szCs w:val="13"/>
                <w:color w:val="auto"/>
              </w:rPr>
            </w:pPr>
          </w:p>
        </w:tc>
        <w:tc>
          <w:tcPr>
            <w:tcW w:w="1460" w:type="dxa"/>
            <w:vAlign w:val="bottom"/>
            <w:tcBorders>
              <w:bottom w:val="single" w:sz="8" w:color="auto"/>
            </w:tcBorders>
            <w:gridSpan w:val="3"/>
            <w:shd w:val="clear" w:color="auto" w:fill="CCEEFF"/>
          </w:tcPr>
          <w:p>
            <w:pPr>
              <w:ind w:left="80"/>
              <w:spacing w:after="0"/>
              <w:rPr>
                <w:sz w:val="20"/>
                <w:szCs w:val="20"/>
                <w:color w:val="auto"/>
              </w:rPr>
            </w:pPr>
            <w:r>
              <w:rPr>
                <w:rFonts w:ascii="Times New Roman" w:cs="Times New Roman" w:eastAsia="Times New Roman" w:hAnsi="Times New Roman"/>
                <w:sz w:val="13"/>
                <w:szCs w:val="13"/>
                <w:b w:val="1"/>
                <w:bCs w:val="1"/>
                <w:color w:val="auto"/>
              </w:rPr>
              <w:t>Site lease - Finance</w:t>
            </w:r>
          </w:p>
        </w:tc>
        <w:tc>
          <w:tcPr>
            <w:tcW w:w="36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ind w:right="573"/>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Weighted average discount rate</w:t>
            </w:r>
          </w:p>
        </w:tc>
        <w:tc>
          <w:tcPr>
            <w:tcW w:w="2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7.6 %</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3.6 %</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6.3 %</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6.5 %</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3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2024</w:t>
            </w:r>
          </w:p>
        </w:tc>
        <w:tc>
          <w:tcPr>
            <w:tcW w:w="2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797</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406</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804</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963</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2,970</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3"/>
                <w:szCs w:val="13"/>
                <w:color w:val="auto"/>
              </w:rPr>
              <w:t>2025</w:t>
            </w:r>
          </w:p>
        </w:tc>
        <w:tc>
          <w:tcPr>
            <w:tcW w:w="280" w:type="dxa"/>
            <w:vAlign w:val="bottom"/>
          </w:tcPr>
          <w:p>
            <w:pPr>
              <w:spacing w:after="0"/>
              <w:rPr>
                <w:sz w:val="14"/>
                <w:szCs w:val="14"/>
                <w:color w:val="auto"/>
              </w:rPr>
            </w:pPr>
          </w:p>
        </w:tc>
        <w:tc>
          <w:tcPr>
            <w:tcW w:w="126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1,129</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562</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966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963</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3,620</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2026</w:t>
            </w:r>
          </w:p>
        </w:tc>
        <w:tc>
          <w:tcPr>
            <w:tcW w:w="28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1,129</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47</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810</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963</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2,949</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3"/>
                <w:szCs w:val="13"/>
                <w:color w:val="auto"/>
              </w:rPr>
              <w:t>2027</w:t>
            </w:r>
          </w:p>
        </w:tc>
        <w:tc>
          <w:tcPr>
            <w:tcW w:w="280" w:type="dxa"/>
            <w:vAlign w:val="bottom"/>
          </w:tcPr>
          <w:p>
            <w:pPr>
              <w:spacing w:after="0"/>
              <w:rPr>
                <w:sz w:val="14"/>
                <w:szCs w:val="14"/>
                <w:color w:val="auto"/>
              </w:rPr>
            </w:pPr>
          </w:p>
        </w:tc>
        <w:tc>
          <w:tcPr>
            <w:tcW w:w="126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1,129</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32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429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963</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2,521</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2028 and beyond</w:t>
            </w:r>
          </w:p>
        </w:tc>
        <w:tc>
          <w:tcPr>
            <w:tcW w:w="28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20,310</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4,250</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24,565</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240" w:type="dxa"/>
            <w:vAlign w:val="bottom"/>
            <w:tcBorders>
              <w:bottom w:val="single" w:sz="8" w:color="CCEE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26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color w:val="auto"/>
              </w:rPr>
              <w:t>24,494</w:t>
            </w:r>
          </w:p>
        </w:tc>
        <w:tc>
          <w:tcPr>
            <w:tcW w:w="80" w:type="dxa"/>
            <w:vAlign w:val="bottom"/>
            <w:tcBorders>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30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color w:val="auto"/>
              </w:rPr>
              <w:t>1,015</w:t>
            </w:r>
          </w:p>
        </w:tc>
        <w:tc>
          <w:tcPr>
            <w:tcW w:w="80" w:type="dxa"/>
            <w:vAlign w:val="bottom"/>
            <w:tcBorders>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color w:val="auto"/>
              </w:rPr>
              <w:t>3,014</w:t>
            </w:r>
          </w:p>
        </w:tc>
        <w:tc>
          <w:tcPr>
            <w:tcW w:w="8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380" w:type="dxa"/>
            <w:vAlign w:val="bottom"/>
            <w:tcBorders>
              <w:top w:val="single" w:sz="8" w:color="auto"/>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8,102</w:t>
            </w:r>
          </w:p>
        </w:tc>
        <w:tc>
          <w:tcPr>
            <w:tcW w:w="80" w:type="dxa"/>
            <w:vAlign w:val="bottom"/>
            <w:tcBorders>
              <w:bottom w:val="single" w:sz="8" w:color="CCEE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36,625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3"/>
                <w:szCs w:val="13"/>
                <w:color w:val="auto"/>
              </w:rPr>
              <w:t>Present value of lease liability</w:t>
            </w:r>
          </w:p>
        </w:tc>
        <w:tc>
          <w:tcPr>
            <w:tcW w:w="280" w:type="dxa"/>
            <w:vAlign w:val="bottom"/>
          </w:tcPr>
          <w:p>
            <w:pPr>
              <w:spacing w:after="0"/>
              <w:rPr>
                <w:sz w:val="14"/>
                <w:szCs w:val="14"/>
                <w:color w:val="auto"/>
              </w:rPr>
            </w:pPr>
          </w:p>
        </w:tc>
        <w:tc>
          <w:tcPr>
            <w:tcW w:w="126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11,316</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986</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2,523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6,262</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21,087</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3"/>
                <w:szCs w:val="13"/>
                <w:color w:val="auto"/>
              </w:rPr>
              <w:t>Lease liabilities - current portion</w:t>
            </w:r>
          </w:p>
        </w:tc>
        <w:tc>
          <w:tcPr>
            <w:tcW w:w="280" w:type="dxa"/>
            <w:vAlign w:val="bottom"/>
          </w:tcPr>
          <w:p>
            <w:pPr>
              <w:spacing w:after="0"/>
              <w:rPr>
                <w:sz w:val="14"/>
                <w:szCs w:val="14"/>
                <w:color w:val="auto"/>
              </w:rPr>
            </w:pPr>
          </w:p>
        </w:tc>
        <w:tc>
          <w:tcPr>
            <w:tcW w:w="126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138</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518</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862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583</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2,101</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Lease liabilities - non-current portion</w:t>
            </w:r>
          </w:p>
        </w:tc>
        <w:tc>
          <w:tcPr>
            <w:tcW w:w="28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11,178</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468</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1,661</w:t>
            </w: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5,679</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18,986</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Total lease liabilities</w:t>
            </w:r>
          </w:p>
        </w:tc>
        <w:tc>
          <w:tcPr>
            <w:tcW w:w="2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color w:val="auto"/>
              </w:rPr>
              <w:t>11,316</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color w:val="auto"/>
              </w:rPr>
              <w:t>986</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color w:val="auto"/>
              </w:rPr>
              <w:t>2,523</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6,262</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21,087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3"/>
                <w:szCs w:val="13"/>
                <w:color w:val="auto"/>
              </w:rPr>
              <w:t>Discount based on incremental borrowing rate</w:t>
            </w:r>
          </w:p>
        </w:tc>
        <w:tc>
          <w:tcPr>
            <w:tcW w:w="280" w:type="dxa"/>
            <w:vAlign w:val="bottom"/>
          </w:tcPr>
          <w:p>
            <w:pPr>
              <w:jc w:val="right"/>
              <w:ind w:right="133"/>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13,178</w:t>
            </w:r>
          </w:p>
        </w:tc>
        <w:tc>
          <w:tcPr>
            <w:tcW w:w="80" w:type="dxa"/>
            <w:vAlign w:val="bottom"/>
          </w:tcPr>
          <w:p>
            <w:pPr>
              <w:spacing w:after="0"/>
              <w:rPr>
                <w:sz w:val="15"/>
                <w:szCs w:val="15"/>
                <w:color w:val="auto"/>
              </w:rPr>
            </w:pPr>
          </w:p>
        </w:tc>
        <w:tc>
          <w:tcPr>
            <w:tcW w:w="24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29</w:t>
            </w:r>
          </w:p>
        </w:tc>
        <w:tc>
          <w:tcPr>
            <w:tcW w:w="80" w:type="dxa"/>
            <w:vAlign w:val="bottom"/>
          </w:tcPr>
          <w:p>
            <w:pPr>
              <w:spacing w:after="0"/>
              <w:rPr>
                <w:sz w:val="15"/>
                <w:szCs w:val="15"/>
                <w:color w:val="auto"/>
              </w:rPr>
            </w:pPr>
          </w:p>
        </w:tc>
        <w:tc>
          <w:tcPr>
            <w:tcW w:w="22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491</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1,840</w:t>
            </w:r>
          </w:p>
        </w:tc>
        <w:tc>
          <w:tcPr>
            <w:tcW w:w="80" w:type="dxa"/>
            <w:vAlign w:val="bottom"/>
          </w:tcPr>
          <w:p>
            <w:pPr>
              <w:spacing w:after="0"/>
              <w:rPr>
                <w:sz w:val="15"/>
                <w:szCs w:val="15"/>
                <w:color w:val="auto"/>
              </w:rPr>
            </w:pPr>
          </w:p>
        </w:tc>
        <w:tc>
          <w:tcPr>
            <w:tcW w:w="360" w:type="dxa"/>
            <w:vAlign w:val="bottom"/>
          </w:tcPr>
          <w:p>
            <w:pPr>
              <w:jc w:val="right"/>
              <w:ind w:right="213"/>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15,538</w:t>
            </w:r>
          </w:p>
        </w:tc>
        <w:tc>
          <w:tcPr>
            <w:tcW w:w="0" w:type="dxa"/>
            <w:vAlign w:val="bottom"/>
          </w:tcPr>
          <w:p>
            <w:pPr>
              <w:spacing w:after="0"/>
              <w:rPr>
                <w:sz w:val="1"/>
                <w:szCs w:val="1"/>
                <w:color w:val="auto"/>
              </w:rPr>
            </w:pPr>
          </w:p>
        </w:tc>
      </w:tr>
      <w:tr>
        <w:trPr>
          <w:trHeight w:val="488"/>
        </w:trPr>
        <w:tc>
          <w:tcPr>
            <w:tcW w:w="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jc w:val="right"/>
              <w:ind w:right="633"/>
              <w:spacing w:after="0"/>
              <w:rPr>
                <w:sz w:val="20"/>
                <w:szCs w:val="20"/>
                <w:color w:val="auto"/>
              </w:rPr>
            </w:pPr>
            <w:r>
              <w:rPr>
                <w:rFonts w:ascii="Times New Roman" w:cs="Times New Roman" w:eastAsia="Times New Roman" w:hAnsi="Times New Roman"/>
                <w:sz w:val="13"/>
                <w:szCs w:val="13"/>
                <w:color w:val="auto"/>
              </w:rPr>
              <w:t>26</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240" w:type="dxa"/>
            <w:vAlign w:val="bottom"/>
            <w:tcBorders>
              <w:bottom w:val="single" w:sz="8" w:color="9A9A9A"/>
            </w:tcBorders>
          </w:tcPr>
          <w:p>
            <w:pPr>
              <w:spacing w:after="0"/>
              <w:rPr>
                <w:sz w:val="22"/>
                <w:szCs w:val="22"/>
                <w:color w:val="auto"/>
              </w:rPr>
            </w:pPr>
          </w:p>
        </w:tc>
        <w:tc>
          <w:tcPr>
            <w:tcW w:w="280" w:type="dxa"/>
            <w:vAlign w:val="bottom"/>
            <w:tcBorders>
              <w:bottom w:val="single" w:sz="8" w:color="9A9A9A"/>
            </w:tcBorders>
          </w:tcPr>
          <w:p>
            <w:pPr>
              <w:spacing w:after="0"/>
              <w:rPr>
                <w:sz w:val="22"/>
                <w:szCs w:val="22"/>
                <w:color w:val="auto"/>
              </w:rPr>
            </w:pPr>
          </w:p>
        </w:tc>
        <w:tc>
          <w:tcPr>
            <w:tcW w:w="1260" w:type="dxa"/>
            <w:vAlign w:val="bottom"/>
            <w:tcBorders>
              <w:bottom w:val="single" w:sz="8" w:color="9A9A9A"/>
            </w:tcBorders>
          </w:tcPr>
          <w:p>
            <w:pPr>
              <w:spacing w:after="0"/>
              <w:rPr>
                <w:sz w:val="22"/>
                <w:szCs w:val="22"/>
                <w:color w:val="auto"/>
              </w:rPr>
            </w:pPr>
          </w:p>
        </w:tc>
        <w:tc>
          <w:tcPr>
            <w:tcW w:w="80" w:type="dxa"/>
            <w:vAlign w:val="bottom"/>
            <w:tcBorders>
              <w:bottom w:val="single" w:sz="8" w:color="9A9A9A"/>
            </w:tcBorders>
          </w:tcPr>
          <w:p>
            <w:pPr>
              <w:spacing w:after="0"/>
              <w:rPr>
                <w:sz w:val="22"/>
                <w:szCs w:val="22"/>
                <w:color w:val="auto"/>
              </w:rPr>
            </w:pPr>
          </w:p>
        </w:tc>
        <w:tc>
          <w:tcPr>
            <w:tcW w:w="240" w:type="dxa"/>
            <w:vAlign w:val="bottom"/>
            <w:tcBorders>
              <w:bottom w:val="single" w:sz="8" w:color="9A9A9A"/>
            </w:tcBorders>
          </w:tcPr>
          <w:p>
            <w:pPr>
              <w:spacing w:after="0"/>
              <w:rPr>
                <w:sz w:val="22"/>
                <w:szCs w:val="22"/>
                <w:color w:val="auto"/>
              </w:rPr>
            </w:pPr>
          </w:p>
        </w:tc>
        <w:tc>
          <w:tcPr>
            <w:tcW w:w="1300" w:type="dxa"/>
            <w:vAlign w:val="bottom"/>
            <w:tcBorders>
              <w:bottom w:val="single" w:sz="8" w:color="9A9A9A"/>
            </w:tcBorders>
          </w:tcPr>
          <w:p>
            <w:pPr>
              <w:spacing w:after="0"/>
              <w:rPr>
                <w:sz w:val="22"/>
                <w:szCs w:val="22"/>
                <w:color w:val="auto"/>
              </w:rPr>
            </w:pPr>
          </w:p>
        </w:tc>
        <w:tc>
          <w:tcPr>
            <w:tcW w:w="80" w:type="dxa"/>
            <w:vAlign w:val="bottom"/>
            <w:tcBorders>
              <w:bottom w:val="single" w:sz="8" w:color="9A9A9A"/>
            </w:tcBorders>
          </w:tcPr>
          <w:p>
            <w:pPr>
              <w:spacing w:after="0"/>
              <w:rPr>
                <w:sz w:val="22"/>
                <w:szCs w:val="22"/>
                <w:color w:val="auto"/>
              </w:rPr>
            </w:pPr>
          </w:p>
        </w:tc>
        <w:tc>
          <w:tcPr>
            <w:tcW w:w="220" w:type="dxa"/>
            <w:vAlign w:val="bottom"/>
            <w:tcBorders>
              <w:bottom w:val="single" w:sz="8" w:color="9A9A9A"/>
            </w:tcBorders>
          </w:tcPr>
          <w:p>
            <w:pPr>
              <w:spacing w:after="0"/>
              <w:rPr>
                <w:sz w:val="22"/>
                <w:szCs w:val="22"/>
                <w:color w:val="auto"/>
              </w:rPr>
            </w:pPr>
          </w:p>
        </w:tc>
        <w:tc>
          <w:tcPr>
            <w:tcW w:w="1320" w:type="dxa"/>
            <w:vAlign w:val="bottom"/>
            <w:tcBorders>
              <w:bottom w:val="single" w:sz="8" w:color="9A9A9A"/>
            </w:tcBorders>
          </w:tcPr>
          <w:p>
            <w:pPr>
              <w:spacing w:after="0"/>
              <w:rPr>
                <w:sz w:val="22"/>
                <w:szCs w:val="22"/>
                <w:color w:val="auto"/>
              </w:rPr>
            </w:pPr>
          </w:p>
        </w:tc>
        <w:tc>
          <w:tcPr>
            <w:tcW w:w="80" w:type="dxa"/>
            <w:vAlign w:val="bottom"/>
            <w:tcBorders>
              <w:bottom w:val="single" w:sz="8" w:color="9A9A9A"/>
            </w:tcBorders>
          </w:tcPr>
          <w:p>
            <w:pPr>
              <w:spacing w:after="0"/>
              <w:rPr>
                <w:sz w:val="22"/>
                <w:szCs w:val="22"/>
                <w:color w:val="auto"/>
              </w:rPr>
            </w:pPr>
          </w:p>
        </w:tc>
        <w:tc>
          <w:tcPr>
            <w:tcW w:w="140" w:type="dxa"/>
            <w:vAlign w:val="bottom"/>
            <w:tcBorders>
              <w:bottom w:val="single" w:sz="8" w:color="9A9A9A"/>
            </w:tcBorders>
          </w:tcPr>
          <w:p>
            <w:pPr>
              <w:spacing w:after="0"/>
              <w:rPr>
                <w:sz w:val="22"/>
                <w:szCs w:val="22"/>
                <w:color w:val="auto"/>
              </w:rPr>
            </w:pPr>
          </w:p>
        </w:tc>
        <w:tc>
          <w:tcPr>
            <w:tcW w:w="680" w:type="dxa"/>
            <w:vAlign w:val="bottom"/>
            <w:tcBorders>
              <w:bottom w:val="single" w:sz="8" w:color="9A9A9A"/>
            </w:tcBorders>
          </w:tcPr>
          <w:p>
            <w:pPr>
              <w:spacing w:after="0"/>
              <w:rPr>
                <w:sz w:val="22"/>
                <w:szCs w:val="22"/>
                <w:color w:val="auto"/>
              </w:rPr>
            </w:pPr>
          </w:p>
        </w:tc>
        <w:tc>
          <w:tcPr>
            <w:tcW w:w="700" w:type="dxa"/>
            <w:vAlign w:val="bottom"/>
            <w:tcBorders>
              <w:bottom w:val="single" w:sz="8" w:color="9A9A9A"/>
            </w:tcBorders>
          </w:tcPr>
          <w:p>
            <w:pPr>
              <w:spacing w:after="0"/>
              <w:rPr>
                <w:sz w:val="22"/>
                <w:szCs w:val="22"/>
                <w:color w:val="auto"/>
              </w:rPr>
            </w:pPr>
          </w:p>
        </w:tc>
        <w:tc>
          <w:tcPr>
            <w:tcW w:w="80" w:type="dxa"/>
            <w:vAlign w:val="bottom"/>
            <w:tcBorders>
              <w:bottom w:val="single" w:sz="8" w:color="9A9A9A"/>
            </w:tcBorders>
          </w:tcPr>
          <w:p>
            <w:pPr>
              <w:spacing w:after="0"/>
              <w:rPr>
                <w:sz w:val="22"/>
                <w:szCs w:val="22"/>
                <w:color w:val="auto"/>
              </w:rPr>
            </w:pPr>
          </w:p>
        </w:tc>
        <w:tc>
          <w:tcPr>
            <w:tcW w:w="360" w:type="dxa"/>
            <w:vAlign w:val="bottom"/>
            <w:tcBorders>
              <w:bottom w:val="single" w:sz="8" w:color="9A9A9A"/>
            </w:tcBorders>
          </w:tcPr>
          <w:p>
            <w:pPr>
              <w:spacing w:after="0"/>
              <w:rPr>
                <w:sz w:val="22"/>
                <w:szCs w:val="22"/>
                <w:color w:val="auto"/>
              </w:rPr>
            </w:pPr>
          </w:p>
        </w:tc>
        <w:tc>
          <w:tcPr>
            <w:tcW w:w="1200" w:type="dxa"/>
            <w:vAlign w:val="bottom"/>
            <w:tcBorders>
              <w:bottom w:val="single" w:sz="8" w:color="9A9A9A"/>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7148830</wp:posOffset>
            </wp:positionH>
            <wp:positionV relativeFrom="paragraph">
              <wp:posOffset>-24765</wp:posOffset>
            </wp:positionV>
            <wp:extent cx="31750"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1750" cy="3810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-24765</wp:posOffset>
            </wp:positionV>
            <wp:extent cx="31750"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1750" cy="38100"/>
                    </a:xfrm>
                    <a:prstGeom prst="rect">
                      <a:avLst/>
                    </a:prstGeom>
                    <a:noFill/>
                  </pic:spPr>
                </pic:pic>
              </a:graphicData>
            </a:graphic>
          </wp:anchor>
        </w:drawing>
      </w:r>
    </w:p>
    <w:p>
      <w:pPr>
        <w:sectPr>
          <w:pgSz w:w="11900" w:h="16838" w:orient="portrait"/>
          <w:cols w:equalWidth="0" w:num="1">
            <w:col w:w="11280"/>
          </w:cols>
          <w:pgMar w:left="300" w:top="1380" w:right="319" w:bottom="1440" w:gutter="0" w:footer="0" w:header="0"/>
        </w:sectPr>
      </w:pPr>
    </w:p>
    <w:bookmarkStart w:id="30" w:name="page31"/>
    <w:bookmarkEnd w:id="30"/>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9. Derivative Financial Instruments and Fair Value Measurements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Interest rate swaps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effect of interest rate swaps on the condensed consolidated statement of operations were as follows:</w:t>
      </w:r>
    </w:p>
    <w:p>
      <w:pPr>
        <w:spacing w:after="0" w:line="329" w:lineRule="exact"/>
        <w:rPr>
          <w:sz w:val="20"/>
          <w:szCs w:val="20"/>
          <w:color w:val="auto"/>
        </w:rPr>
      </w:pPr>
    </w:p>
    <w:p>
      <w:pPr>
        <w:jc w:val="center"/>
        <w:ind w:right="1600"/>
        <w:spacing w:after="0"/>
        <w:rPr>
          <w:sz w:val="20"/>
          <w:szCs w:val="20"/>
          <w:color w:val="auto"/>
        </w:rPr>
      </w:pPr>
      <w:r>
        <w:rPr>
          <w:rFonts w:ascii="Times New Roman" w:cs="Times New Roman" w:eastAsia="Times New Roman" w:hAnsi="Times New Roman"/>
          <w:sz w:val="12"/>
          <w:szCs w:val="12"/>
          <w:b w:val="1"/>
          <w:bCs w:val="1"/>
          <w:color w:val="auto"/>
        </w:rPr>
        <w:t>Three Months Ended</w:t>
      </w:r>
    </w:p>
    <w:p>
      <w:pPr>
        <w:jc w:val="center"/>
        <w:ind w:right="1600"/>
        <w:spacing w:after="0"/>
        <w:rPr>
          <w:sz w:val="20"/>
          <w:szCs w:val="20"/>
          <w:color w:val="auto"/>
        </w:rPr>
      </w:pPr>
      <w:r>
        <w:rPr>
          <w:rFonts w:ascii="Times New Roman" w:cs="Times New Roman" w:eastAsia="Times New Roman" w:hAnsi="Times New Roman"/>
          <w:sz w:val="12"/>
          <w:szCs w:val="12"/>
          <w:b w:val="1"/>
          <w:bCs w:val="1"/>
          <w:color w:val="auto"/>
        </w:rPr>
        <w:t>March 31,</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300" w:type="dxa"/>
            <w:vAlign w:val="bottom"/>
            <w:tcBorders>
              <w:bottom w:val="single" w:sz="8" w:color="CCEEFF"/>
            </w:tcBorders>
          </w:tcPr>
          <w:p>
            <w:pPr>
              <w:spacing w:after="0"/>
              <w:rPr>
                <w:sz w:val="14"/>
                <w:szCs w:val="14"/>
                <w:color w:val="auto"/>
              </w:rPr>
            </w:pPr>
          </w:p>
        </w:tc>
        <w:tc>
          <w:tcPr>
            <w:tcW w:w="1100" w:type="dxa"/>
            <w:vAlign w:val="bottom"/>
            <w:tcBorders>
              <w:top w:val="single" w:sz="8" w:color="auto"/>
              <w:bottom w:val="single" w:sz="8" w:color="CCEEFF"/>
            </w:tcBorders>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2024</w:t>
            </w:r>
          </w:p>
        </w:tc>
        <w:tc>
          <w:tcPr>
            <w:tcW w:w="1560" w:type="dxa"/>
            <w:vAlign w:val="bottom"/>
            <w:tcBorders>
              <w:top w:val="single" w:sz="8" w:color="auto"/>
              <w:bottom w:val="single" w:sz="8" w:color="CCEEFF"/>
            </w:tcBorders>
            <w:gridSpan w:val="3"/>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2023</w:t>
            </w:r>
          </w:p>
        </w:tc>
        <w:tc>
          <w:tcPr>
            <w:tcW w:w="420" w:type="dxa"/>
            <w:vAlign w:val="bottom"/>
            <w:tcBorders>
              <w:top w:val="single" w:sz="8" w:color="auto"/>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Location of (Loss) Gain Recognized in Operations from Derivatives</w:t>
            </w:r>
          </w:p>
        </w:tc>
      </w:tr>
      <w:tr>
        <w:trPr>
          <w:trHeight w:val="162"/>
        </w:trPr>
        <w:tc>
          <w:tcPr>
            <w:tcW w:w="330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2"/>
                <w:szCs w:val="12"/>
                <w:color w:val="auto"/>
              </w:rPr>
              <w:t xml:space="preserve">Swaption </w:t>
            </w:r>
            <w:r>
              <w:rPr>
                <w:rFonts w:ascii="Times New Roman" w:cs="Times New Roman" w:eastAsia="Times New Roman" w:hAnsi="Times New Roman"/>
                <w:sz w:val="15"/>
                <w:szCs w:val="15"/>
                <w:color w:val="auto"/>
                <w:vertAlign w:val="superscript"/>
              </w:rPr>
              <w:t>(1)</w:t>
            </w:r>
          </w:p>
        </w:tc>
        <w:tc>
          <w:tcPr>
            <w:tcW w:w="110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(66)</w:t>
            </w:r>
          </w:p>
        </w:tc>
        <w:tc>
          <w:tcPr>
            <w:tcW w:w="100" w:type="dxa"/>
            <w:vAlign w:val="bottom"/>
            <w:shd w:val="clear" w:color="auto" w:fill="CCEEFF"/>
          </w:tcPr>
          <w:p>
            <w:pPr>
              <w:spacing w:after="0"/>
              <w:rPr>
                <w:sz w:val="14"/>
                <w:szCs w:val="14"/>
                <w:color w:val="auto"/>
              </w:rPr>
            </w:pPr>
          </w:p>
        </w:tc>
        <w:tc>
          <w:tcPr>
            <w:tcW w:w="3560" w:type="dxa"/>
            <w:vAlign w:val="bottom"/>
            <w:shd w:val="clear" w:color="auto" w:fill="CCEEFF"/>
          </w:tcPr>
          <w:p>
            <w:pPr>
              <w:spacing w:after="0"/>
              <w:rPr>
                <w:sz w:val="14"/>
                <w:szCs w:val="14"/>
                <w:color w:val="auto"/>
              </w:rPr>
            </w:pPr>
          </w:p>
        </w:tc>
      </w:tr>
      <w:tr>
        <w:trPr>
          <w:trHeight w:val="168"/>
        </w:trPr>
        <w:tc>
          <w:tcPr>
            <w:tcW w:w="4400" w:type="dxa"/>
            <w:vAlign w:val="bottom"/>
            <w:gridSpan w:val="2"/>
          </w:tcPr>
          <w:p>
            <w:pPr>
              <w:jc w:val="right"/>
              <w:ind w:right="960"/>
              <w:spacing w:after="0"/>
              <w:rPr>
                <w:sz w:val="20"/>
                <w:szCs w:val="20"/>
                <w:color w:val="auto"/>
              </w:rPr>
            </w:pPr>
            <w:r>
              <w:rPr>
                <w:rFonts w:ascii="Times New Roman" w:cs="Times New Roman" w:eastAsia="Times New Roman" w:hAnsi="Times New Roman"/>
                <w:sz w:val="12"/>
                <w:szCs w:val="12"/>
                <w:color w:val="auto"/>
              </w:rPr>
              <w:t>$</w:t>
            </w:r>
          </w:p>
        </w:tc>
        <w:tc>
          <w:tcPr>
            <w:tcW w:w="1560" w:type="dxa"/>
            <w:vAlign w:val="bottom"/>
            <w:gridSpan w:val="3"/>
          </w:tcPr>
          <w:p>
            <w:pPr>
              <w:jc w:val="right"/>
              <w:ind w:right="1000"/>
              <w:spacing w:after="0"/>
              <w:rPr>
                <w:sz w:val="20"/>
                <w:szCs w:val="20"/>
                <w:color w:val="auto"/>
              </w:rPr>
            </w:pPr>
            <w:r>
              <w:rPr>
                <w:rFonts w:ascii="Times New Roman" w:cs="Times New Roman" w:eastAsia="Times New Roman" w:hAnsi="Times New Roman"/>
                <w:sz w:val="12"/>
                <w:szCs w:val="12"/>
                <w:color w:val="auto"/>
              </w:rPr>
              <w:t>—   $</w:t>
            </w: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w:t>
            </w:r>
          </w:p>
        </w:tc>
        <w:tc>
          <w:tcPr>
            <w:tcW w:w="100" w:type="dxa"/>
            <w:vAlign w:val="bottom"/>
          </w:tcPr>
          <w:p>
            <w:pPr>
              <w:spacing w:after="0"/>
              <w:rPr>
                <w:sz w:val="14"/>
                <w:szCs w:val="14"/>
                <w:color w:val="auto"/>
              </w:rPr>
            </w:pPr>
          </w:p>
        </w:tc>
        <w:tc>
          <w:tcPr>
            <w:tcW w:w="35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Change in fair value of derivative instruments, net</w:t>
            </w:r>
          </w:p>
        </w:tc>
      </w:tr>
      <w:tr>
        <w:trPr>
          <w:trHeight w:val="20"/>
        </w:trPr>
        <w:tc>
          <w:tcPr>
            <w:tcW w:w="33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r>
    </w:tbl>
    <w:p>
      <w:pPr>
        <w:spacing w:after="0" w:line="165" w:lineRule="exact"/>
        <w:rPr>
          <w:sz w:val="20"/>
          <w:szCs w:val="20"/>
          <w:color w:val="auto"/>
        </w:rPr>
      </w:pPr>
    </w:p>
    <w:p>
      <w:pPr>
        <w:ind w:left="380" w:hanging="140"/>
        <w:spacing w:after="0"/>
        <w:tabs>
          <w:tab w:leader="none" w:pos="380" w:val="left"/>
        </w:tabs>
        <w:numPr>
          <w:ilvl w:val="0"/>
          <w:numId w:val="14"/>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The Swaption was terminated on May 30, 2023.</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Commodity swap contracts</w:t>
      </w:r>
    </w:p>
    <w:p>
      <w:pPr>
        <w:spacing w:after="0" w:line="115" w:lineRule="exact"/>
        <w:rPr>
          <w:sz w:val="20"/>
          <w:szCs w:val="20"/>
          <w:color w:val="auto"/>
        </w:rPr>
      </w:pPr>
    </w:p>
    <w:p>
      <w:pPr>
        <w:jc w:val="both"/>
        <w:ind w:firstLine="240"/>
        <w:spacing w:after="0" w:line="263" w:lineRule="auto"/>
        <w:rPr>
          <w:sz w:val="20"/>
          <w:szCs w:val="20"/>
          <w:color w:val="auto"/>
        </w:rPr>
      </w:pPr>
      <w:r>
        <w:rPr>
          <w:rFonts w:ascii="Times New Roman" w:cs="Times New Roman" w:eastAsia="Times New Roman" w:hAnsi="Times New Roman"/>
          <w:sz w:val="13"/>
          <w:szCs w:val="13"/>
          <w:color w:val="auto"/>
        </w:rPr>
        <w:t>The Company utilizes commodity swap contracts to hedge against the unfavorable price fluctuations in market prices of electricity. The Company does not apply hedge accounting to these contracts. As such, unrealized and realized gain (loss) is recognized as a component of Renewable Power revenues in the condensed consolidated statement of operations and Derivative financial asset — current and non-current in the condensed consolidated balance sheets. These are considered to be Level 2 instruments in the fair value hierarchy. By using commodity swaps, the Company exposes itself to credit risk and market risk. Credit risk is the failure of the counter party to perform under the terms of the swap contract. When the fair value of the swap contract is positive, the counter party owes the Company creating a credit risk. The Company manages the credit risk by entering into contracts with financially sound counter parties. To mitigate this risk, management monitors counterparty credit exposure on an annual basis, and the necessary credit adjustments have been reflected in the fair value of financial derivative instruments. When the fair value of the swap contract is negative, the Company owes the counterparty creating a market risk that the market price is higher than the contract price resulting in the Company not participating in the opportunity to earn higher revenues.</w:t>
      </w:r>
    </w:p>
    <w:p>
      <w:pPr>
        <w:spacing w:after="0" w:line="84" w:lineRule="exact"/>
        <w:rPr>
          <w:sz w:val="20"/>
          <w:szCs w:val="20"/>
          <w:color w:val="auto"/>
        </w:rPr>
      </w:pPr>
    </w:p>
    <w:p>
      <w:pPr>
        <w:jc w:val="both"/>
        <w:ind w:firstLine="240"/>
        <w:spacing w:after="0" w:line="269" w:lineRule="auto"/>
        <w:rPr>
          <w:sz w:val="20"/>
          <w:szCs w:val="20"/>
          <w:color w:val="auto"/>
        </w:rPr>
      </w:pPr>
      <w:r>
        <w:rPr>
          <w:rFonts w:ascii="Times New Roman" w:cs="Times New Roman" w:eastAsia="Times New Roman" w:hAnsi="Times New Roman"/>
          <w:sz w:val="13"/>
          <w:szCs w:val="13"/>
          <w:color w:val="auto"/>
        </w:rPr>
        <w:t xml:space="preserve">The Company entered into an ISDA agreement with Mendocino Capital LLC (“NextEra”), a related party in November 2019. Pursuant to the agreement, the Company entered into two additional commodity swaps in October 2022 for a period of two years with contract prices ranging between $65.50 and $68.50 per MWh. The swaps are expected to be settled by physical delivery on a monthly basis. The Company elected the normal purchase normal sale exclusion and will not apply fair value accounting under ASC 815, </w:t>
      </w:r>
      <w:r>
        <w:rPr>
          <w:rFonts w:ascii="Times New Roman" w:cs="Times New Roman" w:eastAsia="Times New Roman" w:hAnsi="Times New Roman"/>
          <w:sz w:val="13"/>
          <w:szCs w:val="13"/>
          <w:i w:val="1"/>
          <w:iCs w:val="1"/>
          <w:color w:val="auto"/>
        </w:rPr>
        <w:t>Derivatives and hedging</w:t>
      </w:r>
      <w:r>
        <w:rPr>
          <w:rFonts w:ascii="Times New Roman" w:cs="Times New Roman" w:eastAsia="Times New Roman" w:hAnsi="Times New Roman"/>
          <w:sz w:val="13"/>
          <w:szCs w:val="13"/>
          <w:color w:val="auto"/>
        </w:rPr>
        <w:t>. The Company will continue to assess its normal purchase and normal sale election on a quarterly basis.</w:t>
      </w:r>
    </w:p>
    <w:p>
      <w:pPr>
        <w:spacing w:after="0" w:line="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 Company entered into a new commodity swap with NextEra in November 2022 for a period of two years at a contract price of $81.50 per MWh.</w:t>
      </w:r>
    </w:p>
    <w:p>
      <w:pPr>
        <w:spacing w:after="0" w:line="111" w:lineRule="exact"/>
        <w:rPr>
          <w:sz w:val="20"/>
          <w:szCs w:val="20"/>
          <w:color w:val="auto"/>
        </w:rPr>
      </w:pPr>
    </w:p>
    <w:p>
      <w:pPr>
        <w:jc w:val="both"/>
        <w:ind w:firstLine="240"/>
        <w:spacing w:after="0" w:line="269" w:lineRule="auto"/>
        <w:rPr>
          <w:sz w:val="20"/>
          <w:szCs w:val="20"/>
          <w:color w:val="auto"/>
        </w:rPr>
      </w:pPr>
      <w:r>
        <w:rPr>
          <w:rFonts w:ascii="Times New Roman" w:cs="Times New Roman" w:eastAsia="Times New Roman" w:hAnsi="Times New Roman"/>
          <w:sz w:val="13"/>
          <w:szCs w:val="13"/>
          <w:color w:val="auto"/>
        </w:rPr>
        <w:t xml:space="preserve">In November 2023, the Company entered into an electricity supply agreement with a utility provider for purchase of electricity to be used at one of our RNG facilities for a period of two years with a monthly notional quantity ranging between 1,875 and 2,145 Kilo watt hour and with fixed contract price $0.0599 per Kwh. The forward contract is expected to be settled by physical delivery of electricity on a monthly basis. The Company elected the normal purchase normal sale exclusion and will not apply fair value accounting under ASC 815, </w:t>
      </w:r>
      <w:r>
        <w:rPr>
          <w:rFonts w:ascii="Times New Roman" w:cs="Times New Roman" w:eastAsia="Times New Roman" w:hAnsi="Times New Roman"/>
          <w:sz w:val="13"/>
          <w:szCs w:val="13"/>
          <w:i w:val="1"/>
          <w:iCs w:val="1"/>
          <w:color w:val="auto"/>
        </w:rPr>
        <w:t>Derivatives and hedging</w:t>
      </w:r>
      <w:r>
        <w:rPr>
          <w:rFonts w:ascii="Times New Roman" w:cs="Times New Roman" w:eastAsia="Times New Roman" w:hAnsi="Times New Roman"/>
          <w:sz w:val="13"/>
          <w:szCs w:val="13"/>
          <w:color w:val="auto"/>
        </w:rPr>
        <w:t>. The Company will continue to assess its normal purchase and normal sale election on a quarterly basis.</w:t>
      </w:r>
    </w:p>
    <w:p>
      <w:pPr>
        <w:spacing w:after="0" w:line="80" w:lineRule="exact"/>
        <w:rPr>
          <w:sz w:val="20"/>
          <w:szCs w:val="20"/>
          <w:color w:val="auto"/>
        </w:rPr>
      </w:pPr>
    </w:p>
    <w:p>
      <w:pPr>
        <w:ind w:right="560" w:firstLine="240"/>
        <w:spacing w:after="0" w:line="294" w:lineRule="auto"/>
        <w:rPr>
          <w:sz w:val="20"/>
          <w:szCs w:val="20"/>
          <w:color w:val="auto"/>
        </w:rPr>
      </w:pPr>
      <w:r>
        <w:rPr>
          <w:rFonts w:ascii="Times New Roman" w:cs="Times New Roman" w:eastAsia="Times New Roman" w:hAnsi="Times New Roman"/>
          <w:sz w:val="13"/>
          <w:szCs w:val="13"/>
          <w:color w:val="auto"/>
        </w:rPr>
        <w:t>The following table summarizes the commodity swaps in place as of March 31, 2024 and December 31, 2023. There were no new commodity swap contracts entered during the three months ended March 31, 2024.</w:t>
      </w:r>
    </w:p>
    <w:p>
      <w:pPr>
        <w:spacing w:after="0" w:line="156" w:lineRule="exact"/>
        <w:rPr>
          <w:sz w:val="20"/>
          <w:szCs w:val="20"/>
          <w:color w:val="auto"/>
        </w:rPr>
      </w:pPr>
    </w:p>
    <w:tbl>
      <w:tblPr>
        <w:tblLayout w:type="fixed"/>
        <w:tblInd w:w="240" w:type="dxa"/>
        <w:tblCellMar>
          <w:top w:w="0" w:type="dxa"/>
          <w:left w:w="0" w:type="dxa"/>
          <w:bottom w:w="0" w:type="dxa"/>
          <w:right w:w="0" w:type="dxa"/>
        </w:tblCellMar>
      </w:tblPr>
      <w:tr>
        <w:trPr>
          <w:trHeight w:val="138"/>
        </w:trPr>
        <w:tc>
          <w:tcPr>
            <w:tcW w:w="2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Notional Quantity per Year</w:t>
            </w:r>
          </w:p>
        </w:tc>
        <w:tc>
          <w:tcPr>
            <w:tcW w:w="100" w:type="dxa"/>
            <w:vAlign w:val="bottom"/>
          </w:tcPr>
          <w:p>
            <w:pPr>
              <w:spacing w:after="0"/>
              <w:rPr>
                <w:sz w:val="12"/>
                <w:szCs w:val="12"/>
                <w:color w:val="auto"/>
              </w:rPr>
            </w:pPr>
          </w:p>
        </w:tc>
        <w:tc>
          <w:tcPr>
            <w:tcW w:w="1960" w:type="dxa"/>
            <w:vAlign w:val="bottom"/>
          </w:tcPr>
          <w:p>
            <w:pPr>
              <w:spacing w:after="0"/>
              <w:rPr>
                <w:sz w:val="12"/>
                <w:szCs w:val="12"/>
                <w:color w:val="auto"/>
              </w:rPr>
            </w:pPr>
          </w:p>
        </w:tc>
      </w:tr>
      <w:tr>
        <w:trPr>
          <w:trHeight w:val="181"/>
        </w:trPr>
        <w:tc>
          <w:tcPr>
            <w:tcW w:w="224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2"/>
                <w:szCs w:val="12"/>
                <w:b w:val="1"/>
                <w:bCs w:val="1"/>
                <w:color w:val="auto"/>
              </w:rPr>
              <w:t>Trade Date</w:t>
            </w:r>
          </w:p>
        </w:tc>
        <w:tc>
          <w:tcPr>
            <w:tcW w:w="80" w:type="dxa"/>
            <w:vAlign w:val="bottom"/>
            <w:tcBorders>
              <w:bottom w:val="single" w:sz="8" w:color="CCEEFF"/>
            </w:tcBorders>
          </w:tcPr>
          <w:p>
            <w:pPr>
              <w:spacing w:after="0"/>
              <w:rPr>
                <w:sz w:val="15"/>
                <w:szCs w:val="15"/>
                <w:color w:val="auto"/>
              </w:rPr>
            </w:pP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Period From</w:t>
            </w:r>
          </w:p>
        </w:tc>
        <w:tc>
          <w:tcPr>
            <w:tcW w:w="120" w:type="dxa"/>
            <w:vAlign w:val="bottom"/>
            <w:tcBorders>
              <w:bottom w:val="single" w:sz="8" w:color="CCEEFF"/>
            </w:tcBorders>
          </w:tcPr>
          <w:p>
            <w:pPr>
              <w:spacing w:after="0"/>
              <w:rPr>
                <w:sz w:val="15"/>
                <w:szCs w:val="15"/>
                <w:color w:val="auto"/>
              </w:rPr>
            </w:pPr>
          </w:p>
        </w:tc>
        <w:tc>
          <w:tcPr>
            <w:tcW w:w="2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Period To</w:t>
            </w:r>
          </w:p>
        </w:tc>
        <w:tc>
          <w:tcPr>
            <w:tcW w:w="80" w:type="dxa"/>
            <w:vAlign w:val="bottom"/>
            <w:tcBorders>
              <w:bottom w:val="single" w:sz="8" w:color="CCEEFF"/>
            </w:tcBorders>
          </w:tcPr>
          <w:p>
            <w:pPr>
              <w:spacing w:after="0"/>
              <w:rPr>
                <w:sz w:val="15"/>
                <w:szCs w:val="15"/>
                <w:color w:val="auto"/>
              </w:rPr>
            </w:pPr>
          </w:p>
        </w:tc>
        <w:tc>
          <w:tcPr>
            <w:tcW w:w="158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2"/>
                <w:szCs w:val="12"/>
                <w:b w:val="1"/>
                <w:bCs w:val="1"/>
                <w:color w:val="auto"/>
              </w:rPr>
              <w:t>(“MWh”)</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w w:val="99"/>
              </w:rPr>
              <w:t>Average Contract Price (per MWh)</w:t>
            </w:r>
          </w:p>
        </w:tc>
      </w:tr>
      <w:tr>
        <w:trPr>
          <w:trHeight w:val="162"/>
        </w:trPr>
        <w:tc>
          <w:tcPr>
            <w:tcW w:w="2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October 17, 2022</w:t>
            </w:r>
          </w:p>
        </w:tc>
        <w:tc>
          <w:tcPr>
            <w:tcW w:w="20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2"/>
                <w:szCs w:val="12"/>
                <w:color w:val="auto"/>
                <w:w w:val="99"/>
              </w:rPr>
              <w:t>January 1, 2023</w:t>
            </w:r>
          </w:p>
        </w:tc>
        <w:tc>
          <w:tcPr>
            <w:tcW w:w="22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2"/>
                <w:szCs w:val="12"/>
                <w:color w:val="auto"/>
                <w:w w:val="99"/>
              </w:rPr>
              <w:t>December 31, 2024</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70,176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68.50</w:t>
            </w:r>
          </w:p>
        </w:tc>
      </w:tr>
      <w:tr>
        <w:trPr>
          <w:trHeight w:val="156"/>
        </w:trPr>
        <w:tc>
          <w:tcPr>
            <w:tcW w:w="23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November 17, 2022</w:t>
            </w:r>
          </w:p>
        </w:tc>
        <w:tc>
          <w:tcPr>
            <w:tcW w:w="200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9"/>
              </w:rPr>
              <w:t>January 1, 2023</w:t>
            </w:r>
          </w:p>
        </w:tc>
        <w:tc>
          <w:tcPr>
            <w:tcW w:w="228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9"/>
              </w:rPr>
              <w:t>December 31, 2024</w:t>
            </w:r>
          </w:p>
        </w:tc>
        <w:tc>
          <w:tcPr>
            <w:tcW w:w="1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35,088</w:t>
            </w:r>
          </w:p>
        </w:tc>
        <w:tc>
          <w:tcPr>
            <w:tcW w:w="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81.50</w:t>
            </w:r>
          </w:p>
        </w:tc>
      </w:tr>
    </w:tbl>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167640</wp:posOffset>
            </wp:positionV>
            <wp:extent cx="7193280"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31" w:name="page32"/>
    <w:bookmarkEnd w:id="31"/>
    <w:p>
      <w:pPr>
        <w:spacing w:after="0" w:line="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 following table summarizes the effect of commodity swaps on the condensed consolidated statements of operations for the three months ended March 31, 2024 and 2023:</w:t>
      </w:r>
    </w:p>
    <w:p>
      <w:pPr>
        <w:spacing w:after="0" w:line="371"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Three Months Ended March 31,</w:t>
            </w:r>
          </w:p>
        </w:tc>
      </w:tr>
      <w:tr>
        <w:trPr>
          <w:trHeight w:val="170"/>
        </w:trPr>
        <w:tc>
          <w:tcPr>
            <w:tcW w:w="3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Derivatives not designated as hedging instruments</w:t>
            </w:r>
          </w:p>
        </w:tc>
        <w:tc>
          <w:tcPr>
            <w:tcW w:w="438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2"/>
                <w:szCs w:val="12"/>
                <w:b w:val="1"/>
                <w:bCs w:val="1"/>
                <w:color w:val="auto"/>
              </w:rPr>
              <w:t>Location of (loss) gain recognized</w:t>
            </w: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2024</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rPr>
              <w:t>2023</w:t>
            </w:r>
          </w:p>
        </w:tc>
      </w:tr>
      <w:tr>
        <w:trPr>
          <w:trHeight w:val="152"/>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Commodity swaps - realized gain</w:t>
            </w:r>
          </w:p>
        </w:tc>
        <w:tc>
          <w:tcPr>
            <w:tcW w:w="438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2"/>
                <w:szCs w:val="12"/>
                <w:color w:val="auto"/>
              </w:rPr>
              <w:t>Revenues - Renewable Power</w:t>
            </w:r>
          </w:p>
        </w:tc>
        <w:tc>
          <w:tcPr>
            <w:tcW w:w="2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178</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371</w:t>
            </w:r>
          </w:p>
        </w:tc>
      </w:tr>
      <w:tr>
        <w:trPr>
          <w:trHeight w:val="158"/>
        </w:trPr>
        <w:tc>
          <w:tcPr>
            <w:tcW w:w="3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Commodity swaps - unrealized (loss) gain</w:t>
            </w:r>
          </w:p>
        </w:tc>
        <w:tc>
          <w:tcPr>
            <w:tcW w:w="4380" w:type="dxa"/>
            <w:vAlign w:val="bottom"/>
            <w:tcBorders>
              <w:bottom w:val="single" w:sz="8" w:color="CCEEFF"/>
            </w:tcBorders>
          </w:tcPr>
          <w:p>
            <w:pPr>
              <w:ind w:left="1060"/>
              <w:spacing w:after="0"/>
              <w:rPr>
                <w:sz w:val="20"/>
                <w:szCs w:val="20"/>
                <w:color w:val="auto"/>
              </w:rPr>
            </w:pPr>
            <w:r>
              <w:rPr>
                <w:rFonts w:ascii="Times New Roman" w:cs="Times New Roman" w:eastAsia="Times New Roman" w:hAnsi="Times New Roman"/>
                <w:sz w:val="12"/>
                <w:szCs w:val="12"/>
                <w:color w:val="auto"/>
              </w:rPr>
              <w:t>Revenues - Renewable Power</w:t>
            </w: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(96)</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922</w:t>
            </w:r>
          </w:p>
        </w:tc>
      </w:tr>
      <w:tr>
        <w:trPr>
          <w:trHeight w:val="177"/>
        </w:trPr>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Total realized and unrealized gain</w:t>
            </w:r>
          </w:p>
        </w:tc>
        <w:tc>
          <w:tcPr>
            <w:tcW w:w="438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2"/>
                <w:szCs w:val="12"/>
                <w:color w:val="auto"/>
              </w:rPr>
              <w:t>Revenues - Renewable Power</w:t>
            </w:r>
          </w:p>
        </w:tc>
        <w:tc>
          <w:tcPr>
            <w:tcW w:w="20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w:t>
            </w:r>
          </w:p>
        </w:tc>
        <w:tc>
          <w:tcPr>
            <w:tcW w:w="8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1,293</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43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 following table summarizes the derivative assets and liabilities related to commodity swaps as of March 31, 2024 and December 31, 2023:</w:t>
      </w:r>
    </w:p>
    <w:p>
      <w:pPr>
        <w:spacing w:after="0" w:line="200" w:lineRule="exact"/>
        <w:rPr>
          <w:sz w:val="20"/>
          <w:szCs w:val="20"/>
          <w:color w:val="auto"/>
        </w:rPr>
      </w:pPr>
    </w:p>
    <w:p>
      <w:pPr>
        <w:spacing w:after="0" w:line="217" w:lineRule="exact"/>
        <w:rPr>
          <w:sz w:val="20"/>
          <w:szCs w:val="20"/>
          <w:color w:val="auto"/>
        </w:rPr>
      </w:pPr>
    </w:p>
    <w:tbl>
      <w:tblPr>
        <w:tblLayout w:type="fixed"/>
        <w:tblInd w:w="240" w:type="dxa"/>
        <w:tblCellMar>
          <w:top w:w="0" w:type="dxa"/>
          <w:left w:w="0" w:type="dxa"/>
          <w:bottom w:w="0" w:type="dxa"/>
          <w:right w:w="0" w:type="dxa"/>
        </w:tblCellMar>
      </w:tblPr>
      <w:tr>
        <w:trPr>
          <w:trHeight w:val="177"/>
        </w:trPr>
        <w:tc>
          <w:tcPr>
            <w:tcW w:w="3860" w:type="dxa"/>
            <w:vAlign w:val="bottom"/>
          </w:tcPr>
          <w:p>
            <w:pPr>
              <w:spacing w:after="0"/>
              <w:rPr>
                <w:sz w:val="15"/>
                <w:szCs w:val="15"/>
                <w:color w:val="auto"/>
              </w:rPr>
            </w:pPr>
          </w:p>
        </w:tc>
        <w:tc>
          <w:tcPr>
            <w:tcW w:w="164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3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960" w:type="dxa"/>
            <w:vAlign w:val="bottom"/>
          </w:tcPr>
          <w:p>
            <w:pPr>
              <w:spacing w:after="0"/>
              <w:rPr>
                <w:sz w:val="15"/>
                <w:szCs w:val="15"/>
                <w:color w:val="auto"/>
              </w:rPr>
            </w:pPr>
          </w:p>
        </w:tc>
      </w:tr>
      <w:tr>
        <w:trPr>
          <w:trHeight w:val="170"/>
        </w:trPr>
        <w:tc>
          <w:tcPr>
            <w:tcW w:w="3860" w:type="dxa"/>
            <w:vAlign w:val="bottom"/>
            <w:tcBorders>
              <w:bottom w:val="single" w:sz="8" w:color="CCEEFF"/>
            </w:tcBorders>
          </w:tcPr>
          <w:p>
            <w:pPr>
              <w:spacing w:after="0"/>
              <w:rPr>
                <w:sz w:val="14"/>
                <w:szCs w:val="14"/>
                <w:color w:val="auto"/>
              </w:rPr>
            </w:pPr>
          </w:p>
        </w:tc>
        <w:tc>
          <w:tcPr>
            <w:tcW w:w="16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b w:val="1"/>
                <w:bCs w:val="1"/>
                <w:color w:val="auto"/>
              </w:rPr>
              <w:t>March 31, 2024</w:t>
            </w: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7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Location of Fair value recognized in Balance Sheet</w:t>
            </w:r>
          </w:p>
        </w:tc>
      </w:tr>
      <w:tr>
        <w:trPr>
          <w:trHeight w:val="150"/>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Derivatives designated as economic hedges</w:t>
            </w:r>
          </w:p>
        </w:tc>
        <w:tc>
          <w:tcPr>
            <w:tcW w:w="16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960" w:type="dxa"/>
            <w:vAlign w:val="bottom"/>
            <w:shd w:val="clear" w:color="auto" w:fill="CCEEFF"/>
          </w:tcPr>
          <w:p>
            <w:pPr>
              <w:spacing w:after="0"/>
              <w:rPr>
                <w:sz w:val="13"/>
                <w:szCs w:val="13"/>
                <w:color w:val="auto"/>
              </w:rPr>
            </w:pPr>
          </w:p>
        </w:tc>
      </w:tr>
      <w:tr>
        <w:trPr>
          <w:trHeight w:val="173"/>
        </w:trPr>
        <w:tc>
          <w:tcPr>
            <w:tcW w:w="3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Current portion of unrealized gain on commodity swaps</w:t>
            </w:r>
          </w:p>
        </w:tc>
        <w:tc>
          <w:tcPr>
            <w:tcW w:w="1640" w:type="dxa"/>
            <w:vAlign w:val="bottom"/>
          </w:tcPr>
          <w:p>
            <w:pPr>
              <w:jc w:val="right"/>
              <w:ind w:right="1493"/>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537</w:t>
            </w:r>
          </w:p>
        </w:tc>
        <w:tc>
          <w:tcPr>
            <w:tcW w:w="80" w:type="dxa"/>
            <w:vAlign w:val="bottom"/>
          </w:tcPr>
          <w:p>
            <w:pPr>
              <w:spacing w:after="0"/>
              <w:rPr>
                <w:sz w:val="15"/>
                <w:szCs w:val="15"/>
                <w:color w:val="auto"/>
              </w:rPr>
            </w:pPr>
          </w:p>
        </w:tc>
        <w:tc>
          <w:tcPr>
            <w:tcW w:w="1700" w:type="dxa"/>
            <w:vAlign w:val="bottom"/>
          </w:tcPr>
          <w:p>
            <w:pPr>
              <w:jc w:val="right"/>
              <w:ind w:right="1553"/>
              <w:spacing w:after="0"/>
              <w:rPr>
                <w:sz w:val="20"/>
                <w:szCs w:val="20"/>
                <w:color w:val="auto"/>
              </w:rPr>
            </w:pPr>
            <w:r>
              <w:rPr>
                <w:rFonts w:ascii="Times New Roman" w:cs="Times New Roman" w:eastAsia="Times New Roman" w:hAnsi="Times New Roman"/>
                <w:sz w:val="13"/>
                <w:szCs w:val="13"/>
                <w:color w:val="auto"/>
                <w:w w:val="91"/>
              </w:rPr>
              <w:t>$</w:t>
            </w:r>
          </w:p>
        </w:tc>
        <w:tc>
          <w:tcPr>
            <w:tcW w:w="342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 xml:space="preserve">633  </w:t>
            </w:r>
            <w:r>
              <w:rPr>
                <w:rFonts w:ascii="Times New Roman" w:cs="Times New Roman" w:eastAsia="Times New Roman" w:hAnsi="Times New Roman"/>
                <w:sz w:val="10"/>
                <w:szCs w:val="10"/>
                <w:color w:val="auto"/>
              </w:rPr>
              <w:t>Derivative financial asset, current portion</w:t>
            </w:r>
          </w:p>
        </w:tc>
      </w:tr>
    </w:tbl>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Other derivative liabilities</w:t>
      </w:r>
    </w:p>
    <w:p>
      <w:pPr>
        <w:spacing w:after="0" w:line="95" w:lineRule="exact"/>
        <w:rPr>
          <w:sz w:val="20"/>
          <w:szCs w:val="20"/>
          <w:color w:val="auto"/>
        </w:rPr>
      </w:pPr>
    </w:p>
    <w:p>
      <w:pPr>
        <w:jc w:val="both"/>
        <w:ind w:right="80" w:firstLine="480"/>
        <w:spacing w:after="0" w:line="275" w:lineRule="auto"/>
        <w:rPr>
          <w:sz w:val="20"/>
          <w:szCs w:val="20"/>
          <w:color w:val="auto"/>
        </w:rPr>
      </w:pPr>
      <w:r>
        <w:rPr>
          <w:rFonts w:ascii="Times New Roman" w:cs="Times New Roman" w:eastAsia="Times New Roman" w:hAnsi="Times New Roman"/>
          <w:sz w:val="13"/>
          <w:szCs w:val="13"/>
          <w:color w:val="auto"/>
        </w:rPr>
        <w:t>On July 21, 2022, the Company recorded derivative liabilities for the outstanding public warrants and private warrants, put option to Meteora, the Sponsor Earnout Awards and the OPAL Earnout Awards. The private and public warrants were exchanged into Class A common stock in the four quarter of 2022. The put option with Meteora expired in January 2023. The change in fair value on these derivative instruments is recorded as change in fair value of derivative instruments, net in the consolidated statement of operations for the three months ended March 31, 2024 and 2023.</w:t>
      </w:r>
    </w:p>
    <w:p>
      <w:pPr>
        <w:spacing w:after="0" w:line="4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The following table summarizes the effect of change in fair value of other derivative liabilities on the condensed consolidated statements of operations for the three months ended March 31, 2024 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2023:</w:t>
      </w:r>
    </w:p>
    <w:p>
      <w:pPr>
        <w:spacing w:after="0" w:line="91" w:lineRule="exact"/>
        <w:rPr>
          <w:sz w:val="20"/>
          <w:szCs w:val="20"/>
          <w:color w:val="auto"/>
        </w:rPr>
      </w:pPr>
    </w:p>
    <w:tbl>
      <w:tblPr>
        <w:tblLayout w:type="fixed"/>
        <w:tblInd w:w="480" w:type="dxa"/>
        <w:tblCellMar>
          <w:top w:w="0" w:type="dxa"/>
          <w:left w:w="0" w:type="dxa"/>
          <w:bottom w:w="0" w:type="dxa"/>
          <w:right w:w="0" w:type="dxa"/>
        </w:tblCellMar>
      </w:tblPr>
      <w:tr>
        <w:trPr>
          <w:trHeight w:val="120"/>
        </w:trPr>
        <w:tc>
          <w:tcPr>
            <w:tcW w:w="1460" w:type="dxa"/>
            <w:vAlign w:val="bottom"/>
            <w:tcBorders>
              <w:top w:val="single" w:sz="8" w:color="auto"/>
            </w:tcBorders>
            <w:shd w:val="clear" w:color="auto" w:fill="CCEEFF"/>
          </w:tcPr>
          <w:p>
            <w:pPr>
              <w:spacing w:after="0"/>
              <w:rPr>
                <w:sz w:val="10"/>
                <w:szCs w:val="10"/>
                <w:color w:val="auto"/>
              </w:rPr>
            </w:pPr>
          </w:p>
        </w:tc>
        <w:tc>
          <w:tcPr>
            <w:tcW w:w="2740" w:type="dxa"/>
            <w:vAlign w:val="bottom"/>
            <w:tcBorders>
              <w:top w:val="single" w:sz="8" w:color="auto"/>
            </w:tcBorders>
            <w:vMerge w:val="restart"/>
            <w:shd w:val="clear" w:color="auto" w:fill="CCEEFF"/>
          </w:tcPr>
          <w:p>
            <w:pPr>
              <w:ind w:left="100"/>
              <w:spacing w:after="0"/>
              <w:rPr>
                <w:sz w:val="20"/>
                <w:szCs w:val="20"/>
                <w:color w:val="auto"/>
              </w:rPr>
            </w:pPr>
            <w:r>
              <w:rPr>
                <w:rFonts w:ascii="Times New Roman" w:cs="Times New Roman" w:eastAsia="Times New Roman" w:hAnsi="Times New Roman"/>
                <w:sz w:val="13"/>
                <w:szCs w:val="13"/>
                <w:b w:val="1"/>
                <w:bCs w:val="1"/>
                <w:color w:val="auto"/>
              </w:rPr>
              <w:t>Derivative liability</w:t>
            </w:r>
          </w:p>
        </w:tc>
        <w:tc>
          <w:tcPr>
            <w:tcW w:w="80" w:type="dxa"/>
            <w:vAlign w:val="bottom"/>
            <w:tcBorders>
              <w:top w:val="single" w:sz="8" w:color="CCEEFF"/>
            </w:tcBorders>
            <w:vMerge w:val="restart"/>
            <w:shd w:val="clear" w:color="auto" w:fill="CCEEFF"/>
          </w:tcPr>
          <w:p>
            <w:pPr>
              <w:spacing w:after="0"/>
              <w:rPr>
                <w:sz w:val="10"/>
                <w:szCs w:val="10"/>
                <w:color w:val="auto"/>
              </w:rPr>
            </w:pPr>
          </w:p>
        </w:tc>
        <w:tc>
          <w:tcPr>
            <w:tcW w:w="240" w:type="dxa"/>
            <w:vAlign w:val="bottom"/>
            <w:tcBorders>
              <w:top w:val="single" w:sz="8" w:color="auto"/>
            </w:tcBorders>
            <w:vMerge w:val="restart"/>
            <w:shd w:val="clear" w:color="auto" w:fill="CCEEFF"/>
          </w:tcPr>
          <w:p>
            <w:pPr>
              <w:spacing w:after="0"/>
              <w:rPr>
                <w:sz w:val="10"/>
                <w:szCs w:val="10"/>
                <w:color w:val="auto"/>
              </w:rPr>
            </w:pPr>
          </w:p>
        </w:tc>
        <w:tc>
          <w:tcPr>
            <w:tcW w:w="2060" w:type="dxa"/>
            <w:vAlign w:val="bottom"/>
            <w:tcBorders>
              <w:top w:val="single" w:sz="8" w:color="auto"/>
            </w:tcBorders>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3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3420" w:type="dxa"/>
            <w:vAlign w:val="bottom"/>
            <w:tcBorders>
              <w:top w:val="single" w:sz="8" w:color="CCEEFF"/>
            </w:tcBorders>
            <w:shd w:val="clear" w:color="auto" w:fill="CCEEFF"/>
          </w:tcPr>
          <w:p>
            <w:pPr>
              <w:jc w:val="center"/>
              <w:spacing w:after="0" w:line="120" w:lineRule="exact"/>
              <w:rPr>
                <w:sz w:val="20"/>
                <w:szCs w:val="20"/>
                <w:color w:val="auto"/>
              </w:rPr>
            </w:pPr>
            <w:r>
              <w:rPr>
                <w:rFonts w:ascii="Times New Roman" w:cs="Times New Roman" w:eastAsia="Times New Roman" w:hAnsi="Times New Roman"/>
                <w:sz w:val="12"/>
                <w:szCs w:val="12"/>
                <w:b w:val="1"/>
                <w:bCs w:val="1"/>
                <w:color w:val="auto"/>
                <w:w w:val="99"/>
              </w:rPr>
              <w:t>Location of (Loss) Gain Recognized in Operations from</w:t>
            </w:r>
          </w:p>
        </w:tc>
        <w:tc>
          <w:tcPr>
            <w:tcW w:w="0" w:type="dxa"/>
            <w:vAlign w:val="bottom"/>
          </w:tcPr>
          <w:p>
            <w:pPr>
              <w:spacing w:after="0"/>
              <w:rPr>
                <w:sz w:val="1"/>
                <w:szCs w:val="1"/>
                <w:color w:val="auto"/>
              </w:rPr>
            </w:pPr>
          </w:p>
        </w:tc>
      </w:tr>
      <w:tr>
        <w:trPr>
          <w:trHeight w:val="160"/>
        </w:trPr>
        <w:tc>
          <w:tcPr>
            <w:tcW w:w="1460" w:type="dxa"/>
            <w:vAlign w:val="bottom"/>
            <w:tcBorders>
              <w:bottom w:val="single" w:sz="8" w:color="auto"/>
            </w:tcBorders>
            <w:shd w:val="clear" w:color="auto" w:fill="CCEEFF"/>
          </w:tcPr>
          <w:p>
            <w:pPr>
              <w:spacing w:after="0"/>
              <w:rPr>
                <w:sz w:val="13"/>
                <w:szCs w:val="13"/>
                <w:color w:val="auto"/>
              </w:rPr>
            </w:pPr>
          </w:p>
        </w:tc>
        <w:tc>
          <w:tcPr>
            <w:tcW w:w="274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vMerge w:val="continue"/>
            <w:shd w:val="clear" w:color="auto" w:fill="CCEEFF"/>
          </w:tcPr>
          <w:p>
            <w:pPr>
              <w:spacing w:after="0"/>
              <w:rPr>
                <w:sz w:val="13"/>
                <w:szCs w:val="13"/>
                <w:color w:val="auto"/>
              </w:rPr>
            </w:pPr>
          </w:p>
        </w:tc>
        <w:tc>
          <w:tcPr>
            <w:tcW w:w="240" w:type="dxa"/>
            <w:vAlign w:val="bottom"/>
            <w:tcBorders>
              <w:bottom w:val="single" w:sz="8" w:color="auto"/>
            </w:tcBorders>
            <w:vMerge w:val="continue"/>
            <w:shd w:val="clear" w:color="auto" w:fill="CCEEFF"/>
          </w:tcPr>
          <w:p>
            <w:pPr>
              <w:spacing w:after="0"/>
              <w:rPr>
                <w:sz w:val="13"/>
                <w:szCs w:val="13"/>
                <w:color w:val="auto"/>
              </w:rPr>
            </w:pPr>
          </w:p>
        </w:tc>
        <w:tc>
          <w:tcPr>
            <w:tcW w:w="2060" w:type="dxa"/>
            <w:vAlign w:val="bottom"/>
            <w:tcBorders>
              <w:bottom w:val="single" w:sz="8" w:color="auto"/>
            </w:tcBorders>
            <w:gridSpan w:val="3"/>
            <w:vMerge w:val="continue"/>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Derivatives</w:t>
            </w:r>
          </w:p>
        </w:tc>
        <w:tc>
          <w:tcPr>
            <w:tcW w:w="0" w:type="dxa"/>
            <w:vAlign w:val="bottom"/>
          </w:tcPr>
          <w:p>
            <w:pPr>
              <w:spacing w:after="0"/>
              <w:rPr>
                <w:sz w:val="1"/>
                <w:szCs w:val="1"/>
                <w:color w:val="auto"/>
              </w:rPr>
            </w:pPr>
          </w:p>
        </w:tc>
      </w:tr>
      <w:tr>
        <w:trPr>
          <w:trHeight w:val="160"/>
        </w:trPr>
        <w:tc>
          <w:tcPr>
            <w:tcW w:w="1460" w:type="dxa"/>
            <w:vAlign w:val="bottom"/>
            <w:tcBorders>
              <w:bottom w:val="single" w:sz="8" w:color="CCEEFF"/>
            </w:tcBorders>
          </w:tcPr>
          <w:p>
            <w:pPr>
              <w:spacing w:after="0"/>
              <w:rPr>
                <w:sz w:val="13"/>
                <w:szCs w:val="13"/>
                <w:color w:val="auto"/>
              </w:rPr>
            </w:pPr>
          </w:p>
        </w:tc>
        <w:tc>
          <w:tcPr>
            <w:tcW w:w="274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3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4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1460" w:type="dxa"/>
            <w:vAlign w:val="bottom"/>
            <w:shd w:val="clear" w:color="auto" w:fill="CCEEFF"/>
          </w:tcPr>
          <w:p>
            <w:pPr>
              <w:spacing w:after="0"/>
              <w:rPr>
                <w:sz w:val="15"/>
                <w:szCs w:val="15"/>
                <w:color w:val="auto"/>
              </w:rPr>
            </w:pPr>
          </w:p>
        </w:tc>
        <w:tc>
          <w:tcPr>
            <w:tcW w:w="2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Put option to Meteora</w:t>
            </w:r>
          </w:p>
        </w:tc>
        <w:tc>
          <w:tcPr>
            <w:tcW w:w="3060" w:type="dxa"/>
            <w:vAlign w:val="bottom"/>
            <w:gridSpan w:val="3"/>
          </w:tcPr>
          <w:p>
            <w:pPr>
              <w:jc w:val="right"/>
              <w:ind w:right="93"/>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ind w:right="573"/>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(311)</w:t>
            </w:r>
          </w:p>
        </w:tc>
        <w:tc>
          <w:tcPr>
            <w:tcW w:w="8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Sponsor Earnout Awards</w:t>
            </w:r>
          </w:p>
        </w:tc>
        <w:tc>
          <w:tcPr>
            <w:tcW w:w="2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403</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310</w:t>
            </w:r>
          </w:p>
        </w:tc>
        <w:tc>
          <w:tcPr>
            <w:tcW w:w="80" w:type="dxa"/>
            <w:vAlign w:val="bottom"/>
            <w:shd w:val="clear" w:color="auto" w:fill="CCEEFF"/>
          </w:tcPr>
          <w:p>
            <w:pPr>
              <w:spacing w:after="0"/>
              <w:rPr>
                <w:sz w:val="14"/>
                <w:szCs w:val="14"/>
                <w:color w:val="auto"/>
              </w:rPr>
            </w:pPr>
          </w:p>
        </w:tc>
        <w:tc>
          <w:tcPr>
            <w:tcW w:w="3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OPAL Earnout Awards</w:t>
            </w:r>
          </w:p>
        </w:tc>
        <w:tc>
          <w:tcPr>
            <w:tcW w:w="2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4,000</w:t>
            </w:r>
          </w:p>
        </w:tc>
        <w:tc>
          <w:tcPr>
            <w:tcW w:w="8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460" w:type="dxa"/>
            <w:vAlign w:val="bottom"/>
            <w:tcBorders>
              <w:top w:val="single" w:sz="8" w:color="CCEEFF"/>
              <w:bottom w:val="single" w:sz="8" w:color="CCEEFF"/>
            </w:tcBorders>
            <w:shd w:val="clear" w:color="auto" w:fill="CCEEFF"/>
          </w:tcPr>
          <w:p>
            <w:pPr>
              <w:spacing w:after="0"/>
              <w:rPr>
                <w:sz w:val="15"/>
                <w:szCs w:val="15"/>
                <w:color w:val="auto"/>
              </w:rPr>
            </w:pPr>
          </w:p>
        </w:tc>
        <w:tc>
          <w:tcPr>
            <w:tcW w:w="274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403</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720" w:type="dxa"/>
            <w:vAlign w:val="bottom"/>
            <w:tcBorders>
              <w:top w:val="single" w:sz="8" w:color="auto"/>
              <w:bottom w:val="single" w:sz="8" w:color="auto"/>
            </w:tcBorders>
            <w:shd w:val="clear" w:color="auto" w:fill="CCEEFF"/>
          </w:tcPr>
          <w:p>
            <w:pPr>
              <w:jc w:val="right"/>
              <w:ind w:right="573"/>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3,999</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3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Change in fair value of derivative instruments, net</w:t>
            </w:r>
          </w:p>
        </w:tc>
        <w:tc>
          <w:tcPr>
            <w:tcW w:w="0" w:type="dxa"/>
            <w:vAlign w:val="bottom"/>
          </w:tcPr>
          <w:p>
            <w:pPr>
              <w:spacing w:after="0"/>
              <w:rPr>
                <w:sz w:val="1"/>
                <w:szCs w:val="1"/>
                <w:color w:val="auto"/>
              </w:rPr>
            </w:pPr>
          </w:p>
        </w:tc>
      </w:tr>
      <w:tr>
        <w:trPr>
          <w:trHeight w:val="20"/>
        </w:trPr>
        <w:tc>
          <w:tcPr>
            <w:tcW w:w="146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Fair value measurements</w:t>
      </w:r>
    </w:p>
    <w:p>
      <w:pPr>
        <w:spacing w:after="0" w:line="95" w:lineRule="exact"/>
        <w:rPr>
          <w:sz w:val="20"/>
          <w:szCs w:val="20"/>
          <w:color w:val="auto"/>
        </w:rPr>
      </w:pPr>
    </w:p>
    <w:p>
      <w:pPr>
        <w:ind w:right="80" w:firstLine="240"/>
        <w:spacing w:after="0" w:line="294" w:lineRule="auto"/>
        <w:rPr>
          <w:sz w:val="20"/>
          <w:szCs w:val="20"/>
          <w:color w:val="auto"/>
        </w:rPr>
      </w:pPr>
      <w:r>
        <w:rPr>
          <w:rFonts w:ascii="Times New Roman" w:cs="Times New Roman" w:eastAsia="Times New Roman" w:hAnsi="Times New Roman"/>
          <w:sz w:val="13"/>
          <w:szCs w:val="13"/>
          <w:color w:val="auto"/>
        </w:rPr>
        <w:t>The fair value of financial instruments, including long-term debt and derivative instruments is defined as the amount at which the instruments could be exchanged in a current transaction between willing parties. The carrying amount of cash and cash equivalents, accounts receivable, net, and accounts payable and accrued expenses approximates fair value due to their short-term maturities.</w:t>
      </w:r>
    </w:p>
    <w:p>
      <w:pPr>
        <w:spacing w:after="0" w:line="34" w:lineRule="exact"/>
        <w:rPr>
          <w:sz w:val="20"/>
          <w:szCs w:val="20"/>
          <w:color w:val="auto"/>
        </w:rPr>
      </w:pPr>
    </w:p>
    <w:p>
      <w:pPr>
        <w:ind w:right="80" w:firstLine="240"/>
        <w:spacing w:after="0" w:line="294" w:lineRule="auto"/>
        <w:rPr>
          <w:sz w:val="20"/>
          <w:szCs w:val="20"/>
          <w:color w:val="auto"/>
        </w:rPr>
      </w:pPr>
      <w:r>
        <w:rPr>
          <w:rFonts w:ascii="Times New Roman" w:cs="Times New Roman" w:eastAsia="Times New Roman" w:hAnsi="Times New Roman"/>
          <w:sz w:val="13"/>
          <w:szCs w:val="13"/>
          <w:color w:val="auto"/>
        </w:rPr>
        <w:t>The carrying value of the Company's long-term debt of $194,770 and $196,542 as of March 31, 2024 and December 31, 2023, respectively, approximates its fair value because our interest rate is variable and reflects current market rates.</w:t>
      </w:r>
    </w:p>
    <w:p>
      <w:pPr>
        <w:spacing w:after="0" w:line="22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161290</wp:posOffset>
            </wp:positionV>
            <wp:extent cx="7193280"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360"/>
          </w:cols>
          <w:pgMar w:left="300" w:top="1440" w:right="239" w:bottom="1440" w:gutter="0" w:footer="0" w:header="0"/>
        </w:sectPr>
      </w:pPr>
    </w:p>
    <w:bookmarkStart w:id="32" w:name="page33"/>
    <w:bookmarkEnd w:id="32"/>
    <w:p>
      <w:pPr>
        <w:jc w:val="both"/>
        <w:spacing w:after="0" w:line="297" w:lineRule="auto"/>
        <w:rPr>
          <w:sz w:val="20"/>
          <w:szCs w:val="20"/>
          <w:color w:val="auto"/>
        </w:rPr>
      </w:pPr>
      <w:r>
        <w:rPr>
          <w:rFonts w:ascii="Times New Roman" w:cs="Times New Roman" w:eastAsia="Times New Roman" w:hAnsi="Times New Roman"/>
          <w:sz w:val="13"/>
          <w:szCs w:val="13"/>
          <w:color w:val="auto"/>
        </w:rPr>
        <w:t xml:space="preserve">The Company follows ASC 820, </w:t>
      </w:r>
      <w:r>
        <w:rPr>
          <w:rFonts w:ascii="Times New Roman" w:cs="Times New Roman" w:eastAsia="Times New Roman" w:hAnsi="Times New Roman"/>
          <w:sz w:val="13"/>
          <w:szCs w:val="13"/>
          <w:i w:val="1"/>
          <w:iCs w:val="1"/>
          <w:color w:val="auto"/>
        </w:rPr>
        <w:t>Fair Value Measurement</w:t>
      </w:r>
      <w:r>
        <w:rPr>
          <w:rFonts w:ascii="Times New Roman" w:cs="Times New Roman" w:eastAsia="Times New Roman" w:hAnsi="Times New Roman"/>
          <w:sz w:val="13"/>
          <w:szCs w:val="13"/>
          <w:color w:val="auto"/>
        </w:rPr>
        <w:t>, regarding fair value measurements which establishes a three-tier fair value hierarchy and prioritizes the inputs used in valuation techniques that measure fair value. These tiers include:</w:t>
      </w:r>
    </w:p>
    <w:p>
      <w:pPr>
        <w:spacing w:after="0" w:line="6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Level 1 — defined as observable inputs such as quoted prices for identical instruments in active markets;</w:t>
      </w:r>
    </w:p>
    <w:p>
      <w:pPr>
        <w:spacing w:after="0" w:line="111" w:lineRule="exact"/>
        <w:rPr>
          <w:sz w:val="20"/>
          <w:szCs w:val="20"/>
          <w:color w:val="auto"/>
        </w:rPr>
      </w:pPr>
    </w:p>
    <w:p>
      <w:pPr>
        <w:ind w:left="240"/>
        <w:spacing w:after="0" w:line="294" w:lineRule="auto"/>
        <w:rPr>
          <w:sz w:val="20"/>
          <w:szCs w:val="20"/>
          <w:color w:val="auto"/>
        </w:rPr>
      </w:pPr>
      <w:r>
        <w:rPr>
          <w:rFonts w:ascii="Times New Roman" w:cs="Times New Roman" w:eastAsia="Times New Roman" w:hAnsi="Times New Roman"/>
          <w:sz w:val="13"/>
          <w:szCs w:val="13"/>
          <w:color w:val="auto"/>
        </w:rPr>
        <w:t>Level 2 — defined as quoted prices for similar instruments in active market, quoted prices for identical or similar instruments in markets that are not active, or model-derived valuations for which all significant inputs are observable market data;</w:t>
      </w:r>
    </w:p>
    <w:p>
      <w:pPr>
        <w:spacing w:after="0" w:line="6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Level 3 — defined as unobservable inputs in which little or no market data exists, therefore requiring an entity to develop its own assumptions.</w:t>
      </w:r>
    </w:p>
    <w:p>
      <w:pPr>
        <w:spacing w:after="0" w:line="91" w:lineRule="exact"/>
        <w:rPr>
          <w:sz w:val="20"/>
          <w:szCs w:val="20"/>
          <w:color w:val="auto"/>
        </w:rPr>
      </w:pPr>
    </w:p>
    <w:p>
      <w:pPr>
        <w:jc w:val="both"/>
        <w:ind w:firstLine="240"/>
        <w:spacing w:after="0" w:line="294" w:lineRule="auto"/>
        <w:rPr>
          <w:sz w:val="20"/>
          <w:szCs w:val="20"/>
          <w:color w:val="auto"/>
        </w:rPr>
      </w:pPr>
      <w:r>
        <w:rPr>
          <w:rFonts w:ascii="Times New Roman" w:cs="Times New Roman" w:eastAsia="Times New Roman" w:hAnsi="Times New Roman"/>
          <w:sz w:val="13"/>
          <w:szCs w:val="13"/>
          <w:color w:val="auto"/>
        </w:rPr>
        <w:t>Financial assets and liabilities are classified in their entirety based on the lowest level of input that is significant to the fair value measurement. The Company's assessment of the significance of an input to the fair value measurement requires judgment and may affect the valuation of fair value assets and liabilities and their placement within the fair value hierarchy levels.</w:t>
      </w:r>
    </w:p>
    <w:p>
      <w:pPr>
        <w:spacing w:after="0" w:line="34" w:lineRule="exact"/>
        <w:rPr>
          <w:sz w:val="20"/>
          <w:szCs w:val="20"/>
          <w:color w:val="auto"/>
        </w:rPr>
      </w:pPr>
    </w:p>
    <w:p>
      <w:pPr>
        <w:jc w:val="both"/>
        <w:ind w:firstLine="240"/>
        <w:spacing w:after="0" w:line="275" w:lineRule="auto"/>
        <w:rPr>
          <w:sz w:val="20"/>
          <w:szCs w:val="20"/>
          <w:color w:val="auto"/>
        </w:rPr>
      </w:pPr>
      <w:r>
        <w:rPr>
          <w:rFonts w:ascii="Times New Roman" w:cs="Times New Roman" w:eastAsia="Times New Roman" w:hAnsi="Times New Roman"/>
          <w:sz w:val="13"/>
          <w:szCs w:val="13"/>
          <w:color w:val="auto"/>
        </w:rPr>
        <w:t>The Company values its energy commodity swap contracts based on the applicable geographical market energy forward curve. The forward curves are derived based on the quotes provided by New York Mercantile Exchange, Amerex Energy Services and Tradition Energy. The Company does not consider that the pricing index used involves significant judgement on the part of management. Therefore, the Company classifies these commodity swap contracts within Level 2 of the valuation hierarchy based on the observable market rates used to determine fair value.</w:t>
      </w:r>
    </w:p>
    <w:p>
      <w:pPr>
        <w:spacing w:after="0" w:line="47" w:lineRule="exact"/>
        <w:rPr>
          <w:sz w:val="20"/>
          <w:szCs w:val="20"/>
          <w:color w:val="auto"/>
        </w:rPr>
      </w:pPr>
    </w:p>
    <w:p>
      <w:pPr>
        <w:jc w:val="both"/>
        <w:ind w:firstLine="240"/>
        <w:spacing w:after="0" w:line="263" w:lineRule="auto"/>
        <w:rPr>
          <w:sz w:val="20"/>
          <w:szCs w:val="20"/>
          <w:color w:val="auto"/>
        </w:rPr>
      </w:pPr>
      <w:r>
        <w:rPr>
          <w:rFonts w:ascii="Times New Roman" w:cs="Times New Roman" w:eastAsia="Times New Roman" w:hAnsi="Times New Roman"/>
          <w:sz w:val="13"/>
          <w:szCs w:val="13"/>
          <w:color w:val="auto"/>
        </w:rPr>
        <w:t>The Company accounts for asset retirement obligations by recording the fair value of a liability for an asset retirement obligation in the period in which it is incurred and when a reasonable estimate of fair value can be made. The Company estimates the fair value of asset retirement obligations by calculating the estimated present value of the cost to retire the asset. This estimate requires assumptions and judgments regarding the existence of liabilities, the amount and timing of cash outflows required to settle the liability, inflation factors, credit adjusted discount rates, and consideration of changes in legal, regulatory, environmental, and political environments. In addition, the Company determines the Level 3 fair value measurements based on historical information and current market conditions. These assumptions represent Level 3 inputs, which can regularly change. As such, the fair value measurement of asset retirement obligations is subject to changes in these unobservable inputs as of the measurement date. The Company used a discounted cash flow model in which cash outflows estimated to retire the asset are discounted to their present value using an expected discount rate. A significant increase (decrease) in the discount rate in isolation could result in a significantly lower (higher) fair value measurement. The Company estimated the fair value of its asset retirement obligations based on discount rates ranging from 5.75% to 8.5%.</w:t>
      </w:r>
    </w:p>
    <w:p>
      <w:pPr>
        <w:spacing w:after="0" w:line="54" w:lineRule="exact"/>
        <w:rPr>
          <w:sz w:val="20"/>
          <w:szCs w:val="20"/>
          <w:color w:val="auto"/>
        </w:rPr>
      </w:pPr>
    </w:p>
    <w:p>
      <w:pPr>
        <w:jc w:val="both"/>
        <w:ind w:firstLine="240"/>
        <w:spacing w:after="0" w:line="294" w:lineRule="auto"/>
        <w:rPr>
          <w:sz w:val="20"/>
          <w:szCs w:val="20"/>
          <w:color w:val="auto"/>
        </w:rPr>
      </w:pPr>
      <w:r>
        <w:rPr>
          <w:rFonts w:ascii="Times New Roman" w:cs="Times New Roman" w:eastAsia="Times New Roman" w:hAnsi="Times New Roman"/>
          <w:sz w:val="13"/>
          <w:szCs w:val="13"/>
          <w:color w:val="auto"/>
        </w:rPr>
        <w:t>The fair value of the Sponsor Earnout Awards as of March 31, 2024 resulted in a gain of $403 due to decrease in stock price which was determined using a Monte Carlo valuation model with a distribution of potential outcomes on a daily basis over the five year post-close period. Assumptions used in the valuation are as follows:</w:t>
      </w:r>
    </w:p>
    <w:p>
      <w:pPr>
        <w:spacing w:after="0" w:line="134" w:lineRule="exact"/>
        <w:rPr>
          <w:sz w:val="20"/>
          <w:szCs w:val="20"/>
          <w:color w:val="auto"/>
        </w:rPr>
      </w:pPr>
    </w:p>
    <w:p>
      <w:pPr>
        <w:ind w:left="480" w:hanging="240"/>
        <w:spacing w:after="0"/>
        <w:tabs>
          <w:tab w:leader="none" w:pos="48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Current stock price — The Company's closing stock price of $5.02 as of March 31, 2024;</w:t>
      </w:r>
    </w:p>
    <w:p>
      <w:pPr>
        <w:spacing w:after="0" w:line="14" w:lineRule="exact"/>
        <w:rPr>
          <w:rFonts w:ascii="Times New Roman" w:cs="Times New Roman" w:eastAsia="Times New Roman" w:hAnsi="Times New Roman"/>
          <w:sz w:val="13"/>
          <w:szCs w:val="13"/>
          <w:color w:val="auto"/>
        </w:rPr>
      </w:pPr>
    </w:p>
    <w:p>
      <w:pPr>
        <w:ind w:left="480" w:hanging="240"/>
        <w:spacing w:after="0"/>
        <w:tabs>
          <w:tab w:leader="none" w:pos="48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Expected volatility — 55.0% based on historical and implied volatilities of selected industry peers deemed to be comparable to our business corresponding to the expected term of the awards;</w:t>
      </w:r>
    </w:p>
    <w:p>
      <w:pPr>
        <w:spacing w:after="0" w:line="9" w:lineRule="exact"/>
        <w:rPr>
          <w:rFonts w:ascii="Times New Roman" w:cs="Times New Roman" w:eastAsia="Times New Roman" w:hAnsi="Times New Roman"/>
          <w:sz w:val="13"/>
          <w:szCs w:val="13"/>
          <w:color w:val="auto"/>
        </w:rPr>
      </w:pPr>
    </w:p>
    <w:p>
      <w:pPr>
        <w:ind w:left="480" w:right="120" w:hanging="240"/>
        <w:spacing w:after="0" w:line="242" w:lineRule="auto"/>
        <w:tabs>
          <w:tab w:leader="none" w:pos="477"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Risk-free interest rate — 4.4% based on the U.S. Treasury yield curve in effect at the time of issuance for zero-coupon U.S. Treasury notes with maturities corresponding to the expected 3.31 year term of the earnout period;</w:t>
      </w:r>
    </w:p>
    <w:p>
      <w:pPr>
        <w:ind w:left="480" w:hanging="240"/>
        <w:spacing w:after="0"/>
        <w:tabs>
          <w:tab w:leader="none" w:pos="48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Dividend yield - zero.</w:t>
      </w:r>
    </w:p>
    <w:p>
      <w:pPr>
        <w:spacing w:after="0" w:line="257" w:lineRule="exact"/>
        <w:rPr>
          <w:sz w:val="20"/>
          <w:szCs w:val="20"/>
          <w:color w:val="auto"/>
        </w:rPr>
      </w:pPr>
    </w:p>
    <w:p>
      <w:pPr>
        <w:jc w:val="both"/>
        <w:ind w:firstLine="240"/>
        <w:spacing w:after="0" w:line="275" w:lineRule="auto"/>
        <w:rPr>
          <w:sz w:val="20"/>
          <w:szCs w:val="20"/>
          <w:color w:val="auto"/>
        </w:rPr>
      </w:pPr>
      <w:r>
        <w:rPr>
          <w:rFonts w:ascii="Times New Roman" w:cs="Times New Roman" w:eastAsia="Times New Roman" w:hAnsi="Times New Roman"/>
          <w:sz w:val="13"/>
          <w:szCs w:val="13"/>
          <w:color w:val="auto"/>
        </w:rPr>
        <w:t>The fair value of the OPAL Earnout Awards as of March 31, 2024 was determined using a Monte Carlo valuation model with a distribution of potential outcomes for stock price and EBITDA over the 2-year period commencing on January 1, 2023 and ending on December 31, 2024. As of March 31, 2024 and December 31, 2023, the fair value of OPAL Earnout Awards was determined to be zero as the probability of achieving the targets is expected to be low.</w:t>
      </w:r>
    </w:p>
    <w:p>
      <w:pPr>
        <w:spacing w:after="0" w:line="4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Assumptions used in the valuation are as follows:</w:t>
      </w:r>
    </w:p>
    <w:p>
      <w:pPr>
        <w:spacing w:after="0" w:line="191" w:lineRule="exact"/>
        <w:rPr>
          <w:sz w:val="20"/>
          <w:szCs w:val="20"/>
          <w:color w:val="auto"/>
        </w:rPr>
      </w:pPr>
    </w:p>
    <w:p>
      <w:pPr>
        <w:ind w:left="520" w:hanging="280"/>
        <w:spacing w:after="0"/>
        <w:tabs>
          <w:tab w:leader="none" w:pos="52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Current stock price — The Company's closing stock price of $5.02 as of March 31, 2024;</w:t>
      </w:r>
    </w:p>
    <w:p>
      <w:pPr>
        <w:spacing w:after="0" w:line="14" w:lineRule="exact"/>
        <w:rPr>
          <w:rFonts w:ascii="Times New Roman" w:cs="Times New Roman" w:eastAsia="Times New Roman" w:hAnsi="Times New Roman"/>
          <w:sz w:val="13"/>
          <w:szCs w:val="13"/>
          <w:color w:val="auto"/>
        </w:rPr>
      </w:pPr>
    </w:p>
    <w:p>
      <w:pPr>
        <w:ind w:left="480" w:hanging="240"/>
        <w:spacing w:after="0"/>
        <w:tabs>
          <w:tab w:leader="none" w:pos="48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Weighted average cost of capital - 17.6% based on an average of historical volatilities of selected industry peers deemed to be comparable to our business.</w:t>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161290</wp:posOffset>
            </wp:positionV>
            <wp:extent cx="7193280"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286" w:right="319" w:bottom="1440" w:gutter="0" w:footer="0" w:header="0"/>
        </w:sectPr>
      </w:pPr>
    </w:p>
    <w:bookmarkStart w:id="33" w:name="page34"/>
    <w:bookmarkEnd w:id="33"/>
    <w:p>
      <w:pPr>
        <w:ind w:left="480" w:hanging="240"/>
        <w:spacing w:after="0"/>
        <w:tabs>
          <w:tab w:leader="none" w:pos="48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Expected volatility — 45% based on historical and implied volatilities of selected industry peers deemed to be comparable to our business corresponding to the expected term of the awards;</w:t>
      </w:r>
    </w:p>
    <w:p>
      <w:pPr>
        <w:spacing w:after="0" w:line="14" w:lineRule="exact"/>
        <w:rPr>
          <w:rFonts w:ascii="Times New Roman" w:cs="Times New Roman" w:eastAsia="Times New Roman" w:hAnsi="Times New Roman"/>
          <w:sz w:val="13"/>
          <w:szCs w:val="13"/>
          <w:color w:val="auto"/>
        </w:rPr>
      </w:pPr>
    </w:p>
    <w:p>
      <w:pPr>
        <w:ind w:left="520" w:hanging="280"/>
        <w:spacing w:after="0"/>
        <w:tabs>
          <w:tab w:leader="none" w:pos="52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Risk-free interest rate — 5.1% based on the U.S. Treasury yield curve in effect at the time of issuance for zero-coupon U.S. Treasury notes with maturities corresponding to the expected 9-month term</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of the earnout period;</w:t>
      </w:r>
    </w:p>
    <w:p>
      <w:pPr>
        <w:spacing w:after="0" w:line="2" w:lineRule="exact"/>
        <w:rPr>
          <w:sz w:val="20"/>
          <w:szCs w:val="20"/>
          <w:color w:val="auto"/>
        </w:rPr>
      </w:pPr>
    </w:p>
    <w:p>
      <w:pPr>
        <w:ind w:left="480" w:hanging="240"/>
        <w:spacing w:after="0"/>
        <w:tabs>
          <w:tab w:leader="none" w:pos="48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Dividend yield - zero.</w:t>
      </w:r>
    </w:p>
    <w:p>
      <w:pPr>
        <w:spacing w:after="0" w:line="24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There were no transfers of assets between Level 1, Level 2, or Level 3 of the fair value hierarchy as of March 31, 2024.</w:t>
      </w:r>
    </w:p>
    <w:p>
      <w:pPr>
        <w:spacing w:after="0" w:line="9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 Company's assets and liabilities that are measured at fair value on a recurring basis include the following as of March 31, 2024 and December 31, 2023, set forth by level, within the fair value hierarchy:</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0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40" w:type="dxa"/>
            <w:vAlign w:val="bottom"/>
            <w:gridSpan w:val="4"/>
          </w:tcPr>
          <w:p>
            <w:pPr>
              <w:ind w:left="740"/>
              <w:spacing w:after="0"/>
              <w:rPr>
                <w:sz w:val="20"/>
                <w:szCs w:val="20"/>
                <w:color w:val="auto"/>
              </w:rPr>
            </w:pPr>
            <w:r>
              <w:rPr>
                <w:rFonts w:ascii="Times New Roman" w:cs="Times New Roman" w:eastAsia="Times New Roman" w:hAnsi="Times New Roman"/>
                <w:sz w:val="12"/>
                <w:szCs w:val="12"/>
                <w:b w:val="1"/>
                <w:bCs w:val="1"/>
                <w:color w:val="auto"/>
              </w:rPr>
              <w:t>Fair value as of March 31, 2024</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24"/>
        </w:trPr>
        <w:tc>
          <w:tcPr>
            <w:tcW w:w="50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49"/>
        </w:trPr>
        <w:tc>
          <w:tcPr>
            <w:tcW w:w="5040" w:type="dxa"/>
            <w:vAlign w:val="bottom"/>
          </w:tcPr>
          <w:p>
            <w:pPr>
              <w:spacing w:after="0"/>
              <w:rPr>
                <w:sz w:val="12"/>
                <w:szCs w:val="12"/>
                <w:color w:val="auto"/>
              </w:rPr>
            </w:pPr>
          </w:p>
        </w:tc>
        <w:tc>
          <w:tcPr>
            <w:tcW w:w="1020" w:type="dxa"/>
            <w:vAlign w:val="bottom"/>
          </w:tcPr>
          <w:p>
            <w:pPr>
              <w:jc w:val="right"/>
              <w:ind w:right="42"/>
              <w:spacing w:after="0"/>
              <w:rPr>
                <w:sz w:val="20"/>
                <w:szCs w:val="20"/>
                <w:color w:val="auto"/>
              </w:rPr>
            </w:pPr>
            <w:r>
              <w:rPr>
                <w:rFonts w:ascii="Times New Roman" w:cs="Times New Roman" w:eastAsia="Times New Roman" w:hAnsi="Times New Roman"/>
                <w:sz w:val="12"/>
                <w:szCs w:val="12"/>
                <w:b w:val="1"/>
                <w:bCs w:val="1"/>
                <w:color w:val="auto"/>
              </w:rPr>
              <w:t>Level 1</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ind w:left="560"/>
              <w:spacing w:after="0"/>
              <w:rPr>
                <w:sz w:val="20"/>
                <w:szCs w:val="20"/>
                <w:color w:val="auto"/>
              </w:rPr>
            </w:pPr>
            <w:r>
              <w:rPr>
                <w:rFonts w:ascii="Times New Roman" w:cs="Times New Roman" w:eastAsia="Times New Roman" w:hAnsi="Times New Roman"/>
                <w:sz w:val="12"/>
                <w:szCs w:val="12"/>
                <w:b w:val="1"/>
                <w:bCs w:val="1"/>
                <w:color w:val="auto"/>
              </w:rPr>
              <w:t>Level 2</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ind w:left="560"/>
              <w:spacing w:after="0"/>
              <w:rPr>
                <w:sz w:val="20"/>
                <w:szCs w:val="20"/>
                <w:color w:val="auto"/>
              </w:rPr>
            </w:pPr>
            <w:r>
              <w:rPr>
                <w:rFonts w:ascii="Times New Roman" w:cs="Times New Roman" w:eastAsia="Times New Roman" w:hAnsi="Times New Roman"/>
                <w:sz w:val="12"/>
                <w:szCs w:val="12"/>
                <w:b w:val="1"/>
                <w:bCs w:val="1"/>
                <w:color w:val="auto"/>
              </w:rPr>
              <w:t>Level 3</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21"/>
        </w:trPr>
        <w:tc>
          <w:tcPr>
            <w:tcW w:w="504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40"/>
        </w:trPr>
        <w:tc>
          <w:tcPr>
            <w:tcW w:w="5040" w:type="dxa"/>
            <w:vAlign w:val="bottom"/>
            <w:tcBorders>
              <w:bottom w:val="single" w:sz="8" w:color="CCEEFF"/>
            </w:tcBorders>
            <w:shd w:val="clear" w:color="auto" w:fill="CCEEFF"/>
          </w:tcPr>
          <w:p>
            <w:pPr>
              <w:ind w:left="20"/>
              <w:spacing w:after="0" w:line="136" w:lineRule="exact"/>
              <w:rPr>
                <w:sz w:val="20"/>
                <w:szCs w:val="20"/>
                <w:color w:val="auto"/>
              </w:rPr>
            </w:pPr>
            <w:r>
              <w:rPr>
                <w:rFonts w:ascii="Times New Roman" w:cs="Times New Roman" w:eastAsia="Times New Roman" w:hAnsi="Times New Roman"/>
                <w:sz w:val="12"/>
                <w:szCs w:val="12"/>
                <w:color w:val="auto"/>
              </w:rPr>
              <w:t>Liabilities:</w:t>
            </w:r>
          </w:p>
        </w:tc>
        <w:tc>
          <w:tcPr>
            <w:tcW w:w="102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10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6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spacing w:after="0"/>
              <w:rPr>
                <w:sz w:val="12"/>
                <w:szCs w:val="12"/>
                <w:color w:val="auto"/>
              </w:rPr>
            </w:pPr>
          </w:p>
        </w:tc>
        <w:tc>
          <w:tcPr>
            <w:tcW w:w="1140" w:type="dxa"/>
            <w:vAlign w:val="bottom"/>
            <w:tcBorders>
              <w:bottom w:val="single" w:sz="8" w:color="CCEEFF"/>
            </w:tcBorders>
            <w:shd w:val="clear" w:color="auto" w:fill="CCEEFF"/>
          </w:tcPr>
          <w:p>
            <w:pPr>
              <w:spacing w:after="0"/>
              <w:rPr>
                <w:sz w:val="12"/>
                <w:szCs w:val="12"/>
                <w:color w:val="auto"/>
              </w:rPr>
            </w:pPr>
          </w:p>
        </w:tc>
      </w:tr>
      <w:tr>
        <w:trPr>
          <w:trHeight w:val="156"/>
        </w:trPr>
        <w:tc>
          <w:tcPr>
            <w:tcW w:w="50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Asset retirement obligation</w:t>
            </w:r>
          </w:p>
        </w:tc>
        <w:tc>
          <w:tcPr>
            <w:tcW w:w="1020" w:type="dxa"/>
            <w:vAlign w:val="bottom"/>
          </w:tcPr>
          <w:p>
            <w:pPr>
              <w:jc w:val="right"/>
              <w:ind w:right="902"/>
              <w:spacing w:after="0"/>
              <w:rPr>
                <w:sz w:val="20"/>
                <w:szCs w:val="20"/>
                <w:color w:val="auto"/>
              </w:rPr>
            </w:pPr>
            <w:r>
              <w:rPr>
                <w:rFonts w:ascii="Times New Roman" w:cs="Times New Roman" w:eastAsia="Times New Roman" w:hAnsi="Times New Roman"/>
                <w:sz w:val="11"/>
                <w:szCs w:val="11"/>
                <w:color w:val="auto"/>
                <w:w w:val="71"/>
              </w:rPr>
              <w:t>$</w:t>
            </w:r>
          </w:p>
        </w:tc>
        <w:tc>
          <w:tcPr>
            <w:tcW w:w="1660" w:type="dxa"/>
            <w:vAlign w:val="bottom"/>
            <w:gridSpan w:val="3"/>
          </w:tcPr>
          <w:p>
            <w:pPr>
              <w:ind w:left="300"/>
              <w:spacing w:after="0"/>
              <w:rPr>
                <w:sz w:val="20"/>
                <w:szCs w:val="20"/>
                <w:color w:val="auto"/>
              </w:rPr>
            </w:pPr>
            <w:r>
              <w:rPr>
                <w:rFonts w:ascii="Times New Roman" w:cs="Times New Roman" w:eastAsia="Times New Roman" w:hAnsi="Times New Roman"/>
                <w:sz w:val="12"/>
                <w:szCs w:val="12"/>
                <w:color w:val="auto"/>
              </w:rPr>
              <w:t>—   $</w:t>
            </w:r>
          </w:p>
        </w:tc>
        <w:tc>
          <w:tcPr>
            <w:tcW w:w="1540" w:type="dxa"/>
            <w:vAlign w:val="bottom"/>
            <w:gridSpan w:val="3"/>
          </w:tcPr>
          <w:p>
            <w:pPr>
              <w:ind w:left="220"/>
              <w:spacing w:after="0"/>
              <w:rPr>
                <w:sz w:val="20"/>
                <w:szCs w:val="20"/>
                <w:color w:val="auto"/>
              </w:rPr>
            </w:pPr>
            <w:r>
              <w:rPr>
                <w:rFonts w:ascii="Times New Roman" w:cs="Times New Roman" w:eastAsia="Times New Roman" w:hAnsi="Times New Roman"/>
                <w:sz w:val="12"/>
                <w:szCs w:val="12"/>
                <w:color w:val="auto"/>
              </w:rPr>
              <w:t>—   $</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6,880</w:t>
            </w:r>
          </w:p>
        </w:tc>
        <w:tc>
          <w:tcPr>
            <w:tcW w:w="100" w:type="dxa"/>
            <w:vAlign w:val="bottom"/>
          </w:tcPr>
          <w:p>
            <w:pPr>
              <w:spacing w:after="0"/>
              <w:rPr>
                <w:sz w:val="13"/>
                <w:szCs w:val="13"/>
                <w:color w:val="auto"/>
              </w:rPr>
            </w:pP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6,880</w:t>
            </w:r>
          </w:p>
        </w:tc>
      </w:tr>
      <w:tr>
        <w:trPr>
          <w:trHeight w:val="24"/>
        </w:trPr>
        <w:tc>
          <w:tcPr>
            <w:tcW w:w="50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60"/>
        </w:trPr>
        <w:tc>
          <w:tcPr>
            <w:tcW w:w="50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Earnout liabilities</w:t>
            </w:r>
          </w:p>
        </w:tc>
        <w:tc>
          <w:tcPr>
            <w:tcW w:w="1020" w:type="dxa"/>
            <w:vAlign w:val="bottom"/>
            <w:tcBorders>
              <w:bottom w:val="single" w:sz="8" w:color="CCEEFF"/>
            </w:tcBorders>
            <w:shd w:val="clear" w:color="auto" w:fill="CCEEFF"/>
          </w:tcPr>
          <w:p>
            <w:pPr>
              <w:spacing w:after="0"/>
              <w:rPr>
                <w:sz w:val="13"/>
                <w:szCs w:val="13"/>
                <w:color w:val="auto"/>
              </w:rPr>
            </w:pPr>
          </w:p>
        </w:tc>
        <w:tc>
          <w:tcPr>
            <w:tcW w:w="1660" w:type="dxa"/>
            <w:vAlign w:val="bottom"/>
            <w:tcBorders>
              <w:bottom w:val="single" w:sz="8" w:color="CCEEFF"/>
            </w:tcBorders>
            <w:gridSpan w:val="3"/>
            <w:shd w:val="clear" w:color="auto" w:fill="CCEEFF"/>
          </w:tcPr>
          <w:p>
            <w:pPr>
              <w:jc w:val="right"/>
              <w:ind w:right="1180"/>
              <w:spacing w:after="0"/>
              <w:rPr>
                <w:sz w:val="20"/>
                <w:szCs w:val="20"/>
                <w:color w:val="auto"/>
              </w:rPr>
            </w:pPr>
            <w:r>
              <w:rPr>
                <w:rFonts w:ascii="Times New Roman" w:cs="Times New Roman" w:eastAsia="Times New Roman" w:hAnsi="Times New Roman"/>
                <w:sz w:val="12"/>
                <w:szCs w:val="12"/>
                <w:color w:val="auto"/>
              </w:rPr>
              <w:t>—</w:t>
            </w:r>
          </w:p>
        </w:tc>
        <w:tc>
          <w:tcPr>
            <w:tcW w:w="1540" w:type="dxa"/>
            <w:vAlign w:val="bottom"/>
            <w:tcBorders>
              <w:bottom w:val="single" w:sz="8" w:color="CCEEFF"/>
            </w:tcBorders>
            <w:gridSpan w:val="3"/>
            <w:shd w:val="clear" w:color="auto" w:fill="CCEEFF"/>
          </w:tcPr>
          <w:p>
            <w:pPr>
              <w:jc w:val="right"/>
              <w:ind w:right="114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1,497</w:t>
            </w:r>
          </w:p>
        </w:tc>
        <w:tc>
          <w:tcPr>
            <w:tcW w:w="1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1,497</w:t>
            </w:r>
          </w:p>
        </w:tc>
      </w:tr>
      <w:tr>
        <w:trPr>
          <w:trHeight w:val="156"/>
        </w:trPr>
        <w:tc>
          <w:tcPr>
            <w:tcW w:w="50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Assets:</w:t>
            </w:r>
          </w:p>
        </w:tc>
        <w:tc>
          <w:tcPr>
            <w:tcW w:w="10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24"/>
        </w:trPr>
        <w:tc>
          <w:tcPr>
            <w:tcW w:w="50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80"/>
        </w:trPr>
        <w:tc>
          <w:tcPr>
            <w:tcW w:w="5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 xml:space="preserve">Cash and cash equivalents and restricted cash - current and non-current </w:t>
            </w:r>
            <w:r>
              <w:rPr>
                <w:rFonts w:ascii="Times New Roman" w:cs="Times New Roman" w:eastAsia="Times New Roman" w:hAnsi="Times New Roman"/>
                <w:sz w:val="15"/>
                <w:szCs w:val="15"/>
                <w:color w:val="auto"/>
                <w:vertAlign w:val="superscript"/>
              </w:rPr>
              <w:t>(1)</w:t>
            </w:r>
          </w:p>
        </w:tc>
        <w:tc>
          <w:tcPr>
            <w:tcW w:w="10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32,696</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540" w:type="dxa"/>
            <w:vAlign w:val="bottom"/>
            <w:gridSpan w:val="3"/>
            <w:shd w:val="clear" w:color="auto" w:fill="CCEEFF"/>
          </w:tcPr>
          <w:p>
            <w:pPr>
              <w:jc w:val="right"/>
              <w:ind w:right="114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32,696</w:t>
            </w:r>
          </w:p>
        </w:tc>
      </w:tr>
      <w:tr>
        <w:trPr>
          <w:trHeight w:val="156"/>
        </w:trPr>
        <w:tc>
          <w:tcPr>
            <w:tcW w:w="50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Short term investments</w:t>
            </w:r>
          </w:p>
        </w:tc>
        <w:tc>
          <w:tcPr>
            <w:tcW w:w="10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5,975</w:t>
            </w: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540" w:type="dxa"/>
            <w:vAlign w:val="bottom"/>
            <w:gridSpan w:val="3"/>
          </w:tcPr>
          <w:p>
            <w:pPr>
              <w:jc w:val="right"/>
              <w:ind w:right="114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5,975</w:t>
            </w:r>
          </w:p>
        </w:tc>
      </w:tr>
      <w:tr>
        <w:trPr>
          <w:trHeight w:val="24"/>
        </w:trPr>
        <w:tc>
          <w:tcPr>
            <w:tcW w:w="50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56"/>
        </w:trPr>
        <w:tc>
          <w:tcPr>
            <w:tcW w:w="5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Commodity swap contracts</w:t>
            </w:r>
          </w:p>
        </w:tc>
        <w:tc>
          <w:tcPr>
            <w:tcW w:w="1020" w:type="dxa"/>
            <w:vAlign w:val="bottom"/>
            <w:shd w:val="clear" w:color="auto" w:fill="CCEEFF"/>
          </w:tcPr>
          <w:p>
            <w:pPr>
              <w:spacing w:after="0"/>
              <w:rPr>
                <w:sz w:val="13"/>
                <w:szCs w:val="13"/>
                <w:color w:val="auto"/>
              </w:rPr>
            </w:pPr>
          </w:p>
        </w:tc>
        <w:tc>
          <w:tcPr>
            <w:tcW w:w="1660" w:type="dxa"/>
            <w:vAlign w:val="bottom"/>
            <w:gridSpan w:val="3"/>
            <w:shd w:val="clear" w:color="auto" w:fill="CCEEFF"/>
          </w:tcPr>
          <w:p>
            <w:pPr>
              <w:jc w:val="right"/>
              <w:ind w:right="118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537</w:t>
            </w: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537</w:t>
            </w:r>
          </w:p>
        </w:tc>
      </w:tr>
      <w:tr>
        <w:trPr>
          <w:trHeight w:val="24"/>
        </w:trPr>
        <w:tc>
          <w:tcPr>
            <w:tcW w:w="50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0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40" w:type="dxa"/>
            <w:vAlign w:val="bottom"/>
            <w:gridSpan w:val="4"/>
          </w:tcPr>
          <w:p>
            <w:pPr>
              <w:ind w:left="640"/>
              <w:spacing w:after="0"/>
              <w:rPr>
                <w:sz w:val="20"/>
                <w:szCs w:val="20"/>
                <w:color w:val="auto"/>
              </w:rPr>
            </w:pPr>
            <w:r>
              <w:rPr>
                <w:rFonts w:ascii="Times New Roman" w:cs="Times New Roman" w:eastAsia="Times New Roman" w:hAnsi="Times New Roman"/>
                <w:sz w:val="12"/>
                <w:szCs w:val="12"/>
                <w:b w:val="1"/>
                <w:bCs w:val="1"/>
                <w:color w:val="auto"/>
              </w:rPr>
              <w:t>Fair value as of December 31, 2023</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24"/>
        </w:trPr>
        <w:tc>
          <w:tcPr>
            <w:tcW w:w="50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49"/>
        </w:trPr>
        <w:tc>
          <w:tcPr>
            <w:tcW w:w="5040" w:type="dxa"/>
            <w:vAlign w:val="bottom"/>
          </w:tcPr>
          <w:p>
            <w:pPr>
              <w:spacing w:after="0"/>
              <w:rPr>
                <w:sz w:val="12"/>
                <w:szCs w:val="12"/>
                <w:color w:val="auto"/>
              </w:rPr>
            </w:pPr>
          </w:p>
        </w:tc>
        <w:tc>
          <w:tcPr>
            <w:tcW w:w="1020" w:type="dxa"/>
            <w:vAlign w:val="bottom"/>
          </w:tcPr>
          <w:p>
            <w:pPr>
              <w:jc w:val="right"/>
              <w:ind w:right="42"/>
              <w:spacing w:after="0"/>
              <w:rPr>
                <w:sz w:val="20"/>
                <w:szCs w:val="20"/>
                <w:color w:val="auto"/>
              </w:rPr>
            </w:pPr>
            <w:r>
              <w:rPr>
                <w:rFonts w:ascii="Times New Roman" w:cs="Times New Roman" w:eastAsia="Times New Roman" w:hAnsi="Times New Roman"/>
                <w:sz w:val="12"/>
                <w:szCs w:val="12"/>
                <w:b w:val="1"/>
                <w:bCs w:val="1"/>
                <w:color w:val="auto"/>
              </w:rPr>
              <w:t>Level 1</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ind w:left="560"/>
              <w:spacing w:after="0"/>
              <w:rPr>
                <w:sz w:val="20"/>
                <w:szCs w:val="20"/>
                <w:color w:val="auto"/>
              </w:rPr>
            </w:pPr>
            <w:r>
              <w:rPr>
                <w:rFonts w:ascii="Times New Roman" w:cs="Times New Roman" w:eastAsia="Times New Roman" w:hAnsi="Times New Roman"/>
                <w:sz w:val="12"/>
                <w:szCs w:val="12"/>
                <w:b w:val="1"/>
                <w:bCs w:val="1"/>
                <w:color w:val="auto"/>
              </w:rPr>
              <w:t>Level 2</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ind w:left="560"/>
              <w:spacing w:after="0"/>
              <w:rPr>
                <w:sz w:val="20"/>
                <w:szCs w:val="20"/>
                <w:color w:val="auto"/>
              </w:rPr>
            </w:pPr>
            <w:r>
              <w:rPr>
                <w:rFonts w:ascii="Times New Roman" w:cs="Times New Roman" w:eastAsia="Times New Roman" w:hAnsi="Times New Roman"/>
                <w:sz w:val="12"/>
                <w:szCs w:val="12"/>
                <w:b w:val="1"/>
                <w:bCs w:val="1"/>
                <w:color w:val="auto"/>
              </w:rPr>
              <w:t>Level 3</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21"/>
        </w:trPr>
        <w:tc>
          <w:tcPr>
            <w:tcW w:w="504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50"/>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Liabilities:</w:t>
            </w:r>
          </w:p>
        </w:tc>
        <w:tc>
          <w:tcPr>
            <w:tcW w:w="102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10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spacing w:after="0"/>
              <w:rPr>
                <w:sz w:val="13"/>
                <w:szCs w:val="13"/>
                <w:color w:val="auto"/>
              </w:rPr>
            </w:pPr>
          </w:p>
        </w:tc>
      </w:tr>
      <w:tr>
        <w:trPr>
          <w:trHeight w:val="156"/>
        </w:trPr>
        <w:tc>
          <w:tcPr>
            <w:tcW w:w="50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Asset retirement obligation</w:t>
            </w:r>
          </w:p>
        </w:tc>
        <w:tc>
          <w:tcPr>
            <w:tcW w:w="1020" w:type="dxa"/>
            <w:vAlign w:val="bottom"/>
          </w:tcPr>
          <w:p>
            <w:pPr>
              <w:jc w:val="right"/>
              <w:ind w:right="902"/>
              <w:spacing w:after="0"/>
              <w:rPr>
                <w:sz w:val="20"/>
                <w:szCs w:val="20"/>
                <w:color w:val="auto"/>
              </w:rPr>
            </w:pPr>
            <w:r>
              <w:rPr>
                <w:rFonts w:ascii="Times New Roman" w:cs="Times New Roman" w:eastAsia="Times New Roman" w:hAnsi="Times New Roman"/>
                <w:sz w:val="11"/>
                <w:szCs w:val="11"/>
                <w:color w:val="auto"/>
                <w:w w:val="71"/>
              </w:rPr>
              <w:t>$</w:t>
            </w:r>
          </w:p>
        </w:tc>
        <w:tc>
          <w:tcPr>
            <w:tcW w:w="1660" w:type="dxa"/>
            <w:vAlign w:val="bottom"/>
            <w:gridSpan w:val="3"/>
          </w:tcPr>
          <w:p>
            <w:pPr>
              <w:ind w:left="300"/>
              <w:spacing w:after="0"/>
              <w:rPr>
                <w:sz w:val="20"/>
                <w:szCs w:val="20"/>
                <w:color w:val="auto"/>
              </w:rPr>
            </w:pPr>
            <w:r>
              <w:rPr>
                <w:rFonts w:ascii="Times New Roman" w:cs="Times New Roman" w:eastAsia="Times New Roman" w:hAnsi="Times New Roman"/>
                <w:sz w:val="12"/>
                <w:szCs w:val="12"/>
                <w:color w:val="auto"/>
              </w:rPr>
              <w:t>—   $</w:t>
            </w:r>
          </w:p>
        </w:tc>
        <w:tc>
          <w:tcPr>
            <w:tcW w:w="1540" w:type="dxa"/>
            <w:vAlign w:val="bottom"/>
            <w:gridSpan w:val="3"/>
          </w:tcPr>
          <w:p>
            <w:pPr>
              <w:ind w:left="220"/>
              <w:spacing w:after="0"/>
              <w:rPr>
                <w:sz w:val="20"/>
                <w:szCs w:val="20"/>
                <w:color w:val="auto"/>
              </w:rPr>
            </w:pPr>
            <w:r>
              <w:rPr>
                <w:rFonts w:ascii="Times New Roman" w:cs="Times New Roman" w:eastAsia="Times New Roman" w:hAnsi="Times New Roman"/>
                <w:sz w:val="12"/>
                <w:szCs w:val="12"/>
                <w:color w:val="auto"/>
              </w:rPr>
              <w:t>—   $</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6,728</w:t>
            </w:r>
          </w:p>
        </w:tc>
        <w:tc>
          <w:tcPr>
            <w:tcW w:w="100" w:type="dxa"/>
            <w:vAlign w:val="bottom"/>
          </w:tcPr>
          <w:p>
            <w:pPr>
              <w:spacing w:after="0"/>
              <w:rPr>
                <w:sz w:val="13"/>
                <w:szCs w:val="13"/>
                <w:color w:val="auto"/>
              </w:rPr>
            </w:pP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6,728</w:t>
            </w:r>
          </w:p>
        </w:tc>
      </w:tr>
      <w:tr>
        <w:trPr>
          <w:trHeight w:val="24"/>
        </w:trPr>
        <w:tc>
          <w:tcPr>
            <w:tcW w:w="50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60"/>
        </w:trPr>
        <w:tc>
          <w:tcPr>
            <w:tcW w:w="50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Earnout liabilities</w:t>
            </w:r>
          </w:p>
        </w:tc>
        <w:tc>
          <w:tcPr>
            <w:tcW w:w="1020" w:type="dxa"/>
            <w:vAlign w:val="bottom"/>
            <w:tcBorders>
              <w:bottom w:val="single" w:sz="8" w:color="CCEEFF"/>
            </w:tcBorders>
            <w:shd w:val="clear" w:color="auto" w:fill="CCEEFF"/>
          </w:tcPr>
          <w:p>
            <w:pPr>
              <w:spacing w:after="0"/>
              <w:rPr>
                <w:sz w:val="13"/>
                <w:szCs w:val="13"/>
                <w:color w:val="auto"/>
              </w:rPr>
            </w:pPr>
          </w:p>
        </w:tc>
        <w:tc>
          <w:tcPr>
            <w:tcW w:w="1660" w:type="dxa"/>
            <w:vAlign w:val="bottom"/>
            <w:tcBorders>
              <w:bottom w:val="single" w:sz="8" w:color="CCEEFF"/>
            </w:tcBorders>
            <w:gridSpan w:val="3"/>
            <w:shd w:val="clear" w:color="auto" w:fill="CCEEFF"/>
          </w:tcPr>
          <w:p>
            <w:pPr>
              <w:jc w:val="right"/>
              <w:ind w:right="1180"/>
              <w:spacing w:after="0"/>
              <w:rPr>
                <w:sz w:val="20"/>
                <w:szCs w:val="20"/>
                <w:color w:val="auto"/>
              </w:rPr>
            </w:pPr>
            <w:r>
              <w:rPr>
                <w:rFonts w:ascii="Times New Roman" w:cs="Times New Roman" w:eastAsia="Times New Roman" w:hAnsi="Times New Roman"/>
                <w:sz w:val="12"/>
                <w:szCs w:val="12"/>
                <w:color w:val="auto"/>
              </w:rPr>
              <w:t>—</w:t>
            </w:r>
          </w:p>
        </w:tc>
        <w:tc>
          <w:tcPr>
            <w:tcW w:w="1540" w:type="dxa"/>
            <w:vAlign w:val="bottom"/>
            <w:tcBorders>
              <w:bottom w:val="single" w:sz="8" w:color="CCEEFF"/>
            </w:tcBorders>
            <w:gridSpan w:val="3"/>
            <w:shd w:val="clear" w:color="auto" w:fill="CCEEFF"/>
          </w:tcPr>
          <w:p>
            <w:pPr>
              <w:jc w:val="right"/>
              <w:ind w:right="114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1,900</w:t>
            </w:r>
          </w:p>
        </w:tc>
        <w:tc>
          <w:tcPr>
            <w:tcW w:w="1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1,900</w:t>
            </w:r>
          </w:p>
        </w:tc>
      </w:tr>
      <w:tr>
        <w:trPr>
          <w:trHeight w:val="156"/>
        </w:trPr>
        <w:tc>
          <w:tcPr>
            <w:tcW w:w="50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Assets:</w:t>
            </w:r>
          </w:p>
        </w:tc>
        <w:tc>
          <w:tcPr>
            <w:tcW w:w="10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24"/>
        </w:trPr>
        <w:tc>
          <w:tcPr>
            <w:tcW w:w="50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80"/>
        </w:trPr>
        <w:tc>
          <w:tcPr>
            <w:tcW w:w="5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 xml:space="preserve">Cash and cash equivalents and restricted cash - current and non-current </w:t>
            </w:r>
            <w:r>
              <w:rPr>
                <w:rFonts w:ascii="Times New Roman" w:cs="Times New Roman" w:eastAsia="Times New Roman" w:hAnsi="Times New Roman"/>
                <w:sz w:val="15"/>
                <w:szCs w:val="15"/>
                <w:color w:val="auto"/>
                <w:vertAlign w:val="superscript"/>
              </w:rPr>
              <w:t>(1)</w:t>
            </w:r>
          </w:p>
        </w:tc>
        <w:tc>
          <w:tcPr>
            <w:tcW w:w="10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47,242</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540" w:type="dxa"/>
            <w:vAlign w:val="bottom"/>
            <w:gridSpan w:val="3"/>
            <w:shd w:val="clear" w:color="auto" w:fill="CCEEFF"/>
          </w:tcPr>
          <w:p>
            <w:pPr>
              <w:jc w:val="right"/>
              <w:ind w:right="114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47,242</w:t>
            </w:r>
          </w:p>
        </w:tc>
      </w:tr>
      <w:tr>
        <w:trPr>
          <w:trHeight w:val="156"/>
        </w:trPr>
        <w:tc>
          <w:tcPr>
            <w:tcW w:w="50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Short term investments</w:t>
            </w:r>
          </w:p>
        </w:tc>
        <w:tc>
          <w:tcPr>
            <w:tcW w:w="10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9,875</w:t>
            </w: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540" w:type="dxa"/>
            <w:vAlign w:val="bottom"/>
            <w:gridSpan w:val="3"/>
          </w:tcPr>
          <w:p>
            <w:pPr>
              <w:jc w:val="right"/>
              <w:ind w:right="114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9,875</w:t>
            </w:r>
          </w:p>
        </w:tc>
      </w:tr>
      <w:tr>
        <w:trPr>
          <w:trHeight w:val="24"/>
        </w:trPr>
        <w:tc>
          <w:tcPr>
            <w:tcW w:w="50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56"/>
        </w:trPr>
        <w:tc>
          <w:tcPr>
            <w:tcW w:w="5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Commodity swap contracts</w:t>
            </w:r>
          </w:p>
        </w:tc>
        <w:tc>
          <w:tcPr>
            <w:tcW w:w="1020" w:type="dxa"/>
            <w:vAlign w:val="bottom"/>
            <w:shd w:val="clear" w:color="auto" w:fill="CCEEFF"/>
          </w:tcPr>
          <w:p>
            <w:pPr>
              <w:spacing w:after="0"/>
              <w:rPr>
                <w:sz w:val="13"/>
                <w:szCs w:val="13"/>
                <w:color w:val="auto"/>
              </w:rPr>
            </w:pPr>
          </w:p>
        </w:tc>
        <w:tc>
          <w:tcPr>
            <w:tcW w:w="1660" w:type="dxa"/>
            <w:vAlign w:val="bottom"/>
            <w:gridSpan w:val="3"/>
            <w:shd w:val="clear" w:color="auto" w:fill="CCEEFF"/>
          </w:tcPr>
          <w:p>
            <w:pPr>
              <w:jc w:val="right"/>
              <w:ind w:right="118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633</w:t>
            </w: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633</w:t>
            </w:r>
          </w:p>
        </w:tc>
      </w:tr>
      <w:tr>
        <w:trPr>
          <w:trHeight w:val="24"/>
        </w:trPr>
        <w:tc>
          <w:tcPr>
            <w:tcW w:w="50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117" w:lineRule="exact"/>
        <w:rPr>
          <w:sz w:val="20"/>
          <w:szCs w:val="20"/>
          <w:color w:val="auto"/>
        </w:rPr>
      </w:pPr>
    </w:p>
    <w:p>
      <w:pPr>
        <w:ind w:left="120" w:hanging="120"/>
        <w:spacing w:after="0"/>
        <w:tabs>
          <w:tab w:leader="none" w:pos="120" w:val="left"/>
        </w:tabs>
        <w:numPr>
          <w:ilvl w:val="0"/>
          <w:numId w:val="19"/>
        </w:numPr>
        <w:rPr>
          <w:rFonts w:ascii="Times New Roman" w:cs="Times New Roman" w:eastAsia="Times New Roman" w:hAnsi="Times New Roman"/>
          <w:sz w:val="7"/>
          <w:szCs w:val="7"/>
          <w:color w:val="auto"/>
        </w:rPr>
      </w:pPr>
      <w:r>
        <w:rPr>
          <w:rFonts w:ascii="Times New Roman" w:cs="Times New Roman" w:eastAsia="Times New Roman" w:hAnsi="Times New Roman"/>
          <w:sz w:val="13"/>
          <w:szCs w:val="13"/>
          <w:color w:val="auto"/>
        </w:rPr>
        <w:t>Includes balances in money market accounts of $18,854 and $31,965, respectively as of March 31, 2024 and December 31, 2023.</w:t>
      </w:r>
    </w:p>
    <w:p>
      <w:pPr>
        <w:spacing w:after="0" w:line="17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 xml:space="preserve">A summary of changes in the fair values of the Company’s Level 3 instruments, attributable to asset retirement obligations, for the three months ended March 31, 2024 is included in Note 2, </w:t>
      </w:r>
      <w:r>
        <w:rPr>
          <w:rFonts w:ascii="Times New Roman" w:cs="Times New Roman" w:eastAsia="Times New Roman" w:hAnsi="Times New Roman"/>
          <w:sz w:val="13"/>
          <w:szCs w:val="13"/>
          <w:i w:val="1"/>
          <w:iCs w:val="1"/>
          <w:color w:val="auto"/>
        </w:rPr>
        <w:t>Summary of</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Significant Accounting Policies</w:t>
      </w:r>
      <w:r>
        <w:rPr>
          <w:rFonts w:ascii="Times New Roman" w:cs="Times New Roman" w:eastAsia="Times New Roman" w:hAnsi="Times New Roman"/>
          <w:sz w:val="13"/>
          <w:szCs w:val="13"/>
          <w:color w:val="auto"/>
        </w:rPr>
        <w:t>.</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10. Related Parties</w:t>
      </w:r>
    </w:p>
    <w:p>
      <w:pPr>
        <w:spacing w:after="0" w:line="14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Related parties are represented by Fortistar and other affiliates, subsidiaries and other entities under common control with Fortistar or NextEra.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Sale of non-controlling interests to Related Parties</w:t>
      </w:r>
    </w:p>
    <w:p>
      <w:pPr>
        <w:spacing w:after="0" w:line="123" w:lineRule="exact"/>
        <w:rPr>
          <w:sz w:val="20"/>
          <w:szCs w:val="20"/>
          <w:color w:val="auto"/>
        </w:rPr>
      </w:pPr>
    </w:p>
    <w:p>
      <w:pPr>
        <w:jc w:val="both"/>
        <w:ind w:firstLine="240"/>
        <w:spacing w:after="0" w:line="275" w:lineRule="auto"/>
        <w:rPr>
          <w:sz w:val="20"/>
          <w:szCs w:val="20"/>
          <w:color w:val="auto"/>
        </w:rPr>
      </w:pPr>
      <w:r>
        <w:rPr>
          <w:rFonts w:ascii="Times New Roman" w:cs="Times New Roman" w:eastAsia="Times New Roman" w:hAnsi="Times New Roman"/>
          <w:sz w:val="13"/>
          <w:szCs w:val="13"/>
          <w:color w:val="auto"/>
        </w:rPr>
        <w:t>On November 29, 2021, as part of an exchange agreement, OPAL Fuels issued 14 newly authorized common units and 300,000 Series A-1 preferred units to Hillman in return for Hillman’s non-controlling interest in four RNG project subsidiaries for total consideration of $30,000. Upon the consummation of the Business Combination, the Series A-1 preferred units have been converted to Redeemable preferred non-controlling interests. The Company recorded preferred dividend of $604 for the three months ended March 31, 2024 and a paid-in-kind dividend of $655 for the three months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167640</wp:posOffset>
            </wp:positionV>
            <wp:extent cx="7193280"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207"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3"/>
          <w:szCs w:val="13"/>
          <w:color w:val="auto"/>
        </w:rPr>
        <w:t xml:space="preserve">ended March 31, 2023. Please see Note 13. </w:t>
      </w:r>
      <w:r>
        <w:rPr>
          <w:rFonts w:ascii="Times New Roman" w:cs="Times New Roman" w:eastAsia="Times New Roman" w:hAnsi="Times New Roman"/>
          <w:sz w:val="13"/>
          <w:szCs w:val="13"/>
          <w:i w:val="1"/>
          <w:iCs w:val="1"/>
          <w:color w:val="auto"/>
        </w:rPr>
        <w:t>Redeemable non-controlling interests, Redeemable preferred non-controlling interests and Stockholders' Deficit,</w:t>
      </w:r>
      <w:r>
        <w:rPr>
          <w:rFonts w:ascii="Times New Roman" w:cs="Times New Roman" w:eastAsia="Times New Roman" w:hAnsi="Times New Roman"/>
          <w:sz w:val="13"/>
          <w:szCs w:val="13"/>
          <w:color w:val="auto"/>
        </w:rPr>
        <w:t xml:space="preserve"> for additional information.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Issuance of Redeemable preferred non-controlling interests</w:t>
      </w:r>
    </w:p>
    <w:p>
      <w:pPr>
        <w:spacing w:after="0" w:line="193" w:lineRule="exact"/>
        <w:rPr>
          <w:sz w:val="20"/>
          <w:szCs w:val="20"/>
          <w:color w:val="auto"/>
        </w:rPr>
      </w:pPr>
    </w:p>
    <w:p>
      <w:pPr>
        <w:jc w:val="both"/>
        <w:ind w:firstLine="480"/>
        <w:spacing w:after="0" w:line="269" w:lineRule="auto"/>
        <w:rPr>
          <w:sz w:val="20"/>
          <w:szCs w:val="20"/>
          <w:color w:val="auto"/>
        </w:rPr>
      </w:pPr>
      <w:r>
        <w:rPr>
          <w:rFonts w:ascii="Times New Roman" w:cs="Times New Roman" w:eastAsia="Times New Roman" w:hAnsi="Times New Roman"/>
          <w:sz w:val="13"/>
          <w:szCs w:val="13"/>
          <w:color w:val="auto"/>
        </w:rPr>
        <w:t xml:space="preserve">On November 29, 2021, NextEra subscribed for up to 1,000,000 Series A preferred units, which are issuable (in whole or in increments) at the Company’s discretion prior to June 30, 2022. During the year ended December 31, 2022, the Company had drawn $100,000 and issued 1,000,000 Series A preferred units. The Company recorded preferred dividend of $2,014 for the three months ended March 31, 2024 and a paid-in-kind dividend of $2,108 for the three months ended March 31, 2023. Please see Note 13. </w:t>
      </w:r>
      <w:r>
        <w:rPr>
          <w:rFonts w:ascii="Times New Roman" w:cs="Times New Roman" w:eastAsia="Times New Roman" w:hAnsi="Times New Roman"/>
          <w:sz w:val="13"/>
          <w:szCs w:val="13"/>
          <w:i w:val="1"/>
          <w:iCs w:val="1"/>
          <w:color w:val="auto"/>
        </w:rPr>
        <w:t>Redeemable non-controlling interests, Redeemable preferred non-controlling interests and Stockholders'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deficit</w:t>
      </w:r>
      <w:r>
        <w:rPr>
          <w:rFonts w:ascii="Times New Roman" w:cs="Times New Roman" w:eastAsia="Times New Roman" w:hAnsi="Times New Roman"/>
          <w:sz w:val="13"/>
          <w:szCs w:val="13"/>
          <w:color w:val="auto"/>
        </w:rPr>
        <w:t>, for additional information.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Purchase and sale agreement for Environmental Attributes</w:t>
      </w:r>
    </w:p>
    <w:p>
      <w:pPr>
        <w:spacing w:after="0" w:line="183" w:lineRule="exact"/>
        <w:rPr>
          <w:sz w:val="20"/>
          <w:szCs w:val="20"/>
          <w:color w:val="auto"/>
        </w:rPr>
      </w:pPr>
    </w:p>
    <w:p>
      <w:pPr>
        <w:jc w:val="both"/>
        <w:ind w:firstLine="480"/>
        <w:spacing w:after="0" w:line="266" w:lineRule="auto"/>
        <w:rPr>
          <w:sz w:val="20"/>
          <w:szCs w:val="20"/>
          <w:color w:val="auto"/>
        </w:rPr>
      </w:pPr>
      <w:r>
        <w:rPr>
          <w:rFonts w:ascii="Times New Roman" w:cs="Times New Roman" w:eastAsia="Times New Roman" w:hAnsi="Times New Roman"/>
          <w:sz w:val="13"/>
          <w:szCs w:val="13"/>
          <w:color w:val="auto"/>
        </w:rPr>
        <w:t xml:space="preserve">On November 29, 2021, the Company entered into a purchase and sale agreement with NextEra for the Environmental Attributes generated by the RNG Fuels business. Under this agreement, the Company plans to sell a minimum of 90% of the Environmental Attributes generated and will receive net proceeds based on the agreed upon price less a specified discount. A specified volume of Environmental Attributes sold per quarter will incur a fee per Environmental Attribute in addition to the specified discount. The agreement was effective beginning January 1, 2022. For the three months ended March 31, 2024 and 2023, the Company earned net revenues after discount and fees of $15,495 and $4,715 for RNG fuel and $7,741 and $1,493 for Fuel Station Services, respectively, under this contract which was recorded as part of Revenues - RNG fuel and Fuel Station Services. Please see Note 2. </w:t>
      </w:r>
      <w:r>
        <w:rPr>
          <w:rFonts w:ascii="Times New Roman" w:cs="Times New Roman" w:eastAsia="Times New Roman" w:hAnsi="Times New Roman"/>
          <w:sz w:val="13"/>
          <w:szCs w:val="13"/>
          <w:i w:val="1"/>
          <w:iCs w:val="1"/>
          <w:color w:val="auto"/>
        </w:rPr>
        <w:t>Summary of Significant Accounting Policies</w:t>
      </w:r>
      <w:r>
        <w:rPr>
          <w:rFonts w:ascii="Times New Roman" w:cs="Times New Roman" w:eastAsia="Times New Roman" w:hAnsi="Times New Roman"/>
          <w:sz w:val="13"/>
          <w:szCs w:val="13"/>
          <w:color w:val="auto"/>
        </w:rPr>
        <w:t xml:space="preserve"> for additional information.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Commodity swap contracts under ISDA and REC sales contracts</w:t>
      </w:r>
    </w:p>
    <w:p>
      <w:pPr>
        <w:spacing w:after="0" w:line="183" w:lineRule="exact"/>
        <w:rPr>
          <w:sz w:val="20"/>
          <w:szCs w:val="20"/>
          <w:color w:val="auto"/>
        </w:rPr>
      </w:pPr>
    </w:p>
    <w:p>
      <w:pPr>
        <w:jc w:val="both"/>
        <w:ind w:firstLine="480"/>
        <w:spacing w:after="0" w:line="269" w:lineRule="auto"/>
        <w:rPr>
          <w:sz w:val="20"/>
          <w:szCs w:val="20"/>
          <w:color w:val="auto"/>
        </w:rPr>
      </w:pPr>
      <w:r>
        <w:rPr>
          <w:rFonts w:ascii="Times New Roman" w:cs="Times New Roman" w:eastAsia="Times New Roman" w:hAnsi="Times New Roman"/>
          <w:sz w:val="13"/>
          <w:szCs w:val="13"/>
          <w:color w:val="auto"/>
        </w:rPr>
        <w:t xml:space="preserve">The Company entered into an ISDA agreement with NextEra in November 2019. Pursuant to the agreement, the Company enters into commodity swap contracts on a periodic basis. As of March 31, 2024 and December 31, 2023, there were two commodity swap contracts outstanding. The Company records the realized and unrealized gain (loss) on these commodity swap contracts as part of Revenues - Renewable Power. Please see Note 9. </w:t>
      </w:r>
      <w:r>
        <w:rPr>
          <w:rFonts w:ascii="Times New Roman" w:cs="Times New Roman" w:eastAsia="Times New Roman" w:hAnsi="Times New Roman"/>
          <w:sz w:val="13"/>
          <w:szCs w:val="13"/>
          <w:i w:val="1"/>
          <w:iCs w:val="1"/>
          <w:color w:val="auto"/>
        </w:rPr>
        <w:t>Derivative Financial Instruments and Fair Value Measurements</w:t>
      </w:r>
      <w:r>
        <w:rPr>
          <w:rFonts w:ascii="Times New Roman" w:cs="Times New Roman" w:eastAsia="Times New Roman" w:hAnsi="Times New Roman"/>
          <w:sz w:val="13"/>
          <w:szCs w:val="13"/>
          <w:color w:val="auto"/>
        </w:rPr>
        <w:t xml:space="preserve"> for additional information. Additionally, the Company has contracts to sell RECs and capacity to NextEra on multiple Renewable Power facilities at market price. The Company recorded $1,526 and $1,527 under these contracts for the three months ended March 31, 2024 and 2023.</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Purchase of investments from Related Parties</w:t>
      </w:r>
    </w:p>
    <w:p>
      <w:pPr>
        <w:spacing w:after="0" w:line="123" w:lineRule="exact"/>
        <w:rPr>
          <w:sz w:val="20"/>
          <w:szCs w:val="20"/>
          <w:color w:val="auto"/>
        </w:rPr>
      </w:pPr>
    </w:p>
    <w:p>
      <w:pPr>
        <w:jc w:val="both"/>
        <w:ind w:firstLine="240"/>
        <w:spacing w:after="0" w:line="269" w:lineRule="auto"/>
        <w:rPr>
          <w:sz w:val="20"/>
          <w:szCs w:val="20"/>
          <w:color w:val="auto"/>
        </w:rPr>
      </w:pPr>
      <w:r>
        <w:rPr>
          <w:rFonts w:ascii="Times New Roman" w:cs="Times New Roman" w:eastAsia="Times New Roman" w:hAnsi="Times New Roman"/>
          <w:sz w:val="13"/>
          <w:szCs w:val="13"/>
          <w:color w:val="auto"/>
        </w:rPr>
        <w:t>In August 2021, the Company acquired a 100% of the ownership interests in Reynolds, an RNG production facility for $12,020 which was funded with cash on hand. Reynolds held an equity investment of 1,570 Class B units in GREP representing 20% interest for a cash consideration of $1,570 which owns 50% of Biotown, a power generation facility under development to convert to an RNG facility. The Reynolds transaction was an asset acquisition from an affiliate under common control. The Company accounts for its 20% equity investment in GREP under the equity method. The Company recorded a net loss of $71 and $203 as its share of net loss for the three months ended March 31, 2024 and 2023.</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Revenues contracts with equity method investment entities</w:t>
      </w:r>
    </w:p>
    <w:p>
      <w:pPr>
        <w:spacing w:after="0" w:line="113" w:lineRule="exact"/>
        <w:rPr>
          <w:sz w:val="20"/>
          <w:szCs w:val="20"/>
          <w:color w:val="auto"/>
        </w:rPr>
      </w:pPr>
    </w:p>
    <w:p>
      <w:pPr>
        <w:jc w:val="both"/>
        <w:ind w:firstLine="240"/>
        <w:spacing w:after="0" w:line="269" w:lineRule="auto"/>
        <w:rPr>
          <w:sz w:val="20"/>
          <w:szCs w:val="20"/>
          <w:color w:val="auto"/>
        </w:rPr>
      </w:pPr>
      <w:r>
        <w:rPr>
          <w:rFonts w:ascii="Times New Roman" w:cs="Times New Roman" w:eastAsia="Times New Roman" w:hAnsi="Times New Roman"/>
          <w:sz w:val="13"/>
          <w:szCs w:val="13"/>
          <w:color w:val="auto"/>
        </w:rPr>
        <w:t>The Company's wholly owned subsidiary, OPAL Fuel Station Services contracted with Pine Bend in December 2020, Noble Road in March 2021, Biotown in July 2021 and Emerald in December 2021 to dispense RNG and to generate and market resulting RINs. The Company receives non-cash consideration in the form of RINs or LCFSs for providing these services and recognizes the RINs and LCFSs received as inventory based on their estimated fair value at contract inception. Additionally, OPAL Fuel Station Services provides the same services to all wholly-owned subsidiaries of the Company. The revenues earned from the wholly-owned entities are fully eliminated in the condensed consolidated financial statements.</w:t>
      </w:r>
    </w:p>
    <w:p>
      <w:pPr>
        <w:spacing w:after="0" w:line="80" w:lineRule="exact"/>
        <w:rPr>
          <w:sz w:val="20"/>
          <w:szCs w:val="20"/>
          <w:color w:val="auto"/>
        </w:rPr>
      </w:pPr>
    </w:p>
    <w:p>
      <w:pPr>
        <w:jc w:val="both"/>
        <w:ind w:firstLine="240"/>
        <w:spacing w:after="0" w:line="275" w:lineRule="auto"/>
        <w:rPr>
          <w:sz w:val="20"/>
          <w:szCs w:val="20"/>
          <w:color w:val="auto"/>
        </w:rPr>
      </w:pPr>
      <w:r>
        <w:rPr>
          <w:rFonts w:ascii="Times New Roman" w:cs="Times New Roman" w:eastAsia="Times New Roman" w:hAnsi="Times New Roman"/>
          <w:sz w:val="13"/>
          <w:szCs w:val="13"/>
          <w:color w:val="auto"/>
        </w:rPr>
        <w:t>The term of this contract runs for a term of 10 years. The Company receives non-cash consideration in the form of RINs or LCFSs for providing these services and recognizes the RINs or LCFSs received as inventory based on their estimated fair value at contract inception. Pine Bend and Noble Road came online in the first and third quarter of 2022 and Emerald in the third quarter of 2023. For the three months ended March 31, 2024 and 2023, the Company earned</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161290</wp:posOffset>
            </wp:positionV>
            <wp:extent cx="7193280"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316" w:right="319" w:bottom="1440" w:gutter="0" w:footer="0" w:header="0"/>
        </w:sectPr>
      </w:pPr>
    </w:p>
    <w:bookmarkStart w:id="35" w:name="page36"/>
    <w:bookmarkEnd w:id="35"/>
    <w:p>
      <w:pPr>
        <w:jc w:val="both"/>
        <w:spacing w:after="0" w:line="267" w:lineRule="auto"/>
        <w:rPr>
          <w:sz w:val="20"/>
          <w:szCs w:val="20"/>
          <w:color w:val="auto"/>
        </w:rPr>
      </w:pPr>
      <w:r>
        <w:rPr>
          <w:rFonts w:ascii="Times New Roman" w:cs="Times New Roman" w:eastAsia="Times New Roman" w:hAnsi="Times New Roman"/>
          <w:sz w:val="13"/>
          <w:szCs w:val="13"/>
          <w:color w:val="auto"/>
        </w:rPr>
        <w:t>environmental processing fees of $2,339 and $585 net of intersegment elimination, under this agreement which are included in Fuel Station Services revenues in the condensed consolidated statements of operations.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Service agreements with Related Parties</w:t>
      </w:r>
    </w:p>
    <w:p>
      <w:pPr>
        <w:spacing w:after="0" w:line="123"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3"/>
          <w:szCs w:val="13"/>
          <w:color w:val="auto"/>
        </w:rPr>
        <w:t>On December 31, 2020, OPAL Fuels signed a management, operations, and maintenance services agreement (“Administrative Services Agreement”) with Fortistar LLC ("Fortistar"), pursuant to which Fortistar provides management, operations, and maintenance services to the Company. The agreement expires on December 31, 2023 with an auto renewal option on an annual basis, unless either party chooses to terminate with a written notice of 180 days termination occurs earlier due to dissolution of the Company or the agreement is terminated by the Company’s secured lenders in certain circumstances. The agreement provides for payment of service fees based on actual time incurred at contractually agreed rates provided for in the Administrative Services Agreement, as well as a fixed annual payment of $580 per year adjusted annually for inflation. Additionally, the agreement provides for the Company to receive credits for any services provided by the Company's employees to Fortistar. For the three months ended March 31, 2024 and 2023, there have been no material services provided by the Company's employees to Fortistar.</w:t>
      </w:r>
    </w:p>
    <w:p>
      <w:pPr>
        <w:spacing w:after="0" w:line="104" w:lineRule="exact"/>
        <w:rPr>
          <w:sz w:val="20"/>
          <w:szCs w:val="20"/>
          <w:color w:val="auto"/>
        </w:rPr>
      </w:pPr>
    </w:p>
    <w:p>
      <w:pPr>
        <w:jc w:val="both"/>
        <w:ind w:firstLine="240"/>
        <w:spacing w:after="0" w:line="269" w:lineRule="auto"/>
        <w:rPr>
          <w:sz w:val="20"/>
          <w:szCs w:val="20"/>
          <w:color w:val="auto"/>
        </w:rPr>
      </w:pPr>
      <w:r>
        <w:rPr>
          <w:rFonts w:ascii="Times New Roman" w:cs="Times New Roman" w:eastAsia="Times New Roman" w:hAnsi="Times New Roman"/>
          <w:sz w:val="13"/>
          <w:szCs w:val="13"/>
          <w:color w:val="auto"/>
        </w:rPr>
        <w:t>In June 2021, the company entered into a management services agreement with Costar Partners LLC (“Costar”), an affiliate of Fortistar. Pursuant to the agreement, Costar provides information technology (“IT”) support services, software use, licensing services, management of third party infrastructure and security services and additional IT services as needed by the Company. The agreement provides for Costar to be compensated based on actual costs incurred and licensing fees per user for certain software applications. The agreement expires in June 2024 unless the termination occurs earlier due to dissolution of the Company or it is terminated by the Company’s secured lenders in certain circumstances.</w:t>
      </w:r>
    </w:p>
    <w:p>
      <w:pPr>
        <w:spacing w:after="0" w:line="80" w:lineRule="exact"/>
        <w:rPr>
          <w:sz w:val="20"/>
          <w:szCs w:val="20"/>
          <w:color w:val="auto"/>
        </w:rPr>
      </w:pPr>
    </w:p>
    <w:p>
      <w:pPr>
        <w:jc w:val="both"/>
        <w:ind w:firstLine="240"/>
        <w:spacing w:after="0" w:line="269" w:lineRule="auto"/>
        <w:rPr>
          <w:sz w:val="20"/>
          <w:szCs w:val="20"/>
          <w:color w:val="auto"/>
        </w:rPr>
      </w:pPr>
      <w:r>
        <w:rPr>
          <w:rFonts w:ascii="Times New Roman" w:cs="Times New Roman" w:eastAsia="Times New Roman" w:hAnsi="Times New Roman"/>
          <w:sz w:val="13"/>
          <w:szCs w:val="13"/>
          <w:color w:val="auto"/>
        </w:rPr>
        <w:t>On October 10, 2023, the board of directors of the Company appointed Mr. Scott Contino as Interim CFO. Mr. Contino has served as Fortistar's CFO for the past eighteen years. In connection with the appointment, the Company entered into an interim services agreement ("Interim Services Agreement") with Fortistar in accordance with the terms and conditions of the existing Administrative Services Agreement. Pursuant to the Interim Services Agreement, the Company will pay Fortistar an agreed hourly rate, such that the monthly fee does not exceed $50,000, on a cumulative basis. For the three months ended March 31, 2024, the Company paid $150 which is included in Selling, general and administrative expenses in the consolidated statement of operations.</w:t>
      </w:r>
    </w:p>
    <w:p>
      <w:pPr>
        <w:spacing w:after="0" w:line="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 following table summarizes the various fees recorded under the agreements described above which are included in "Selling, general, and administrative" expenses:</w:t>
      </w:r>
    </w:p>
    <w:p>
      <w:pPr>
        <w:spacing w:after="0" w:line="217" w:lineRule="exact"/>
        <w:rPr>
          <w:sz w:val="20"/>
          <w:szCs w:val="20"/>
          <w:color w:val="auto"/>
        </w:rPr>
      </w:pPr>
    </w:p>
    <w:tbl>
      <w:tblPr>
        <w:tblLayout w:type="fixed"/>
        <w:tblInd w:w="320" w:type="dxa"/>
        <w:tblCellMar>
          <w:top w:w="0" w:type="dxa"/>
          <w:left w:w="0" w:type="dxa"/>
          <w:bottom w:w="0" w:type="dxa"/>
          <w:right w:w="0" w:type="dxa"/>
        </w:tblCellMar>
      </w:tblPr>
      <w:tr>
        <w:trPr>
          <w:trHeight w:val="177"/>
        </w:trPr>
        <w:tc>
          <w:tcPr>
            <w:tcW w:w="6220" w:type="dxa"/>
            <w:vAlign w:val="bottom"/>
          </w:tcPr>
          <w:p>
            <w:pPr>
              <w:spacing w:after="0"/>
              <w:rPr>
                <w:sz w:val="15"/>
                <w:szCs w:val="15"/>
                <w:color w:val="auto"/>
              </w:rPr>
            </w:pPr>
          </w:p>
        </w:tc>
        <w:tc>
          <w:tcPr>
            <w:tcW w:w="2620" w:type="dxa"/>
            <w:vAlign w:val="bottom"/>
            <w:tcBorders>
              <w:bottom w:val="single" w:sz="8" w:color="auto"/>
            </w:tcBorders>
            <w:gridSpan w:val="4"/>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500" w:type="dxa"/>
            <w:vAlign w:val="bottom"/>
            <w:tcBorders>
              <w:bottom w:val="single" w:sz="8" w:color="auto"/>
            </w:tcBorders>
          </w:tcPr>
          <w:p>
            <w:pPr>
              <w:spacing w:after="0"/>
              <w:rPr>
                <w:sz w:val="15"/>
                <w:szCs w:val="15"/>
                <w:color w:val="auto"/>
              </w:rPr>
            </w:pPr>
          </w:p>
        </w:tc>
      </w:tr>
      <w:tr>
        <w:trPr>
          <w:trHeight w:val="160"/>
        </w:trPr>
        <w:tc>
          <w:tcPr>
            <w:tcW w:w="6220" w:type="dxa"/>
            <w:vAlign w:val="bottom"/>
            <w:tcBorders>
              <w:bottom w:val="single" w:sz="8" w:color="CCEEFF"/>
            </w:tcBorders>
          </w:tcPr>
          <w:p>
            <w:pPr>
              <w:spacing w:after="0"/>
              <w:rPr>
                <w:sz w:val="13"/>
                <w:szCs w:val="13"/>
                <w:color w:val="auto"/>
              </w:rPr>
            </w:pPr>
          </w:p>
        </w:tc>
        <w:tc>
          <w:tcPr>
            <w:tcW w:w="102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rPr>
              <w:t>2024</w:t>
            </w:r>
          </w:p>
        </w:tc>
        <w:tc>
          <w:tcPr>
            <w:tcW w:w="5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2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rPr>
              <w:t>2023</w:t>
            </w:r>
          </w:p>
        </w:tc>
        <w:tc>
          <w:tcPr>
            <w:tcW w:w="500" w:type="dxa"/>
            <w:vAlign w:val="bottom"/>
            <w:tcBorders>
              <w:bottom w:val="single" w:sz="8" w:color="auto"/>
            </w:tcBorders>
          </w:tcPr>
          <w:p>
            <w:pPr>
              <w:spacing w:after="0"/>
              <w:rPr>
                <w:sz w:val="13"/>
                <w:szCs w:val="13"/>
                <w:color w:val="auto"/>
              </w:rPr>
            </w:pPr>
          </w:p>
        </w:tc>
      </w:tr>
      <w:tr>
        <w:trPr>
          <w:trHeight w:val="160"/>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Staffing and management services</w:t>
            </w:r>
          </w:p>
        </w:tc>
        <w:tc>
          <w:tcPr>
            <w:tcW w:w="1020" w:type="dxa"/>
            <w:vAlign w:val="bottom"/>
            <w:shd w:val="clear" w:color="auto" w:fill="CCEEFF"/>
          </w:tcPr>
          <w:p>
            <w:pPr>
              <w:jc w:val="right"/>
              <w:ind w:right="873"/>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462</w:t>
            </w: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873"/>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575</w:t>
            </w:r>
          </w:p>
        </w:tc>
      </w:tr>
      <w:tr>
        <w:trPr>
          <w:trHeight w:val="170"/>
        </w:trPr>
        <w:tc>
          <w:tcPr>
            <w:tcW w:w="6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Rent - fixed compensation</w:t>
            </w:r>
          </w:p>
        </w:tc>
        <w:tc>
          <w:tcPr>
            <w:tcW w:w="10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w:t>
            </w: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w:t>
            </w:r>
          </w:p>
        </w:tc>
      </w:tr>
      <w:tr>
        <w:trPr>
          <w:trHeight w:val="170"/>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IT services</w:t>
            </w:r>
          </w:p>
        </w:tc>
        <w:tc>
          <w:tcPr>
            <w:tcW w:w="102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704</w:t>
            </w:r>
          </w:p>
        </w:tc>
        <w:tc>
          <w:tcPr>
            <w:tcW w:w="80" w:type="dxa"/>
            <w:vAlign w:val="bottom"/>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726</w:t>
            </w:r>
          </w:p>
        </w:tc>
      </w:tr>
      <w:tr>
        <w:trPr>
          <w:trHeight w:val="160"/>
        </w:trPr>
        <w:tc>
          <w:tcPr>
            <w:tcW w:w="6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1020" w:type="dxa"/>
            <w:vAlign w:val="bottom"/>
            <w:tcBorders>
              <w:bottom w:val="single" w:sz="8" w:color="auto"/>
            </w:tcBorders>
          </w:tcPr>
          <w:p>
            <w:pPr>
              <w:jc w:val="right"/>
              <w:ind w:right="873"/>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1,337</w:t>
            </w:r>
          </w:p>
        </w:tc>
        <w:tc>
          <w:tcPr>
            <w:tcW w:w="80" w:type="dxa"/>
            <w:vAlign w:val="bottom"/>
          </w:tcPr>
          <w:p>
            <w:pPr>
              <w:spacing w:after="0"/>
              <w:rPr>
                <w:sz w:val="13"/>
                <w:szCs w:val="13"/>
                <w:color w:val="auto"/>
              </w:rPr>
            </w:pPr>
          </w:p>
        </w:tc>
        <w:tc>
          <w:tcPr>
            <w:tcW w:w="1020" w:type="dxa"/>
            <w:vAlign w:val="bottom"/>
            <w:tcBorders>
              <w:bottom w:val="single" w:sz="8" w:color="auto"/>
            </w:tcBorders>
          </w:tcPr>
          <w:p>
            <w:pPr>
              <w:jc w:val="right"/>
              <w:ind w:right="873"/>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1,466</w:t>
            </w:r>
          </w:p>
        </w:tc>
      </w:tr>
      <w:tr>
        <w:trPr>
          <w:trHeight w:val="20"/>
        </w:trPr>
        <w:tc>
          <w:tcPr>
            <w:tcW w:w="6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3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3"/>
          <w:szCs w:val="13"/>
          <w:color w:val="auto"/>
        </w:rPr>
        <w:t>The following table presents the various balances for related parties included in our consolidated balance sheets as of March 31, 2024 and December 31, 2023:</w:t>
      </w: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167640</wp:posOffset>
            </wp:positionV>
            <wp:extent cx="7193280"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318" w:right="31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180"/>
        </w:trPr>
        <w:tc>
          <w:tcPr>
            <w:tcW w:w="2640" w:type="dxa"/>
            <w:vAlign w:val="bottom"/>
          </w:tcPr>
          <w:p>
            <w:pPr>
              <w:spacing w:after="0"/>
              <w:rPr>
                <w:sz w:val="15"/>
                <w:szCs w:val="15"/>
                <w:color w:val="auto"/>
              </w:rPr>
            </w:pPr>
          </w:p>
        </w:tc>
        <w:tc>
          <w:tcPr>
            <w:tcW w:w="4060" w:type="dxa"/>
            <w:vAlign w:val="bottom"/>
          </w:tcPr>
          <w:p>
            <w:pPr>
              <w:ind w:left="160"/>
              <w:spacing w:after="0"/>
              <w:rPr>
                <w:sz w:val="20"/>
                <w:szCs w:val="20"/>
                <w:color w:val="auto"/>
              </w:rPr>
            </w:pPr>
            <w:r>
              <w:rPr>
                <w:rFonts w:ascii="Times New Roman" w:cs="Times New Roman" w:eastAsia="Times New Roman" w:hAnsi="Times New Roman"/>
                <w:sz w:val="13"/>
                <w:szCs w:val="13"/>
                <w:b w:val="1"/>
                <w:bCs w:val="1"/>
                <w:color w:val="auto"/>
              </w:rPr>
              <w:t>Location in Balance Sheet</w:t>
            </w:r>
          </w:p>
        </w:tc>
        <w:tc>
          <w:tcPr>
            <w:tcW w:w="20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March 31, 2024</w:t>
            </w:r>
          </w:p>
        </w:tc>
        <w:tc>
          <w:tcPr>
            <w:tcW w:w="14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jc w:val="right"/>
              <w:ind w:right="153"/>
              <w:spacing w:after="0"/>
              <w:rPr>
                <w:sz w:val="20"/>
                <w:szCs w:val="20"/>
                <w:color w:val="auto"/>
              </w:rPr>
            </w:pPr>
            <w:r>
              <w:rPr>
                <w:rFonts w:ascii="Times New Roman" w:cs="Times New Roman" w:eastAsia="Times New Roman" w:hAnsi="Times New Roman"/>
                <w:sz w:val="13"/>
                <w:szCs w:val="13"/>
                <w:b w:val="1"/>
                <w:bCs w:val="1"/>
                <w:color w:val="auto"/>
              </w:rPr>
              <w:t>December 31, 2023</w:t>
            </w:r>
          </w:p>
        </w:tc>
      </w:tr>
      <w:tr>
        <w:trPr>
          <w:trHeight w:val="150"/>
        </w:trPr>
        <w:tc>
          <w:tcPr>
            <w:tcW w:w="2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Assets:</w:t>
            </w:r>
          </w:p>
        </w:tc>
        <w:tc>
          <w:tcPr>
            <w:tcW w:w="406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1320" w:type="dxa"/>
            <w:vAlign w:val="bottom"/>
            <w:tcBorders>
              <w:top w:val="single" w:sz="8" w:color="auto"/>
              <w:bottom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1380" w:type="dxa"/>
            <w:vAlign w:val="bottom"/>
            <w:tcBorders>
              <w:top w:val="single" w:sz="8" w:color="auto"/>
              <w:bottom w:val="single" w:sz="8" w:color="auto"/>
            </w:tcBorders>
            <w:shd w:val="clear" w:color="auto" w:fill="CCEEFF"/>
          </w:tcPr>
          <w:p>
            <w:pPr>
              <w:spacing w:after="0"/>
              <w:rPr>
                <w:sz w:val="13"/>
                <w:szCs w:val="13"/>
                <w:color w:val="auto"/>
              </w:rPr>
            </w:pPr>
          </w:p>
        </w:tc>
      </w:tr>
      <w:tr>
        <w:trPr>
          <w:trHeight w:val="160"/>
        </w:trPr>
        <w:tc>
          <w:tcPr>
            <w:tcW w:w="2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Trade AR - NextEra</w:t>
            </w:r>
          </w:p>
        </w:tc>
        <w:tc>
          <w:tcPr>
            <w:tcW w:w="40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3"/>
                <w:szCs w:val="13"/>
                <w:color w:val="auto"/>
              </w:rPr>
              <w:t>Accounts receivable, related party</w:t>
            </w:r>
          </w:p>
        </w:tc>
        <w:tc>
          <w:tcPr>
            <w:tcW w:w="2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14,912</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18,696</w:t>
            </w:r>
          </w:p>
        </w:tc>
      </w:tr>
      <w:tr>
        <w:trPr>
          <w:trHeight w:val="150"/>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Liabilities:</w:t>
            </w:r>
          </w:p>
        </w:tc>
        <w:tc>
          <w:tcPr>
            <w:tcW w:w="40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r>
      <w:tr>
        <w:trPr>
          <w:trHeight w:val="170"/>
        </w:trPr>
        <w:tc>
          <w:tcPr>
            <w:tcW w:w="2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Payables to equity method investment entities</w:t>
            </w:r>
          </w:p>
        </w:tc>
        <w:tc>
          <w:tcPr>
            <w:tcW w:w="40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Accounts payable, related party</w:t>
            </w:r>
          </w:p>
        </w:tc>
        <w:tc>
          <w:tcPr>
            <w:tcW w:w="2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6,737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5,692</w:t>
            </w:r>
          </w:p>
        </w:tc>
      </w:tr>
      <w:tr>
        <w:trPr>
          <w:trHeight w:val="170"/>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NextEra</w:t>
            </w:r>
          </w:p>
        </w:tc>
        <w:tc>
          <w:tcPr>
            <w:tcW w:w="4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Accounts payable, related party</w:t>
            </w:r>
          </w:p>
        </w:tc>
        <w:tc>
          <w:tcPr>
            <w:tcW w:w="2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501</w:t>
            </w:r>
          </w:p>
        </w:tc>
      </w:tr>
      <w:tr>
        <w:trPr>
          <w:trHeight w:val="170"/>
        </w:trPr>
        <w:tc>
          <w:tcPr>
            <w:tcW w:w="2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Staffing and management services - Fortistar</w:t>
            </w:r>
          </w:p>
        </w:tc>
        <w:tc>
          <w:tcPr>
            <w:tcW w:w="40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Accounts payable, related party</w:t>
            </w:r>
          </w:p>
        </w:tc>
        <w:tc>
          <w:tcPr>
            <w:tcW w:w="2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622</w:t>
            </w:r>
          </w:p>
        </w:tc>
      </w:tr>
      <w:tr>
        <w:trPr>
          <w:trHeight w:val="170"/>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IT services - Costar</w:t>
            </w:r>
          </w:p>
        </w:tc>
        <w:tc>
          <w:tcPr>
            <w:tcW w:w="4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Accounts payable, related party</w:t>
            </w:r>
          </w:p>
        </w:tc>
        <w:tc>
          <w:tcPr>
            <w:tcW w:w="20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w:t>
            </w: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209</w:t>
            </w:r>
          </w:p>
        </w:tc>
      </w:tr>
      <w:tr>
        <w:trPr>
          <w:trHeight w:val="160"/>
        </w:trPr>
        <w:tc>
          <w:tcPr>
            <w:tcW w:w="2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liabilities - related party</w:t>
            </w:r>
          </w:p>
        </w:tc>
        <w:tc>
          <w:tcPr>
            <w:tcW w:w="4060" w:type="dxa"/>
            <w:vAlign w:val="bottom"/>
          </w:tcPr>
          <w:p>
            <w:pPr>
              <w:spacing w:after="0"/>
              <w:rPr>
                <w:sz w:val="13"/>
                <w:szCs w:val="13"/>
                <w:color w:val="auto"/>
              </w:rPr>
            </w:pPr>
          </w:p>
        </w:tc>
        <w:tc>
          <w:tcPr>
            <w:tcW w:w="2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8,166</w:t>
            </w:r>
          </w:p>
        </w:tc>
        <w:tc>
          <w:tcPr>
            <w:tcW w:w="80" w:type="dxa"/>
            <w:vAlign w:val="bottom"/>
          </w:tcPr>
          <w:p>
            <w:pPr>
              <w:spacing w:after="0"/>
              <w:rPr>
                <w:sz w:val="13"/>
                <w:szCs w:val="13"/>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7,024</w:t>
            </w:r>
          </w:p>
        </w:tc>
      </w:tr>
      <w:tr>
        <w:trPr>
          <w:trHeight w:val="20"/>
        </w:trPr>
        <w:tc>
          <w:tcPr>
            <w:tcW w:w="26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11. Reportable Segments and Geographic Information</w:t>
      </w:r>
    </w:p>
    <w:p>
      <w:pPr>
        <w:spacing w:after="0" w:line="125" w:lineRule="exact"/>
        <w:rPr>
          <w:sz w:val="20"/>
          <w:szCs w:val="20"/>
          <w:color w:val="auto"/>
        </w:rPr>
      </w:pPr>
    </w:p>
    <w:p>
      <w:pPr>
        <w:jc w:val="both"/>
        <w:ind w:firstLine="240"/>
        <w:spacing w:after="0" w:line="269" w:lineRule="auto"/>
        <w:rPr>
          <w:sz w:val="20"/>
          <w:szCs w:val="20"/>
          <w:color w:val="auto"/>
        </w:rPr>
      </w:pPr>
      <w:r>
        <w:rPr>
          <w:rFonts w:ascii="Times New Roman" w:cs="Times New Roman" w:eastAsia="Times New Roman" w:hAnsi="Times New Roman"/>
          <w:sz w:val="13"/>
          <w:szCs w:val="13"/>
          <w:color w:val="auto"/>
        </w:rPr>
        <w:t>The Company is organized into four operating segments based on the characteristics of its Renewable Power generation, dispensing portfolio, and the nature of other products and services. The Company changed its internal reporting to report revenues from RECs and ISCC Carbon Credits from RNG Fuel to Renewable Power segment during the third quarter of 2023. This is primarily to reflect a strategic business change to identify all revenues earned from Environmental Attributes generated from Renewable Power facilities in the same segment. Therefore, the Company reclassified revenues of $5,445 for the three months ended March 31, 2023, earned from sale of RECs and ISCC Carbon Credits from Revenues - RNG Fuel to Revenues - Renewable Power.</w:t>
      </w:r>
    </w:p>
    <w:p>
      <w:pPr>
        <w:spacing w:after="0" w:line="70" w:lineRule="exact"/>
        <w:rPr>
          <w:sz w:val="20"/>
          <w:szCs w:val="20"/>
          <w:color w:val="auto"/>
        </w:rPr>
      </w:pPr>
    </w:p>
    <w:p>
      <w:pPr>
        <w:jc w:val="both"/>
        <w:ind w:firstLine="240"/>
        <w:spacing w:after="0" w:line="294" w:lineRule="auto"/>
        <w:rPr>
          <w:sz w:val="20"/>
          <w:szCs w:val="20"/>
          <w:color w:val="auto"/>
        </w:rPr>
      </w:pPr>
      <w:r>
        <w:rPr>
          <w:rFonts w:ascii="Times New Roman" w:cs="Times New Roman" w:eastAsia="Times New Roman" w:hAnsi="Times New Roman"/>
          <w:sz w:val="13"/>
          <w:szCs w:val="13"/>
          <w:color w:val="auto"/>
        </w:rPr>
        <w:t>We aligned our reportable segments disclosure to align with the information and internal reporting that is provided to our Chief Operating Decision Makers. Therefore, the Company reassessed its reportable segments and revised all the prior periods to make the segment disclosures comparable.</w:t>
      </w:r>
    </w:p>
    <w:p>
      <w:pPr>
        <w:spacing w:after="0" w:line="20" w:lineRule="exact"/>
        <w:rPr>
          <w:sz w:val="20"/>
          <w:szCs w:val="20"/>
          <w:color w:val="auto"/>
        </w:rPr>
      </w:pPr>
    </w:p>
    <w:p>
      <w:pPr>
        <w:ind w:left="600" w:hanging="360"/>
        <w:spacing w:after="0"/>
        <w:tabs>
          <w:tab w:leader="none" w:pos="600" w:val="left"/>
        </w:tabs>
        <w:numPr>
          <w:ilvl w:val="0"/>
          <w:numId w:val="20"/>
        </w:numPr>
        <w:rPr>
          <w:rFonts w:ascii="Arial" w:cs="Arial" w:eastAsia="Arial" w:hAnsi="Arial"/>
          <w:sz w:val="13"/>
          <w:szCs w:val="13"/>
          <w:color w:val="auto"/>
        </w:rPr>
      </w:pPr>
      <w:r>
        <w:rPr>
          <w:rFonts w:ascii="Times New Roman" w:cs="Times New Roman" w:eastAsia="Times New Roman" w:hAnsi="Times New Roman"/>
          <w:sz w:val="13"/>
          <w:szCs w:val="13"/>
          <w:b w:val="1"/>
          <w:bCs w:val="1"/>
          <w:color w:val="auto"/>
        </w:rPr>
        <w:t xml:space="preserve">RNG Fuel. </w:t>
      </w:r>
      <w:r>
        <w:rPr>
          <w:rFonts w:ascii="Times New Roman" w:cs="Times New Roman" w:eastAsia="Times New Roman" w:hAnsi="Times New Roman"/>
          <w:sz w:val="13"/>
          <w:szCs w:val="13"/>
          <w:color w:val="auto"/>
        </w:rPr>
        <w:t>The RNG Fuel segment relates to all RNG supply directly related to the generation and sale of brown gas and environmental credits, and consists of:</w:t>
      </w:r>
    </w:p>
    <w:p>
      <w:pPr>
        <w:spacing w:after="0" w:line="264" w:lineRule="exact"/>
        <w:rPr>
          <w:rFonts w:ascii="Arial" w:cs="Arial" w:eastAsia="Arial" w:hAnsi="Arial"/>
          <w:sz w:val="13"/>
          <w:szCs w:val="13"/>
          <w:color w:val="auto"/>
        </w:rPr>
      </w:pPr>
    </w:p>
    <w:p>
      <w:pPr>
        <w:ind w:left="1080" w:hanging="359"/>
        <w:spacing w:after="0"/>
        <w:tabs>
          <w:tab w:leader="none" w:pos="1080" w:val="left"/>
        </w:tabs>
        <w:numPr>
          <w:ilvl w:val="1"/>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Development and construction – RNG facilities in which long term gas right contracts have been or are in the process of being ratified and the construction of RNG generation facilities.</w:t>
      </w:r>
    </w:p>
    <w:p>
      <w:pPr>
        <w:spacing w:after="0" w:line="14" w:lineRule="exact"/>
        <w:rPr>
          <w:rFonts w:ascii="Times New Roman" w:cs="Times New Roman" w:eastAsia="Times New Roman" w:hAnsi="Times New Roman"/>
          <w:sz w:val="13"/>
          <w:szCs w:val="13"/>
          <w:color w:val="auto"/>
        </w:rPr>
      </w:pPr>
    </w:p>
    <w:p>
      <w:pPr>
        <w:ind w:left="1080" w:hanging="359"/>
        <w:spacing w:after="0"/>
        <w:tabs>
          <w:tab w:leader="none" w:pos="1080" w:val="left"/>
        </w:tabs>
        <w:numPr>
          <w:ilvl w:val="1"/>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RNG supply operating facilities – This includes the generation, extraction, and sale of RNG - plus associated RINs and LCFSs from landfills.</w:t>
      </w:r>
    </w:p>
    <w:p>
      <w:pPr>
        <w:spacing w:after="0" w:line="287" w:lineRule="exact"/>
        <w:rPr>
          <w:sz w:val="20"/>
          <w:szCs w:val="20"/>
          <w:color w:val="auto"/>
        </w:rPr>
      </w:pPr>
    </w:p>
    <w:p>
      <w:pPr>
        <w:jc w:val="both"/>
        <w:ind w:firstLine="240"/>
        <w:spacing w:after="0" w:line="269" w:lineRule="auto"/>
        <w:rPr>
          <w:sz w:val="20"/>
          <w:szCs w:val="20"/>
          <w:color w:val="auto"/>
        </w:rPr>
      </w:pPr>
      <w:r>
        <w:rPr>
          <w:rFonts w:ascii="Times New Roman" w:cs="Times New Roman" w:eastAsia="Times New Roman" w:hAnsi="Times New Roman"/>
          <w:sz w:val="13"/>
          <w:szCs w:val="13"/>
          <w:color w:val="auto"/>
        </w:rPr>
        <w:t>For the three months ended March 31, 2024, the Company has accounted for its interests in Pine Bend, Reynolds, Noble Road, GREP, Paragon and SJI under the equity method of accounting and the results of operations of Beacon, New River, Polk County, Cottonwood, Central Valley, Prince William and Sunoma were consolidated in its condensed consolidated statement of operations. For the three months ended March 31, 2023, the Company has accounted for its interests in Pine Bend, Reynolds, Noble Road and GREP under the equity method of accounting and the results of operations of Beacon, New River, Emerald, Sapphire, Central Valley, Prince William and Sunoma were consolidated in its condensed consolidated statement of operations.</w:t>
      </w:r>
    </w:p>
    <w:p>
      <w:pPr>
        <w:spacing w:after="0" w:line="7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As of March 31, 2024, Central Valley, Prince William, Polk County, Cottonwood and Sapphire are not operational.</w:t>
      </w:r>
    </w:p>
    <w:p>
      <w:pPr>
        <w:spacing w:after="0" w:line="117" w:lineRule="exact"/>
        <w:rPr>
          <w:sz w:val="20"/>
          <w:szCs w:val="20"/>
          <w:color w:val="auto"/>
        </w:rPr>
      </w:pPr>
    </w:p>
    <w:p>
      <w:pPr>
        <w:ind w:left="600" w:hanging="360"/>
        <w:spacing w:after="0" w:line="300" w:lineRule="auto"/>
        <w:tabs>
          <w:tab w:leader="none" w:pos="597"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Fuel Station Services. </w:t>
      </w:r>
      <w:r>
        <w:rPr>
          <w:rFonts w:ascii="Times New Roman" w:cs="Times New Roman" w:eastAsia="Times New Roman" w:hAnsi="Times New Roman"/>
          <w:sz w:val="13"/>
          <w:szCs w:val="13"/>
          <w:color w:val="auto"/>
        </w:rPr>
        <w:t>Through its Fuel Station Services segment</w:t>
      </w:r>
      <w:r>
        <w:rPr>
          <w:rFonts w:ascii="Times New Roman" w:cs="Times New Roman" w:eastAsia="Times New Roman" w:hAnsi="Times New Roman"/>
          <w:sz w:val="13"/>
          <w:szCs w:val="13"/>
          <w:b w:val="1"/>
          <w:bCs w:val="1"/>
          <w:color w:val="auto"/>
        </w:rPr>
        <w:t>, t</w:t>
      </w:r>
      <w:r>
        <w:rPr>
          <w:rFonts w:ascii="Times New Roman" w:cs="Times New Roman" w:eastAsia="Times New Roman" w:hAnsi="Times New Roman"/>
          <w:sz w:val="13"/>
          <w:szCs w:val="13"/>
          <w:color w:val="auto"/>
        </w:rPr>
        <w:t>he Company provides construction and maintenance services to third-party owners of vehicle Fueling Stations and performs fuel</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dispensing activities including generation and minting of environmental credits. This segment includes:</w:t>
      </w:r>
    </w:p>
    <w:p>
      <w:pPr>
        <w:spacing w:after="0" w:line="50" w:lineRule="exact"/>
        <w:rPr>
          <w:rFonts w:ascii="Times New Roman" w:cs="Times New Roman" w:eastAsia="Times New Roman" w:hAnsi="Times New Roman"/>
          <w:sz w:val="13"/>
          <w:szCs w:val="13"/>
          <w:color w:val="auto"/>
        </w:rPr>
      </w:pPr>
    </w:p>
    <w:p>
      <w:pPr>
        <w:ind w:left="1080" w:hanging="359"/>
        <w:spacing w:after="0"/>
        <w:tabs>
          <w:tab w:leader="none" w:pos="1080" w:val="left"/>
        </w:tabs>
        <w:numPr>
          <w:ilvl w:val="1"/>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Service and maintenance contracts for RNG/CNG fueling sites. Includes a manufacturing division that builds Compact Fueling Systems and Defueling systems.</w:t>
      </w:r>
    </w:p>
    <w:p>
      <w:pPr>
        <w:spacing w:after="0" w:line="23" w:lineRule="exact"/>
        <w:rPr>
          <w:rFonts w:ascii="Times New Roman" w:cs="Times New Roman" w:eastAsia="Times New Roman" w:hAnsi="Times New Roman"/>
          <w:sz w:val="13"/>
          <w:szCs w:val="13"/>
          <w:color w:val="auto"/>
        </w:rPr>
      </w:pPr>
    </w:p>
    <w:p>
      <w:pPr>
        <w:ind w:left="1080" w:hanging="359"/>
        <w:spacing w:after="0" w:line="258" w:lineRule="auto"/>
        <w:tabs>
          <w:tab w:leader="none" w:pos="1087" w:val="left"/>
        </w:tabs>
        <w:numPr>
          <w:ilvl w:val="1"/>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Third Party CNG Construction of Fueling Stations - Design/build and serve as general contractor for typically Guarantee Maximum Price or fixed priced contracts for customers usually lasting less than one year.</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161290</wp:posOffset>
            </wp:positionV>
            <wp:extent cx="7193280"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330" w:right="319" w:bottom="1440" w:gutter="0" w:footer="0" w:header="0"/>
        </w:sectPr>
      </w:pPr>
    </w:p>
    <w:bookmarkStart w:id="37" w:name="page38"/>
    <w:bookmarkEnd w:id="37"/>
    <w:p>
      <w:pPr>
        <w:ind w:left="1080" w:hanging="359"/>
        <w:spacing w:after="0" w:line="278" w:lineRule="auto"/>
        <w:tabs>
          <w:tab w:leader="none" w:pos="1077" w:val="left"/>
        </w:tabs>
        <w:numPr>
          <w:ilvl w:val="1"/>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RNG and CNG fuel dispensing stations for vehicle fleets - This includes both dispensing/sale of brown gas and the environmental credit generation and monetization. The Company operates Fueling Stations that dispense gas for vehicles. This also includes the development and construction of these facilities.</w:t>
      </w:r>
    </w:p>
    <w:p>
      <w:pPr>
        <w:spacing w:after="0" w:line="140" w:lineRule="exact"/>
        <w:rPr>
          <w:rFonts w:ascii="Times New Roman" w:cs="Times New Roman" w:eastAsia="Times New Roman" w:hAnsi="Times New Roman"/>
          <w:sz w:val="13"/>
          <w:szCs w:val="13"/>
          <w:color w:val="auto"/>
        </w:rPr>
      </w:pPr>
    </w:p>
    <w:p>
      <w:pPr>
        <w:ind w:left="600" w:hanging="360"/>
        <w:spacing w:after="0" w:line="284" w:lineRule="auto"/>
        <w:tabs>
          <w:tab w:leader="none" w:pos="597"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Renewable Power Portfolio. </w:t>
      </w:r>
      <w:r>
        <w:rPr>
          <w:rFonts w:ascii="Times New Roman" w:cs="Times New Roman" w:eastAsia="Times New Roman" w:hAnsi="Times New Roman"/>
          <w:sz w:val="13"/>
          <w:szCs w:val="13"/>
          <w:color w:val="auto"/>
        </w:rPr>
        <w:t>The Renewable Power portfolio segment generates Renewable Power and associated environmental credits through methane-rich landfills and digester gas collection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systems which is then sold to public utilities throughout the United States. The Renewable Power portfolio operates primarily in Southern California.</w:t>
      </w:r>
    </w:p>
    <w:p>
      <w:pPr>
        <w:spacing w:after="0" w:line="126" w:lineRule="exact"/>
        <w:rPr>
          <w:rFonts w:ascii="Times New Roman" w:cs="Times New Roman" w:eastAsia="Times New Roman" w:hAnsi="Times New Roman"/>
          <w:sz w:val="13"/>
          <w:szCs w:val="13"/>
          <w:color w:val="auto"/>
        </w:rPr>
      </w:pPr>
    </w:p>
    <w:p>
      <w:pPr>
        <w:ind w:left="600" w:hanging="360"/>
        <w:spacing w:after="0"/>
        <w:tabs>
          <w:tab w:leader="none" w:pos="600" w:val="left"/>
        </w:tabs>
        <w:numPr>
          <w:ilvl w:val="0"/>
          <w:numId w:val="22"/>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Corporate. </w:t>
      </w:r>
      <w:r>
        <w:rPr>
          <w:rFonts w:ascii="Times New Roman" w:cs="Times New Roman" w:eastAsia="Times New Roman" w:hAnsi="Times New Roman"/>
          <w:sz w:val="13"/>
          <w:szCs w:val="13"/>
          <w:color w:val="auto"/>
        </w:rPr>
        <w:t>This segment consists of activities managed and maintained at the Company corporate level primarily including but not limited to:</w:t>
      </w:r>
    </w:p>
    <w:p>
      <w:pPr>
        <w:spacing w:after="0" w:line="18" w:lineRule="exact"/>
        <w:rPr>
          <w:rFonts w:ascii="Times New Roman" w:cs="Times New Roman" w:eastAsia="Times New Roman" w:hAnsi="Times New Roman"/>
          <w:sz w:val="13"/>
          <w:szCs w:val="13"/>
          <w:b w:val="1"/>
          <w:bCs w:val="1"/>
          <w:color w:val="auto"/>
        </w:rPr>
      </w:pPr>
    </w:p>
    <w:p>
      <w:pPr>
        <w:ind w:left="1080" w:hanging="359"/>
        <w:spacing w:after="0"/>
        <w:tabs>
          <w:tab w:leader="none" w:pos="1080" w:val="left"/>
        </w:tabs>
        <w:numPr>
          <w:ilvl w:val="1"/>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Executive, accounting, finance, sales activities such as: payroll, stock compensation expense, travel and other related costs.</w:t>
      </w:r>
    </w:p>
    <w:p>
      <w:pPr>
        <w:ind w:left="1080" w:hanging="359"/>
        <w:spacing w:after="0"/>
        <w:tabs>
          <w:tab w:leader="none" w:pos="1080" w:val="left"/>
        </w:tabs>
        <w:numPr>
          <w:ilvl w:val="1"/>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Insurance, professional fees (audit, tax, legal etc.).</w:t>
      </w:r>
    </w:p>
    <w:p>
      <w:pPr>
        <w:spacing w:after="0" w:line="97" w:lineRule="exact"/>
        <w:rPr>
          <w:sz w:val="20"/>
          <w:szCs w:val="20"/>
          <w:color w:val="auto"/>
        </w:rPr>
      </w:pPr>
    </w:p>
    <w:p>
      <w:pPr>
        <w:ind w:firstLine="240"/>
        <w:spacing w:after="0" w:line="294" w:lineRule="auto"/>
        <w:rPr>
          <w:sz w:val="20"/>
          <w:szCs w:val="20"/>
          <w:color w:val="auto"/>
        </w:rPr>
      </w:pPr>
      <w:r>
        <w:rPr>
          <w:rFonts w:ascii="Times New Roman" w:cs="Times New Roman" w:eastAsia="Times New Roman" w:hAnsi="Times New Roman"/>
          <w:sz w:val="13"/>
          <w:szCs w:val="13"/>
          <w:color w:val="auto"/>
        </w:rPr>
        <w:t>The Company has determined that each of the four operating segments meets the characteristics of a reportable segment under U.S. GAAP. The Company's activities and assets that are not associated with the four reportable segments are summarized in the "Other" category below. These include corporate investment income, interest income and interest expense, income tax expense, and other non-allocated costs.</w:t>
      </w:r>
    </w:p>
    <w:p>
      <w:pPr>
        <w:spacing w:after="0" w:line="124" w:lineRule="exact"/>
        <w:rPr>
          <w:sz w:val="20"/>
          <w:szCs w:val="20"/>
          <w:color w:val="auto"/>
        </w:rPr>
      </w:pPr>
    </w:p>
    <w:p>
      <w:pPr>
        <w:jc w:val="center"/>
        <w:ind w:left="3820"/>
        <w:spacing w:after="0"/>
        <w:rPr>
          <w:sz w:val="20"/>
          <w:szCs w:val="20"/>
          <w:color w:val="auto"/>
        </w:rPr>
      </w:pPr>
      <w:r>
        <w:rPr>
          <w:rFonts w:ascii="Times New Roman" w:cs="Times New Roman" w:eastAsia="Times New Roman" w:hAnsi="Times New Roman"/>
          <w:sz w:val="12"/>
          <w:szCs w:val="12"/>
          <w:b w:val="1"/>
          <w:bCs w:val="1"/>
          <w:color w:val="auto"/>
        </w:rPr>
        <w:t>Three Months Ended</w:t>
      </w:r>
    </w:p>
    <w:p>
      <w:pPr>
        <w:spacing w:after="0" w:line="21" w:lineRule="exact"/>
        <w:rPr>
          <w:sz w:val="20"/>
          <w:szCs w:val="20"/>
          <w:color w:val="auto"/>
        </w:rPr>
      </w:pPr>
    </w:p>
    <w:p>
      <w:pPr>
        <w:jc w:val="center"/>
        <w:ind w:left="3820"/>
        <w:spacing w:after="0"/>
        <w:rPr>
          <w:sz w:val="20"/>
          <w:szCs w:val="20"/>
          <w:color w:val="auto"/>
        </w:rPr>
      </w:pPr>
      <w:r>
        <w:rPr>
          <w:rFonts w:ascii="Times New Roman" w:cs="Times New Roman" w:eastAsia="Times New Roman" w:hAnsi="Times New Roman"/>
          <w:sz w:val="12"/>
          <w:szCs w:val="12"/>
          <w:b w:val="1"/>
          <w:bCs w:val="1"/>
          <w:color w:val="auto"/>
        </w:rPr>
        <w:t>March 31,</w:t>
      </w:r>
    </w:p>
    <w:p>
      <w:pPr>
        <w:spacing w:after="0" w:line="12" w:lineRule="exact"/>
        <w:rPr>
          <w:sz w:val="20"/>
          <w:szCs w:val="20"/>
          <w:color w:val="auto"/>
        </w:rPr>
      </w:pPr>
    </w:p>
    <w:tbl>
      <w:tblPr>
        <w:tblLayout w:type="fixed"/>
        <w:tblInd w:w="240" w:type="dxa"/>
        <w:tblCellMar>
          <w:top w:w="0" w:type="dxa"/>
          <w:left w:w="0" w:type="dxa"/>
          <w:bottom w:w="0" w:type="dxa"/>
          <w:right w:w="0" w:type="dxa"/>
        </w:tblCellMar>
      </w:tblPr>
      <w:tr>
        <w:trPr>
          <w:trHeight w:val="163"/>
        </w:trPr>
        <w:tc>
          <w:tcPr>
            <w:tcW w:w="5800" w:type="dxa"/>
            <w:vAlign w:val="bottom"/>
          </w:tcPr>
          <w:p>
            <w:pPr>
              <w:spacing w:after="0"/>
              <w:rPr>
                <w:sz w:val="14"/>
                <w:szCs w:val="14"/>
                <w:color w:val="auto"/>
              </w:rPr>
            </w:pPr>
          </w:p>
        </w:tc>
        <w:tc>
          <w:tcPr>
            <w:tcW w:w="960" w:type="dxa"/>
            <w:vAlign w:val="bottom"/>
            <w:tcBorders>
              <w:top w:val="single" w:sz="8" w:color="auto"/>
            </w:tcBorders>
          </w:tcPr>
          <w:p>
            <w:pPr>
              <w:jc w:val="right"/>
              <w:ind w:right="43"/>
              <w:spacing w:after="0"/>
              <w:rPr>
                <w:sz w:val="20"/>
                <w:szCs w:val="20"/>
                <w:color w:val="auto"/>
              </w:rPr>
            </w:pPr>
            <w:r>
              <w:rPr>
                <w:rFonts w:ascii="Times New Roman" w:cs="Times New Roman" w:eastAsia="Times New Roman" w:hAnsi="Times New Roman"/>
                <w:sz w:val="12"/>
                <w:szCs w:val="12"/>
                <w:b w:val="1"/>
                <w:bCs w:val="1"/>
                <w:color w:val="auto"/>
              </w:rPr>
              <w:t>2024</w:t>
            </w:r>
          </w:p>
        </w:tc>
        <w:tc>
          <w:tcPr>
            <w:tcW w:w="5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2023</w:t>
            </w:r>
          </w:p>
        </w:tc>
      </w:tr>
      <w:tr>
        <w:trPr>
          <w:trHeight w:val="21"/>
        </w:trPr>
        <w:tc>
          <w:tcPr>
            <w:tcW w:w="58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40"/>
        </w:trPr>
        <w:tc>
          <w:tcPr>
            <w:tcW w:w="5800" w:type="dxa"/>
            <w:vAlign w:val="bottom"/>
            <w:tcBorders>
              <w:bottom w:val="single" w:sz="8" w:color="CCEEFF"/>
            </w:tcBorders>
            <w:shd w:val="clear" w:color="auto" w:fill="CCEEFF"/>
          </w:tcPr>
          <w:p>
            <w:pPr>
              <w:ind w:left="20"/>
              <w:spacing w:after="0" w:line="136" w:lineRule="exact"/>
              <w:rPr>
                <w:sz w:val="20"/>
                <w:szCs w:val="20"/>
                <w:color w:val="auto"/>
              </w:rPr>
            </w:pPr>
            <w:r>
              <w:rPr>
                <w:rFonts w:ascii="Times New Roman" w:cs="Times New Roman" w:eastAsia="Times New Roman" w:hAnsi="Times New Roman"/>
                <w:sz w:val="12"/>
                <w:szCs w:val="12"/>
                <w:color w:val="auto"/>
              </w:rPr>
              <w:t>Revenues:</w:t>
            </w:r>
          </w:p>
        </w:tc>
        <w:tc>
          <w:tcPr>
            <w:tcW w:w="96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spacing w:after="0"/>
              <w:rPr>
                <w:sz w:val="12"/>
                <w:szCs w:val="12"/>
                <w:color w:val="auto"/>
              </w:rPr>
            </w:pPr>
          </w:p>
        </w:tc>
        <w:tc>
          <w:tcPr>
            <w:tcW w:w="1140" w:type="dxa"/>
            <w:vAlign w:val="bottom"/>
            <w:tcBorders>
              <w:bottom w:val="single" w:sz="8" w:color="CCEEFF"/>
            </w:tcBorders>
            <w:shd w:val="clear" w:color="auto" w:fill="CCEEFF"/>
          </w:tcPr>
          <w:p>
            <w:pPr>
              <w:spacing w:after="0"/>
              <w:rPr>
                <w:sz w:val="12"/>
                <w:szCs w:val="12"/>
                <w:color w:val="auto"/>
              </w:rPr>
            </w:pPr>
          </w:p>
        </w:tc>
      </w:tr>
      <w:tr>
        <w:trPr>
          <w:trHeight w:val="156"/>
        </w:trPr>
        <w:tc>
          <w:tcPr>
            <w:tcW w:w="58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Renewable Power</w:t>
            </w:r>
          </w:p>
        </w:tc>
        <w:tc>
          <w:tcPr>
            <w:tcW w:w="960" w:type="dxa"/>
            <w:vAlign w:val="bottom"/>
          </w:tcPr>
          <w:p>
            <w:pPr>
              <w:jc w:val="right"/>
              <w:ind w:right="843"/>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10,083</w:t>
            </w:r>
          </w:p>
        </w:tc>
        <w:tc>
          <w:tcPr>
            <w:tcW w:w="100" w:type="dxa"/>
            <w:vAlign w:val="bottom"/>
          </w:tcPr>
          <w:p>
            <w:pPr>
              <w:spacing w:after="0"/>
              <w:rPr>
                <w:sz w:val="13"/>
                <w:szCs w:val="13"/>
                <w:color w:val="auto"/>
              </w:rPr>
            </w:pPr>
          </w:p>
        </w:tc>
        <w:tc>
          <w:tcPr>
            <w:tcW w:w="340" w:type="dxa"/>
            <w:vAlign w:val="bottom"/>
          </w:tcPr>
          <w:p>
            <w:pPr>
              <w:jc w:val="right"/>
              <w:ind w:right="225"/>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15,363</w:t>
            </w:r>
          </w:p>
        </w:tc>
      </w:tr>
      <w:tr>
        <w:trPr>
          <w:trHeight w:val="24"/>
        </w:trPr>
        <w:tc>
          <w:tcPr>
            <w:tcW w:w="58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80"/>
        </w:trPr>
        <w:tc>
          <w:tcPr>
            <w:tcW w:w="5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 xml:space="preserve">RNG Fuel </w:t>
            </w:r>
            <w:r>
              <w:rPr>
                <w:rFonts w:ascii="Times New Roman" w:cs="Times New Roman" w:eastAsia="Times New Roman" w:hAnsi="Times New Roman"/>
                <w:sz w:val="15"/>
                <w:szCs w:val="15"/>
                <w:color w:val="auto"/>
                <w:vertAlign w:val="superscript"/>
              </w:rPr>
              <w:t>(1)</w:t>
            </w:r>
          </w:p>
        </w:tc>
        <w:tc>
          <w:tcPr>
            <w:tcW w:w="9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42,792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14,288</w:t>
            </w:r>
          </w:p>
        </w:tc>
      </w:tr>
      <w:tr>
        <w:trPr>
          <w:trHeight w:val="180"/>
        </w:trPr>
        <w:tc>
          <w:tcPr>
            <w:tcW w:w="58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 xml:space="preserve">Fuel Station Services </w:t>
            </w:r>
            <w:r>
              <w:rPr>
                <w:rFonts w:ascii="Times New Roman" w:cs="Times New Roman" w:eastAsia="Times New Roman" w:hAnsi="Times New Roman"/>
                <w:sz w:val="15"/>
                <w:szCs w:val="15"/>
                <w:color w:val="auto"/>
                <w:vertAlign w:val="superscript"/>
              </w:rPr>
              <w:t>(2)</w:t>
            </w:r>
          </w:p>
        </w:tc>
        <w:tc>
          <w:tcPr>
            <w:tcW w:w="9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41,650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24,575</w:t>
            </w:r>
          </w:p>
        </w:tc>
      </w:tr>
      <w:tr>
        <w:trPr>
          <w:trHeight w:val="180"/>
        </w:trPr>
        <w:tc>
          <w:tcPr>
            <w:tcW w:w="5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Other</w:t>
            </w:r>
            <w:r>
              <w:rPr>
                <w:rFonts w:ascii="Times New Roman" w:cs="Times New Roman" w:eastAsia="Times New Roman" w:hAnsi="Times New Roman"/>
                <w:sz w:val="15"/>
                <w:szCs w:val="15"/>
                <w:color w:val="auto"/>
                <w:vertAlign w:val="superscript"/>
              </w:rPr>
              <w:t>(3)</w:t>
            </w:r>
          </w:p>
        </w:tc>
        <w:tc>
          <w:tcPr>
            <w:tcW w:w="9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w:t>
            </w:r>
          </w:p>
        </w:tc>
      </w:tr>
      <w:tr>
        <w:trPr>
          <w:trHeight w:val="156"/>
        </w:trPr>
        <w:tc>
          <w:tcPr>
            <w:tcW w:w="58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Intersegment</w:t>
            </w:r>
          </w:p>
        </w:tc>
        <w:tc>
          <w:tcPr>
            <w:tcW w:w="9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(4,508)</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(3,747)</w:t>
            </w:r>
          </w:p>
        </w:tc>
      </w:tr>
      <w:tr>
        <w:trPr>
          <w:trHeight w:val="24"/>
        </w:trPr>
        <w:tc>
          <w:tcPr>
            <w:tcW w:w="58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80"/>
        </w:trPr>
        <w:tc>
          <w:tcPr>
            <w:tcW w:w="58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Equity Method Investment(s)</w:t>
            </w:r>
          </w:p>
        </w:tc>
        <w:tc>
          <w:tcPr>
            <w:tcW w:w="96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(25,407)</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(7,539)</w:t>
            </w:r>
          </w:p>
        </w:tc>
      </w:tr>
      <w:tr>
        <w:trPr>
          <w:trHeight w:val="146"/>
        </w:trPr>
        <w:tc>
          <w:tcPr>
            <w:tcW w:w="5800" w:type="dxa"/>
            <w:vAlign w:val="bottom"/>
          </w:tcPr>
          <w:p>
            <w:pPr>
              <w:spacing w:after="0"/>
              <w:rPr>
                <w:sz w:val="12"/>
                <w:szCs w:val="12"/>
                <w:color w:val="auto"/>
              </w:rPr>
            </w:pPr>
          </w:p>
        </w:tc>
        <w:tc>
          <w:tcPr>
            <w:tcW w:w="960" w:type="dxa"/>
            <w:vAlign w:val="bottom"/>
            <w:tcBorders>
              <w:top w:val="single" w:sz="8" w:color="auto"/>
            </w:tcBorders>
          </w:tcPr>
          <w:p>
            <w:pPr>
              <w:jc w:val="right"/>
              <w:ind w:right="843"/>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64,952</w:t>
            </w:r>
          </w:p>
        </w:tc>
        <w:tc>
          <w:tcPr>
            <w:tcW w:w="100" w:type="dxa"/>
            <w:vAlign w:val="bottom"/>
          </w:tcPr>
          <w:p>
            <w:pPr>
              <w:spacing w:after="0"/>
              <w:rPr>
                <w:sz w:val="12"/>
                <w:szCs w:val="12"/>
                <w:color w:val="auto"/>
              </w:rPr>
            </w:pPr>
          </w:p>
        </w:tc>
        <w:tc>
          <w:tcPr>
            <w:tcW w:w="340" w:type="dxa"/>
            <w:vAlign w:val="bottom"/>
            <w:tcBorders>
              <w:top w:val="single" w:sz="8" w:color="auto"/>
            </w:tcBorders>
          </w:tcPr>
          <w:p>
            <w:pPr>
              <w:jc w:val="right"/>
              <w:ind w:right="225"/>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42,957</w:t>
            </w:r>
          </w:p>
        </w:tc>
      </w:tr>
      <w:tr>
        <w:trPr>
          <w:trHeight w:val="24"/>
        </w:trPr>
        <w:tc>
          <w:tcPr>
            <w:tcW w:w="58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58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____________</w:t>
      </w:r>
    </w:p>
    <w:p>
      <w:pPr>
        <w:spacing w:after="0" w:line="46" w:lineRule="exact"/>
        <w:rPr>
          <w:sz w:val="20"/>
          <w:szCs w:val="20"/>
          <w:color w:val="auto"/>
        </w:rPr>
      </w:pPr>
    </w:p>
    <w:p>
      <w:pPr>
        <w:ind w:left="120" w:hanging="120"/>
        <w:spacing w:after="0"/>
        <w:tabs>
          <w:tab w:leader="none" w:pos="120" w:val="left"/>
        </w:tabs>
        <w:numPr>
          <w:ilvl w:val="0"/>
          <w:numId w:val="23"/>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Includes revenues from our equity method investments.</w:t>
      </w:r>
    </w:p>
    <w:p>
      <w:pPr>
        <w:spacing w:after="0" w:line="37" w:lineRule="exact"/>
        <w:rPr>
          <w:rFonts w:ascii="Times New Roman" w:cs="Times New Roman" w:eastAsia="Times New Roman" w:hAnsi="Times New Roman"/>
          <w:sz w:val="14"/>
          <w:szCs w:val="14"/>
          <w:color w:val="auto"/>
          <w:vertAlign w:val="superscript"/>
        </w:rPr>
      </w:pPr>
    </w:p>
    <w:p>
      <w:pPr>
        <w:ind w:left="120" w:hanging="120"/>
        <w:spacing w:after="0" w:line="213" w:lineRule="auto"/>
        <w:tabs>
          <w:tab w:leader="none" w:pos="120" w:val="left"/>
        </w:tabs>
        <w:numPr>
          <w:ilvl w:val="0"/>
          <w:numId w:val="23"/>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Includes intersegment revenues eliminated in the condensed consolidated financial statements.</w:t>
      </w:r>
    </w:p>
    <w:p>
      <w:pPr>
        <w:spacing w:after="0" w:line="37" w:lineRule="exact"/>
        <w:rPr>
          <w:rFonts w:ascii="Times New Roman" w:cs="Times New Roman" w:eastAsia="Times New Roman" w:hAnsi="Times New Roman"/>
          <w:sz w:val="14"/>
          <w:szCs w:val="14"/>
          <w:color w:val="auto"/>
          <w:vertAlign w:val="superscript"/>
        </w:rPr>
      </w:pPr>
    </w:p>
    <w:p>
      <w:pPr>
        <w:ind w:left="120" w:hanging="120"/>
        <w:spacing w:after="0" w:line="213" w:lineRule="auto"/>
        <w:tabs>
          <w:tab w:leader="none" w:pos="120" w:val="left"/>
        </w:tabs>
        <w:numPr>
          <w:ilvl w:val="0"/>
          <w:numId w:val="23"/>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Other includes management fee revenues earned from operations and management of unconsolidated entities and Fortistar Contracting LLC.</w:t>
      </w:r>
    </w:p>
    <w:p>
      <w:pPr>
        <w:spacing w:after="0" w:line="161" w:lineRule="exact"/>
        <w:rPr>
          <w:sz w:val="20"/>
          <w:szCs w:val="20"/>
          <w:color w:val="auto"/>
        </w:rPr>
      </w:pPr>
    </w:p>
    <w:p>
      <w:pPr>
        <w:jc w:val="center"/>
        <w:ind w:left="7500"/>
        <w:spacing w:after="0"/>
        <w:rPr>
          <w:sz w:val="20"/>
          <w:szCs w:val="20"/>
          <w:color w:val="auto"/>
        </w:rPr>
      </w:pPr>
      <w:r>
        <w:rPr>
          <w:rFonts w:ascii="Times New Roman" w:cs="Times New Roman" w:eastAsia="Times New Roman" w:hAnsi="Times New Roman"/>
          <w:sz w:val="12"/>
          <w:szCs w:val="12"/>
          <w:b w:val="1"/>
          <w:bCs w:val="1"/>
          <w:color w:val="auto"/>
        </w:rPr>
        <w:t>Three Months Ended</w:t>
      </w:r>
    </w:p>
    <w:p>
      <w:pPr>
        <w:spacing w:after="0" w:line="18" w:lineRule="exact"/>
        <w:rPr>
          <w:sz w:val="20"/>
          <w:szCs w:val="20"/>
          <w:color w:val="auto"/>
        </w:rPr>
      </w:pPr>
    </w:p>
    <w:p>
      <w:pPr>
        <w:jc w:val="center"/>
        <w:ind w:left="7500"/>
        <w:spacing w:after="0"/>
        <w:rPr>
          <w:sz w:val="20"/>
          <w:szCs w:val="20"/>
          <w:color w:val="auto"/>
        </w:rPr>
      </w:pPr>
      <w:r>
        <w:rPr>
          <w:rFonts w:ascii="Times New Roman" w:cs="Times New Roman" w:eastAsia="Times New Roman" w:hAnsi="Times New Roman"/>
          <w:sz w:val="12"/>
          <w:szCs w:val="12"/>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880" w:type="dxa"/>
            <w:vAlign w:val="bottom"/>
          </w:tcPr>
          <w:p>
            <w:pPr>
              <w:spacing w:after="0"/>
              <w:rPr>
                <w:sz w:val="14"/>
                <w:szCs w:val="14"/>
                <w:color w:val="auto"/>
              </w:rPr>
            </w:pPr>
          </w:p>
        </w:tc>
        <w:tc>
          <w:tcPr>
            <w:tcW w:w="980" w:type="dxa"/>
            <w:vAlign w:val="bottom"/>
            <w:tcBorders>
              <w:top w:val="single" w:sz="8" w:color="auto"/>
            </w:tcBorders>
          </w:tcPr>
          <w:p>
            <w:pPr>
              <w:jc w:val="right"/>
              <w:ind w:right="64"/>
              <w:spacing w:after="0"/>
              <w:rPr>
                <w:sz w:val="20"/>
                <w:szCs w:val="20"/>
                <w:color w:val="auto"/>
              </w:rPr>
            </w:pPr>
            <w:r>
              <w:rPr>
                <w:rFonts w:ascii="Times New Roman" w:cs="Times New Roman" w:eastAsia="Times New Roman" w:hAnsi="Times New Roman"/>
                <w:sz w:val="12"/>
                <w:szCs w:val="12"/>
                <w:b w:val="1"/>
                <w:bCs w:val="1"/>
                <w:color w:val="auto"/>
              </w:rPr>
              <w:t>2024</w:t>
            </w:r>
          </w:p>
        </w:tc>
        <w:tc>
          <w:tcPr>
            <w:tcW w:w="5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2023</w:t>
            </w:r>
          </w:p>
        </w:tc>
      </w:tr>
      <w:tr>
        <w:trPr>
          <w:trHeight w:val="21"/>
        </w:trPr>
        <w:tc>
          <w:tcPr>
            <w:tcW w:w="78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40"/>
        </w:trPr>
        <w:tc>
          <w:tcPr>
            <w:tcW w:w="7880" w:type="dxa"/>
            <w:vAlign w:val="bottom"/>
            <w:tcBorders>
              <w:bottom w:val="single" w:sz="8" w:color="CCEEFF"/>
            </w:tcBorders>
            <w:shd w:val="clear" w:color="auto" w:fill="CCEEFF"/>
          </w:tcPr>
          <w:p>
            <w:pPr>
              <w:ind w:left="20"/>
              <w:spacing w:after="0" w:line="136" w:lineRule="exact"/>
              <w:rPr>
                <w:sz w:val="20"/>
                <w:szCs w:val="20"/>
                <w:color w:val="auto"/>
              </w:rPr>
            </w:pPr>
            <w:r>
              <w:rPr>
                <w:rFonts w:ascii="Times New Roman" w:cs="Times New Roman" w:eastAsia="Times New Roman" w:hAnsi="Times New Roman"/>
                <w:sz w:val="12"/>
                <w:szCs w:val="12"/>
                <w:color w:val="auto"/>
              </w:rPr>
              <w:t>Interest and Financing Expense, Net:</w:t>
            </w:r>
          </w:p>
        </w:tc>
        <w:tc>
          <w:tcPr>
            <w:tcW w:w="98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spacing w:after="0"/>
              <w:rPr>
                <w:sz w:val="12"/>
                <w:szCs w:val="12"/>
                <w:color w:val="auto"/>
              </w:rPr>
            </w:pPr>
          </w:p>
        </w:tc>
        <w:tc>
          <w:tcPr>
            <w:tcW w:w="1140" w:type="dxa"/>
            <w:vAlign w:val="bottom"/>
            <w:tcBorders>
              <w:bottom w:val="single" w:sz="8" w:color="CCEEFF"/>
            </w:tcBorders>
            <w:shd w:val="clear" w:color="auto" w:fill="CCEEFF"/>
          </w:tcPr>
          <w:p>
            <w:pPr>
              <w:spacing w:after="0"/>
              <w:rPr>
                <w:sz w:val="12"/>
                <w:szCs w:val="12"/>
                <w:color w:val="auto"/>
              </w:rPr>
            </w:pPr>
          </w:p>
        </w:tc>
      </w:tr>
      <w:tr>
        <w:trPr>
          <w:trHeight w:val="156"/>
        </w:trPr>
        <w:tc>
          <w:tcPr>
            <w:tcW w:w="788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Renewable Power</w:t>
            </w:r>
          </w:p>
        </w:tc>
        <w:tc>
          <w:tcPr>
            <w:tcW w:w="980" w:type="dxa"/>
            <w:vAlign w:val="bottom"/>
          </w:tcPr>
          <w:p>
            <w:pPr>
              <w:jc w:val="right"/>
              <w:ind w:right="864"/>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w:t>
            </w:r>
          </w:p>
        </w:tc>
        <w:tc>
          <w:tcPr>
            <w:tcW w:w="100" w:type="dxa"/>
            <w:vAlign w:val="bottom"/>
          </w:tcPr>
          <w:p>
            <w:pPr>
              <w:spacing w:after="0"/>
              <w:rPr>
                <w:sz w:val="13"/>
                <w:szCs w:val="13"/>
                <w:color w:val="auto"/>
              </w:rPr>
            </w:pP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(264)</w:t>
            </w:r>
          </w:p>
        </w:tc>
      </w:tr>
      <w:tr>
        <w:trPr>
          <w:trHeight w:val="24"/>
        </w:trPr>
        <w:tc>
          <w:tcPr>
            <w:tcW w:w="78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80"/>
        </w:trPr>
        <w:tc>
          <w:tcPr>
            <w:tcW w:w="7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RNG Fuel</w:t>
            </w:r>
          </w:p>
        </w:tc>
        <w:tc>
          <w:tcPr>
            <w:tcW w:w="9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(4,291)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(655)</w:t>
            </w:r>
          </w:p>
        </w:tc>
      </w:tr>
      <w:tr>
        <w:trPr>
          <w:trHeight w:val="178"/>
        </w:trPr>
        <w:tc>
          <w:tcPr>
            <w:tcW w:w="788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Fuel Station Services</w:t>
            </w:r>
          </w:p>
        </w:tc>
        <w:tc>
          <w:tcPr>
            <w:tcW w:w="9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w:t>
            </w:r>
          </w:p>
        </w:tc>
      </w:tr>
      <w:tr>
        <w:trPr>
          <w:trHeight w:val="182"/>
        </w:trPr>
        <w:tc>
          <w:tcPr>
            <w:tcW w:w="7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Corporate</w:t>
            </w:r>
          </w:p>
        </w:tc>
        <w:tc>
          <w:tcPr>
            <w:tcW w:w="9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w:t>
            </w:r>
          </w:p>
        </w:tc>
      </w:tr>
      <w:tr>
        <w:trPr>
          <w:trHeight w:val="156"/>
        </w:trPr>
        <w:tc>
          <w:tcPr>
            <w:tcW w:w="788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Equity Method Investment(s)</w:t>
            </w:r>
          </w:p>
        </w:tc>
        <w:tc>
          <w:tcPr>
            <w:tcW w:w="980" w:type="dxa"/>
            <w:vAlign w:val="bottom"/>
          </w:tcPr>
          <w:p>
            <w:pPr>
              <w:jc w:val="right"/>
              <w:ind w:right="864"/>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116</w:t>
            </w:r>
          </w:p>
        </w:tc>
        <w:tc>
          <w:tcPr>
            <w:tcW w:w="100" w:type="dxa"/>
            <w:vAlign w:val="bottom"/>
          </w:tcPr>
          <w:p>
            <w:pPr>
              <w:spacing w:after="0"/>
              <w:rPr>
                <w:sz w:val="13"/>
                <w:szCs w:val="13"/>
                <w:color w:val="auto"/>
              </w:rPr>
            </w:pP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w:t>
            </w:r>
          </w:p>
        </w:tc>
      </w:tr>
      <w:tr>
        <w:trPr>
          <w:trHeight w:val="24"/>
        </w:trPr>
        <w:tc>
          <w:tcPr>
            <w:tcW w:w="78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5"/>
        </w:trPr>
        <w:tc>
          <w:tcPr>
            <w:tcW w:w="78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864"/>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(3,961)</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(641)</w:t>
            </w: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167640</wp:posOffset>
            </wp:positionV>
            <wp:extent cx="7193280"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208" w:right="319" w:bottom="1440" w:gutter="0" w:footer="0" w:header="0"/>
        </w:sectPr>
      </w:pPr>
    </w:p>
    <w:bookmarkStart w:id="38" w:name="page39"/>
    <w:bookmarkEnd w:id="38"/>
    <w:p>
      <w:pPr>
        <w:jc w:val="center"/>
        <w:ind w:left="5620"/>
        <w:spacing w:after="0"/>
        <w:rPr>
          <w:sz w:val="20"/>
          <w:szCs w:val="20"/>
          <w:color w:val="auto"/>
        </w:rPr>
      </w:pPr>
      <w:r>
        <w:rPr>
          <w:rFonts w:ascii="Times New Roman" w:cs="Times New Roman" w:eastAsia="Times New Roman" w:hAnsi="Times New Roman"/>
          <w:sz w:val="12"/>
          <w:szCs w:val="12"/>
          <w:b w:val="1"/>
          <w:bCs w:val="1"/>
          <w:color w:val="auto"/>
        </w:rPr>
        <w:t>Three Months Ended</w:t>
      </w:r>
    </w:p>
    <w:p>
      <w:pPr>
        <w:spacing w:after="0" w:line="18"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2"/>
          <w:szCs w:val="12"/>
          <w:b w:val="1"/>
          <w:bCs w:val="1"/>
          <w:color w:val="auto"/>
        </w:rPr>
        <w:t>March 31,</w:t>
      </w:r>
    </w:p>
    <w:p>
      <w:pPr>
        <w:spacing w:after="0" w:line="9" w:lineRule="exact"/>
        <w:rPr>
          <w:sz w:val="20"/>
          <w:szCs w:val="20"/>
          <w:color w:val="auto"/>
        </w:rPr>
      </w:pPr>
    </w:p>
    <w:tbl>
      <w:tblPr>
        <w:tblLayout w:type="fixed"/>
        <w:tblInd w:w="60" w:type="dxa"/>
        <w:tblCellMar>
          <w:top w:w="0" w:type="dxa"/>
          <w:left w:w="0" w:type="dxa"/>
          <w:bottom w:w="0" w:type="dxa"/>
          <w:right w:w="0" w:type="dxa"/>
        </w:tblCellMar>
      </w:tblPr>
      <w:tr>
        <w:trPr>
          <w:trHeight w:val="169"/>
        </w:trPr>
        <w:tc>
          <w:tcPr>
            <w:tcW w:w="696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gridSpan w:val="2"/>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2024</w:t>
            </w: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gridSpan w:val="3"/>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2023</w:t>
            </w: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69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0"/>
        </w:trPr>
        <w:tc>
          <w:tcPr>
            <w:tcW w:w="6960" w:type="dxa"/>
            <w:vAlign w:val="bottom"/>
            <w:tcBorders>
              <w:bottom w:val="single" w:sz="8" w:color="CCEEFF"/>
            </w:tcBorders>
            <w:shd w:val="clear" w:color="auto" w:fill="CCEEFF"/>
          </w:tcPr>
          <w:p>
            <w:pPr>
              <w:ind w:left="20"/>
              <w:spacing w:after="0" w:line="136" w:lineRule="exact"/>
              <w:rPr>
                <w:sz w:val="20"/>
                <w:szCs w:val="20"/>
                <w:color w:val="auto"/>
              </w:rPr>
            </w:pPr>
            <w:r>
              <w:rPr>
                <w:rFonts w:ascii="Times New Roman" w:cs="Times New Roman" w:eastAsia="Times New Roman" w:hAnsi="Times New Roman"/>
                <w:sz w:val="12"/>
                <w:szCs w:val="12"/>
                <w:color w:val="auto"/>
              </w:rPr>
              <w:t>Depreciation, Amortization, and Accretion:</w:t>
            </w:r>
          </w:p>
        </w:tc>
        <w:tc>
          <w:tcPr>
            <w:tcW w:w="34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69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Renewable Power</w:t>
            </w: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1,000</w:t>
            </w:r>
          </w:p>
        </w:tc>
        <w:tc>
          <w:tcPr>
            <w:tcW w:w="1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1,452</w:t>
            </w: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6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69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RNG Fuel</w:t>
            </w:r>
          </w:p>
        </w:tc>
        <w:tc>
          <w:tcPr>
            <w:tcW w:w="340" w:type="dxa"/>
            <w:vAlign w:val="bottom"/>
            <w:tcBorders>
              <w:bottom w:val="single" w:sz="8" w:color="CCEEFF"/>
            </w:tcBorders>
            <w:shd w:val="clear" w:color="auto" w:fill="CCEEFF"/>
          </w:tcPr>
          <w:p>
            <w:pPr>
              <w:spacing w:after="0"/>
              <w:rPr>
                <w:sz w:val="13"/>
                <w:szCs w:val="13"/>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2,346</w:t>
            </w: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2,024</w:t>
            </w: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9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Fuel Station Services</w:t>
            </w:r>
          </w:p>
        </w:tc>
        <w:tc>
          <w:tcPr>
            <w:tcW w:w="340" w:type="dxa"/>
            <w:vAlign w:val="bottom"/>
          </w:tcPr>
          <w:p>
            <w:pPr>
              <w:spacing w:after="0"/>
              <w:rPr>
                <w:sz w:val="13"/>
                <w:szCs w:val="13"/>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1,319</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790</w:t>
            </w: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6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6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Other</w:t>
            </w:r>
            <w:r>
              <w:rPr>
                <w:rFonts w:ascii="Times New Roman" w:cs="Times New Roman" w:eastAsia="Times New Roman" w:hAnsi="Times New Roman"/>
                <w:sz w:val="15"/>
                <w:szCs w:val="15"/>
                <w:color w:val="auto"/>
                <w:vertAlign w:val="superscript"/>
              </w:rPr>
              <w:t>(1)</w:t>
            </w:r>
          </w:p>
        </w:tc>
        <w:tc>
          <w:tcPr>
            <w:tcW w:w="3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w:t>
            </w: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69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Equity Method Investment(s)</w:t>
            </w:r>
          </w:p>
        </w:tc>
        <w:tc>
          <w:tcPr>
            <w:tcW w:w="340" w:type="dxa"/>
            <w:vAlign w:val="bottom"/>
          </w:tcPr>
          <w:p>
            <w:pPr>
              <w:spacing w:after="0"/>
              <w:rPr>
                <w:sz w:val="13"/>
                <w:szCs w:val="13"/>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(954)</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(715)</w:t>
            </w: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69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696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3,711</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3,567</w:t>
            </w: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bottom w:val="single" w:sz="8" w:color="CCEEFF"/>
            </w:tcBorders>
            <w:vMerge w:val="restart"/>
          </w:tcPr>
          <w:p>
            <w:pPr>
              <w:ind w:left="80"/>
              <w:spacing w:after="0"/>
              <w:rPr>
                <w:sz w:val="20"/>
                <w:szCs w:val="20"/>
                <w:color w:val="auto"/>
              </w:rPr>
            </w:pPr>
            <w:r>
              <w:rPr>
                <w:rFonts w:ascii="Times New Roman" w:cs="Times New Roman" w:eastAsia="Times New Roman" w:hAnsi="Times New Roman"/>
                <w:sz w:val="12"/>
                <w:szCs w:val="12"/>
                <w:color w:val="auto"/>
              </w:rPr>
              <w:t>(1)  Other includes amortization of intangible assets and depreciation expense not allocated to any segment.</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69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6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gridSpan w:val="4"/>
          </w:tcPr>
          <w:p>
            <w:pPr>
              <w:jc w:val="center"/>
              <w:ind w:right="440"/>
              <w:spacing w:after="0"/>
              <w:rPr>
                <w:sz w:val="20"/>
                <w:szCs w:val="20"/>
                <w:color w:val="auto"/>
              </w:rPr>
            </w:pPr>
            <w:r>
              <w:rPr>
                <w:rFonts w:ascii="Times New Roman" w:cs="Times New Roman" w:eastAsia="Times New Roman" w:hAnsi="Times New Roman"/>
                <w:sz w:val="12"/>
                <w:szCs w:val="12"/>
                <w:b w:val="1"/>
                <w:bCs w:val="1"/>
                <w:color w:val="auto"/>
                <w:w w:val="98"/>
              </w:rPr>
              <w:t>Three Months Ended</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69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40" w:type="dxa"/>
            <w:vAlign w:val="bottom"/>
            <w:gridSpan w:val="4"/>
          </w:tcPr>
          <w:p>
            <w:pPr>
              <w:jc w:val="center"/>
              <w:ind w:right="440"/>
              <w:spacing w:after="0"/>
              <w:rPr>
                <w:sz w:val="20"/>
                <w:szCs w:val="20"/>
                <w:color w:val="auto"/>
              </w:rPr>
            </w:pPr>
            <w:r>
              <w:rPr>
                <w:rFonts w:ascii="Times New Roman" w:cs="Times New Roman" w:eastAsia="Times New Roman" w:hAnsi="Times New Roman"/>
                <w:sz w:val="12"/>
                <w:szCs w:val="12"/>
                <w:b w:val="1"/>
                <w:bCs w:val="1"/>
                <w:color w:val="auto"/>
                <w:w w:val="98"/>
              </w:rPr>
              <w:t>March 31,</w:t>
            </w: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6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gridSpan w:val="4"/>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6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tcBorders>
              <w:top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2024</w:t>
            </w:r>
          </w:p>
        </w:tc>
        <w:tc>
          <w:tcPr>
            <w:tcW w:w="5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2023</w:t>
            </w:r>
          </w:p>
        </w:tc>
        <w:tc>
          <w:tcPr>
            <w:tcW w:w="4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69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0"/>
        </w:trPr>
        <w:tc>
          <w:tcPr>
            <w:tcW w:w="6960" w:type="dxa"/>
            <w:vAlign w:val="bottom"/>
            <w:tcBorders>
              <w:bottom w:val="single" w:sz="8" w:color="CCEEFF"/>
            </w:tcBorders>
            <w:shd w:val="clear" w:color="auto" w:fill="CCEEFF"/>
          </w:tcPr>
          <w:p>
            <w:pPr>
              <w:ind w:left="20"/>
              <w:spacing w:after="0" w:line="136" w:lineRule="exact"/>
              <w:rPr>
                <w:sz w:val="20"/>
                <w:szCs w:val="20"/>
                <w:color w:val="auto"/>
              </w:rPr>
            </w:pPr>
            <w:r>
              <w:rPr>
                <w:rFonts w:ascii="Times New Roman" w:cs="Times New Roman" w:eastAsia="Times New Roman" w:hAnsi="Times New Roman"/>
                <w:sz w:val="12"/>
                <w:szCs w:val="12"/>
                <w:color w:val="auto"/>
              </w:rPr>
              <w:t>Net income (loss)</w:t>
            </w:r>
          </w:p>
        </w:tc>
        <w:tc>
          <w:tcPr>
            <w:tcW w:w="34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69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Renewable Power</w:t>
            </w:r>
          </w:p>
        </w:tc>
        <w:tc>
          <w:tcPr>
            <w:tcW w:w="340" w:type="dxa"/>
            <w:vAlign w:val="bottom"/>
          </w:tcPr>
          <w:p>
            <w:pPr>
              <w:spacing w:after="0"/>
              <w:rPr>
                <w:sz w:val="13"/>
                <w:szCs w:val="13"/>
                <w:color w:val="auto"/>
              </w:rPr>
            </w:pPr>
          </w:p>
        </w:tc>
        <w:tc>
          <w:tcPr>
            <w:tcW w:w="1100" w:type="dxa"/>
            <w:vAlign w:val="bottom"/>
            <w:gridSpan w:val="2"/>
          </w:tcPr>
          <w:p>
            <w:pPr>
              <w:jc w:val="right"/>
              <w:ind w:right="5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w:t>
            </w:r>
          </w:p>
        </w:tc>
        <w:tc>
          <w:tcPr>
            <w:tcW w:w="100" w:type="dxa"/>
            <w:vAlign w:val="bottom"/>
          </w:tcPr>
          <w:p>
            <w:pPr>
              <w:spacing w:after="0"/>
              <w:rPr>
                <w:sz w:val="13"/>
                <w:szCs w:val="13"/>
                <w:color w:val="auto"/>
              </w:rPr>
            </w:pPr>
          </w:p>
        </w:tc>
        <w:tc>
          <w:tcPr>
            <w:tcW w:w="660" w:type="dxa"/>
            <w:vAlign w:val="bottom"/>
          </w:tcPr>
          <w:p>
            <w:pPr>
              <w:jc w:val="right"/>
              <w:ind w:right="520"/>
              <w:spacing w:after="0"/>
              <w:rPr>
                <w:sz w:val="20"/>
                <w:szCs w:val="20"/>
                <w:color w:val="auto"/>
              </w:rPr>
            </w:pPr>
            <w:r>
              <w:rPr>
                <w:rFonts w:ascii="Times New Roman" w:cs="Times New Roman" w:eastAsia="Times New Roman" w:hAnsi="Times New Roman"/>
                <w:sz w:val="12"/>
                <w:szCs w:val="12"/>
                <w:color w:val="auto"/>
                <w:w w:val="99"/>
              </w:rPr>
              <w:t>$</w:t>
            </w:r>
          </w:p>
        </w:tc>
        <w:tc>
          <w:tcPr>
            <w:tcW w:w="3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4,542</w:t>
            </w:r>
          </w:p>
        </w:tc>
        <w:tc>
          <w:tcPr>
            <w:tcW w:w="0" w:type="dxa"/>
            <w:vAlign w:val="bottom"/>
          </w:tcPr>
          <w:p>
            <w:pPr>
              <w:spacing w:after="0"/>
              <w:rPr>
                <w:sz w:val="1"/>
                <w:szCs w:val="1"/>
                <w:color w:val="auto"/>
              </w:rPr>
            </w:pPr>
          </w:p>
        </w:tc>
      </w:tr>
      <w:tr>
        <w:trPr>
          <w:trHeight w:val="24"/>
        </w:trPr>
        <w:tc>
          <w:tcPr>
            <w:tcW w:w="6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69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RNG Fuel</w:t>
            </w:r>
          </w:p>
        </w:tc>
        <w:tc>
          <w:tcPr>
            <w:tcW w:w="34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2,925</w:t>
            </w:r>
          </w:p>
        </w:tc>
        <w:tc>
          <w:tcPr>
            <w:tcW w:w="10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(4,268)</w:t>
            </w:r>
          </w:p>
        </w:tc>
        <w:tc>
          <w:tcPr>
            <w:tcW w:w="0" w:type="dxa"/>
            <w:vAlign w:val="bottom"/>
          </w:tcPr>
          <w:p>
            <w:pPr>
              <w:spacing w:after="0"/>
              <w:rPr>
                <w:sz w:val="1"/>
                <w:szCs w:val="1"/>
                <w:color w:val="auto"/>
              </w:rPr>
            </w:pPr>
          </w:p>
        </w:tc>
      </w:tr>
      <w:tr>
        <w:trPr>
          <w:trHeight w:val="156"/>
        </w:trPr>
        <w:tc>
          <w:tcPr>
            <w:tcW w:w="69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Fuel Station Services</w:t>
            </w: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5,722</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w:t>
            </w:r>
          </w:p>
        </w:tc>
        <w:tc>
          <w:tcPr>
            <w:tcW w:w="0" w:type="dxa"/>
            <w:vAlign w:val="bottom"/>
          </w:tcPr>
          <w:p>
            <w:pPr>
              <w:spacing w:after="0"/>
              <w:rPr>
                <w:sz w:val="1"/>
                <w:szCs w:val="1"/>
                <w:color w:val="auto"/>
              </w:rPr>
            </w:pPr>
          </w:p>
        </w:tc>
      </w:tr>
      <w:tr>
        <w:trPr>
          <w:trHeight w:val="24"/>
        </w:trPr>
        <w:tc>
          <w:tcPr>
            <w:tcW w:w="6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6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Corporate</w:t>
            </w:r>
          </w:p>
        </w:tc>
        <w:tc>
          <w:tcPr>
            <w:tcW w:w="3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(12,103)</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(8,366)</w:t>
            </w:r>
          </w:p>
        </w:tc>
        <w:tc>
          <w:tcPr>
            <w:tcW w:w="0" w:type="dxa"/>
            <w:vAlign w:val="bottom"/>
          </w:tcPr>
          <w:p>
            <w:pPr>
              <w:spacing w:after="0"/>
              <w:rPr>
                <w:sz w:val="1"/>
                <w:szCs w:val="1"/>
                <w:color w:val="auto"/>
              </w:rPr>
            </w:pPr>
          </w:p>
        </w:tc>
      </w:tr>
      <w:tr>
        <w:trPr>
          <w:trHeight w:val="156"/>
        </w:trPr>
        <w:tc>
          <w:tcPr>
            <w:tcW w:w="69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Equity Method Investment(s)</w:t>
            </w: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4,206</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705</w:t>
            </w:r>
          </w:p>
        </w:tc>
        <w:tc>
          <w:tcPr>
            <w:tcW w:w="0" w:type="dxa"/>
            <w:vAlign w:val="bottom"/>
          </w:tcPr>
          <w:p>
            <w:pPr>
              <w:spacing w:after="0"/>
              <w:rPr>
                <w:sz w:val="1"/>
                <w:szCs w:val="1"/>
                <w:color w:val="auto"/>
              </w:rPr>
            </w:pPr>
          </w:p>
        </w:tc>
      </w:tr>
      <w:tr>
        <w:trPr>
          <w:trHeight w:val="24"/>
        </w:trPr>
        <w:tc>
          <w:tcPr>
            <w:tcW w:w="69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696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677</w:t>
            </w: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ind w:right="520"/>
              <w:spacing w:after="0"/>
              <w:rPr>
                <w:sz w:val="20"/>
                <w:szCs w:val="20"/>
                <w:color w:val="auto"/>
              </w:rPr>
            </w:pPr>
            <w:r>
              <w:rPr>
                <w:rFonts w:ascii="Times New Roman" w:cs="Times New Roman" w:eastAsia="Times New Roman" w:hAnsi="Times New Roman"/>
                <w:sz w:val="12"/>
                <w:szCs w:val="12"/>
                <w:color w:val="auto"/>
                <w:w w:val="99"/>
              </w:rPr>
              <w:t>$</w:t>
            </w:r>
          </w:p>
        </w:tc>
        <w:tc>
          <w:tcPr>
            <w:tcW w:w="34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(7,346)</w:t>
            </w: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7" w:lineRule="exact"/>
        <w:rPr>
          <w:sz w:val="20"/>
          <w:szCs w:val="20"/>
          <w:color w:val="auto"/>
        </w:rPr>
      </w:pPr>
    </w:p>
    <w:p>
      <w:pPr>
        <w:jc w:val="center"/>
        <w:ind w:left="7520"/>
        <w:spacing w:after="0"/>
        <w:rPr>
          <w:sz w:val="20"/>
          <w:szCs w:val="20"/>
          <w:color w:val="auto"/>
        </w:rPr>
      </w:pPr>
      <w:r>
        <w:rPr>
          <w:rFonts w:ascii="Times New Roman" w:cs="Times New Roman" w:eastAsia="Times New Roman" w:hAnsi="Times New Roman"/>
          <w:sz w:val="12"/>
          <w:szCs w:val="12"/>
          <w:b w:val="1"/>
          <w:bCs w:val="1"/>
          <w:color w:val="auto"/>
        </w:rPr>
        <w:t>Three Months Ended</w:t>
      </w:r>
    </w:p>
    <w:p>
      <w:pPr>
        <w:spacing w:after="0" w:line="18" w:lineRule="exact"/>
        <w:rPr>
          <w:sz w:val="20"/>
          <w:szCs w:val="20"/>
          <w:color w:val="auto"/>
        </w:rPr>
      </w:pPr>
    </w:p>
    <w:p>
      <w:pPr>
        <w:jc w:val="center"/>
        <w:ind w:left="7520"/>
        <w:spacing w:after="0"/>
        <w:rPr>
          <w:sz w:val="20"/>
          <w:szCs w:val="20"/>
          <w:color w:val="auto"/>
        </w:rPr>
      </w:pPr>
      <w:r>
        <w:rPr>
          <w:rFonts w:ascii="Times New Roman" w:cs="Times New Roman" w:eastAsia="Times New Roman" w:hAnsi="Times New Roman"/>
          <w:sz w:val="12"/>
          <w:szCs w:val="12"/>
          <w:b w:val="1"/>
          <w:bCs w:val="1"/>
          <w:color w:val="auto"/>
        </w:rPr>
        <w:t>March 31,</w:t>
      </w:r>
    </w:p>
    <w:p>
      <w:pPr>
        <w:sectPr>
          <w:pgSz w:w="11900" w:h="16838" w:orient="portrait"/>
          <w:cols w:equalWidth="0" w:num="1">
            <w:col w:w="11340"/>
          </w:cols>
          <w:pgMar w:left="240" w:top="1408" w:right="319" w:bottom="1440" w:gutter="0" w:footer="0" w:header="0"/>
        </w:sectPr>
      </w:pPr>
    </w:p>
    <w:p>
      <w:pPr>
        <w:spacing w:after="0" w:line="22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Cash paid for Purchases of Property, Plant, and Equipment:</w:t>
      </w:r>
    </w:p>
    <w:p>
      <w:pPr>
        <w:spacing w:after="0" w:line="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2"/>
          <w:szCs w:val="12"/>
          <w:color w:val="auto"/>
        </w:rPr>
        <w:t>Fuel Station Services</w:t>
      </w:r>
    </w:p>
    <w:p>
      <w:pPr>
        <w:spacing w:after="0" w:line="4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2"/>
          <w:szCs w:val="12"/>
          <w:color w:val="auto"/>
        </w:rPr>
        <w:t>RNG Fuel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642620</wp:posOffset>
            </wp:positionV>
            <wp:extent cx="4467225" cy="1143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467225" cy="114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Total Assets:</w:t>
      </w:r>
    </w:p>
    <w:p>
      <w:pPr>
        <w:spacing w:after="0" w:line="4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color w:val="auto"/>
        </w:rPr>
        <w:t>Renewable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26035</wp:posOffset>
            </wp:positionV>
            <wp:extent cx="4467225" cy="1143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467225" cy="114300"/>
                    </a:xfrm>
                    <a:prstGeom prst="rect">
                      <a:avLst/>
                    </a:prstGeom>
                    <a:noFill/>
                  </pic:spPr>
                </pic:pic>
              </a:graphicData>
            </a:graphic>
          </wp:anchor>
        </w:drawing>
      </w:r>
    </w:p>
    <w:p>
      <w:pPr>
        <w:spacing w:after="0" w:line="2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color w:val="auto"/>
        </w:rPr>
        <w:t>RNG Fuel</w:t>
      </w:r>
    </w:p>
    <w:p>
      <w:pPr>
        <w:spacing w:after="0" w:line="6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color w:val="auto"/>
        </w:rPr>
        <w:t>Fuel Station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13335</wp:posOffset>
            </wp:positionV>
            <wp:extent cx="4467225" cy="1143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467225" cy="114300"/>
                    </a:xfrm>
                    <a:prstGeom prst="rect">
                      <a:avLst/>
                    </a:prstGeom>
                    <a:noFill/>
                  </pic:spPr>
                </pic:pic>
              </a:graphicData>
            </a:graphic>
          </wp:anchor>
        </w:drawing>
      </w:r>
    </w:p>
    <w:p>
      <w:pPr>
        <w:spacing w:after="0" w:line="2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color w:val="auto"/>
        </w:rPr>
        <w:t>Corporate and other</w:t>
      </w:r>
    </w:p>
    <w:p>
      <w:pPr>
        <w:spacing w:after="0" w:line="2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color w:val="auto"/>
        </w:rPr>
        <w:t>Equity Method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26035</wp:posOffset>
            </wp:positionV>
            <wp:extent cx="4467225" cy="1333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467225" cy="133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2860" w:type="dxa"/>
        <w:tblCellMar>
          <w:top w:w="0" w:type="dxa"/>
          <w:left w:w="0" w:type="dxa"/>
          <w:bottom w:w="0" w:type="dxa"/>
          <w:right w:w="0" w:type="dxa"/>
        </w:tblCellMar>
      </w:tblPr>
      <w:tr>
        <w:trPr>
          <w:trHeight w:val="169"/>
        </w:trPr>
        <w:tc>
          <w:tcPr>
            <w:tcW w:w="3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2024</w:t>
            </w:r>
          </w:p>
        </w:tc>
        <w:tc>
          <w:tcPr>
            <w:tcW w:w="10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2023</w:t>
            </w:r>
          </w:p>
        </w:tc>
      </w:tr>
      <w:tr>
        <w:trPr>
          <w:trHeight w:val="21"/>
        </w:trPr>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316"/>
        </w:trPr>
        <w:tc>
          <w:tcPr>
            <w:tcW w:w="340" w:type="dxa"/>
            <w:vAlign w:val="bottom"/>
          </w:tcPr>
          <w:p>
            <w:pPr>
              <w:jc w:val="right"/>
              <w:ind w:right="225"/>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3,795</w:t>
            </w:r>
          </w:p>
        </w:tc>
        <w:tc>
          <w:tcPr>
            <w:tcW w:w="100" w:type="dxa"/>
            <w:vAlign w:val="bottom"/>
          </w:tcPr>
          <w:p>
            <w:pPr>
              <w:spacing w:after="0"/>
              <w:rPr>
                <w:sz w:val="24"/>
                <w:szCs w:val="24"/>
                <w:color w:val="auto"/>
              </w:rPr>
            </w:pP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5,665</w:t>
            </w:r>
          </w:p>
        </w:tc>
      </w:tr>
      <w:tr>
        <w:trPr>
          <w:trHeight w:val="180"/>
        </w:trPr>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22,957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33,115</w:t>
            </w:r>
          </w:p>
        </w:tc>
      </w:tr>
      <w:tr>
        <w:trPr>
          <w:trHeight w:val="24"/>
        </w:trPr>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46"/>
        </w:trPr>
        <w:tc>
          <w:tcPr>
            <w:tcW w:w="340" w:type="dxa"/>
            <w:vAlign w:val="bottom"/>
          </w:tcPr>
          <w:p>
            <w:pPr>
              <w:jc w:val="right"/>
              <w:ind w:right="225"/>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26,752</w:t>
            </w:r>
          </w:p>
        </w:tc>
        <w:tc>
          <w:tcPr>
            <w:tcW w:w="100" w:type="dxa"/>
            <w:vAlign w:val="bottom"/>
          </w:tcPr>
          <w:p>
            <w:pPr>
              <w:spacing w:after="0"/>
              <w:rPr>
                <w:sz w:val="12"/>
                <w:szCs w:val="12"/>
                <w:color w:val="auto"/>
              </w:rPr>
            </w:pP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38,780</w:t>
            </w:r>
          </w:p>
        </w:tc>
      </w:tr>
      <w:tr>
        <w:trPr>
          <w:trHeight w:val="24"/>
        </w:trPr>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-3187065</wp:posOffset>
            </wp:positionH>
            <wp:positionV relativeFrom="paragraph">
              <wp:posOffset>-488950</wp:posOffset>
            </wp:positionV>
            <wp:extent cx="6945630" cy="1143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45630" cy="114300"/>
                    </a:xfrm>
                    <a:prstGeom prst="rect">
                      <a:avLst/>
                    </a:prstGeom>
                    <a:noFill/>
                  </pic:spPr>
                </pic:pic>
              </a:graphicData>
            </a:graphic>
          </wp:anchor>
        </w:drawing>
        <w:drawing>
          <wp:anchor simplePos="0" relativeHeight="251657728" behindDoc="1" locked="0" layoutInCell="0" allowOverlap="1">
            <wp:simplePos x="0" y="0"/>
            <wp:positionH relativeFrom="column">
              <wp:posOffset>-3187065</wp:posOffset>
            </wp:positionH>
            <wp:positionV relativeFrom="paragraph">
              <wp:posOffset>-259715</wp:posOffset>
            </wp:positionV>
            <wp:extent cx="6945630" cy="1143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45630" cy="114300"/>
                    </a:xfrm>
                    <a:prstGeom prst="rect">
                      <a:avLst/>
                    </a:prstGeom>
                    <a:noFill/>
                  </pic:spPr>
                </pic:pic>
              </a:graphicData>
            </a:graphic>
          </wp:anchor>
        </w:drawing>
      </w:r>
    </w:p>
    <w:p>
      <w:pPr>
        <w:spacing w:after="0" w:line="207" w:lineRule="exact"/>
        <w:rPr>
          <w:sz w:val="20"/>
          <w:szCs w:val="20"/>
          <w:color w:val="auto"/>
        </w:rPr>
      </w:pPr>
    </w:p>
    <w:p>
      <w:pPr>
        <w:jc w:val="center"/>
        <w:ind w:right="4320"/>
        <w:spacing w:after="0"/>
        <w:rPr>
          <w:sz w:val="20"/>
          <w:szCs w:val="20"/>
          <w:color w:val="auto"/>
        </w:rPr>
      </w:pPr>
      <w:r>
        <w:rPr>
          <w:rFonts w:ascii="Times New Roman" w:cs="Times New Roman" w:eastAsia="Times New Roman" w:hAnsi="Times New Roman"/>
          <w:sz w:val="12"/>
          <w:szCs w:val="12"/>
          <w:b w:val="1"/>
          <w:bCs w:val="1"/>
          <w:color w:val="auto"/>
        </w:rPr>
        <w:t>Three Months Ended</w:t>
      </w:r>
    </w:p>
    <w:p>
      <w:pPr>
        <w:spacing w:after="0" w:line="18" w:lineRule="exact"/>
        <w:rPr>
          <w:sz w:val="20"/>
          <w:szCs w:val="20"/>
          <w:color w:val="auto"/>
        </w:rPr>
      </w:pPr>
    </w:p>
    <w:p>
      <w:pPr>
        <w:jc w:val="center"/>
        <w:ind w:right="4320"/>
        <w:spacing w:after="0"/>
        <w:rPr>
          <w:sz w:val="20"/>
          <w:szCs w:val="20"/>
          <w:color w:val="auto"/>
        </w:rPr>
      </w:pPr>
      <w:r>
        <w:rPr>
          <w:rFonts w:ascii="Times New Roman" w:cs="Times New Roman" w:eastAsia="Times New Roman" w:hAnsi="Times New Roman"/>
          <w:sz w:val="12"/>
          <w:szCs w:val="12"/>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rPr>
              <w:t>2024</w:t>
            </w:r>
          </w:p>
        </w:tc>
        <w:tc>
          <w:tcPr>
            <w:tcW w:w="6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rPr>
              <w:t>2023</w:t>
            </w:r>
          </w:p>
        </w:tc>
      </w:tr>
      <w:tr>
        <w:trPr>
          <w:trHeight w:val="21"/>
        </w:trPr>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316"/>
        </w:trPr>
        <w:tc>
          <w:tcPr>
            <w:tcW w:w="2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36,266</w:t>
            </w:r>
          </w:p>
        </w:tc>
        <w:tc>
          <w:tcPr>
            <w:tcW w:w="60" w:type="dxa"/>
            <w:vAlign w:val="bottom"/>
          </w:tcPr>
          <w:p>
            <w:pPr>
              <w:spacing w:after="0"/>
              <w:rPr>
                <w:sz w:val="24"/>
                <w:szCs w:val="24"/>
                <w:color w:val="auto"/>
              </w:rPr>
            </w:pP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46,199</w:t>
            </w:r>
          </w:p>
        </w:tc>
      </w:tr>
      <w:tr>
        <w:trPr>
          <w:trHeight w:val="180"/>
        </w:trPr>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332,204</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347,591</w:t>
            </w:r>
          </w:p>
        </w:tc>
      </w:tr>
      <w:tr>
        <w:trPr>
          <w:trHeight w:val="180"/>
        </w:trPr>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150,739</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110,113</w:t>
            </w:r>
          </w:p>
        </w:tc>
      </w:tr>
      <w:tr>
        <w:trPr>
          <w:trHeight w:val="180"/>
        </w:trPr>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25,276</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52,229</w:t>
            </w:r>
          </w:p>
        </w:tc>
      </w:tr>
      <w:tr>
        <w:trPr>
          <w:trHeight w:val="180"/>
        </w:trPr>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206,014</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50,570</w:t>
            </w:r>
          </w:p>
        </w:tc>
      </w:tr>
      <w:tr>
        <w:trPr>
          <w:trHeight w:val="24"/>
        </w:trPr>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46"/>
        </w:trPr>
        <w:tc>
          <w:tcPr>
            <w:tcW w:w="2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750,499</w:t>
            </w:r>
          </w:p>
        </w:tc>
        <w:tc>
          <w:tcPr>
            <w:tcW w:w="60" w:type="dxa"/>
            <w:vAlign w:val="bottom"/>
          </w:tcPr>
          <w:p>
            <w:pPr>
              <w:spacing w:after="0"/>
              <w:rPr>
                <w:sz w:val="12"/>
                <w:szCs w:val="12"/>
                <w:color w:val="auto"/>
              </w:rPr>
            </w:pP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606,702</w:t>
            </w:r>
          </w:p>
        </w:tc>
      </w:tr>
      <w:tr>
        <w:trPr>
          <w:trHeight w:val="24"/>
        </w:trPr>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ectPr>
          <w:pgSz w:w="11900" w:h="16838" w:orient="portrait"/>
          <w:cols w:equalWidth="0" w:num="2">
            <w:col w:w="4360" w:space="720"/>
            <w:col w:w="6260"/>
          </w:cols>
          <w:pgMar w:left="240" w:top="1408" w:right="319" w:bottom="1440" w:gutter="0" w:footer="0" w:header="0"/>
          <w:type w:val="continuous"/>
        </w:sectPr>
      </w:pPr>
    </w:p>
    <w:p>
      <w:pPr>
        <w:ind w:left="380"/>
        <w:spacing w:after="0"/>
        <w:rPr>
          <w:sz w:val="20"/>
          <w:szCs w:val="20"/>
          <w:color w:val="auto"/>
        </w:rPr>
      </w:pPr>
      <w:r>
        <w:rPr>
          <w:rFonts w:ascii="Times New Roman" w:cs="Times New Roman" w:eastAsia="Times New Roman" w:hAnsi="Times New Roman"/>
          <w:sz w:val="13"/>
          <w:szCs w:val="13"/>
          <w:color w:val="auto"/>
        </w:rPr>
        <w:t>Geographic Information: The Company's assets and revenue generating activities are domiciled in the United States.</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b w:val="1"/>
          <w:bCs w:val="1"/>
          <w:color w:val="auto"/>
        </w:rPr>
        <w:t>12. Variable Interest Entities</w:t>
      </w:r>
    </w:p>
    <w:p>
      <w:pPr>
        <w:spacing w:after="0" w:line="125" w:lineRule="exact"/>
        <w:rPr>
          <w:sz w:val="20"/>
          <w:szCs w:val="20"/>
          <w:color w:val="auto"/>
        </w:rPr>
      </w:pPr>
    </w:p>
    <w:p>
      <w:pPr>
        <w:jc w:val="both"/>
        <w:ind w:left="60" w:firstLine="240"/>
        <w:spacing w:after="0" w:line="275" w:lineRule="auto"/>
        <w:rPr>
          <w:sz w:val="20"/>
          <w:szCs w:val="20"/>
          <w:color w:val="auto"/>
        </w:rPr>
      </w:pPr>
      <w:r>
        <w:rPr>
          <w:rFonts w:ascii="Times New Roman" w:cs="Times New Roman" w:eastAsia="Times New Roman" w:hAnsi="Times New Roman"/>
          <w:sz w:val="13"/>
          <w:szCs w:val="13"/>
          <w:color w:val="auto"/>
        </w:rPr>
        <w:t>We determine whether we are the primary beneficiary of a VIE upon our initial involvement with the VIE and we reassess whether we are the primary beneficiary of a VIE on an ongoing basis. Our determination of whether we are the primary beneficiary of a VIE is based upon the facts and circumstances for each VIE and requires judgment. Our considerations in determining the VIE's most significant activities and whether we have power to direct those activities</w:t>
      </w:r>
    </w:p>
    <w:p>
      <w:pPr>
        <w:spacing w:after="0" w:line="2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167640</wp:posOffset>
            </wp:positionV>
            <wp:extent cx="7193280"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340"/>
          </w:cols>
          <w:pgMar w:left="240" w:top="1408" w:right="319" w:bottom="1440" w:gutter="0" w:footer="0" w:header="0"/>
          <w:type w:val="continuous"/>
        </w:sectPr>
      </w:pPr>
    </w:p>
    <w:bookmarkStart w:id="39" w:name="page40"/>
    <w:bookmarkEnd w:id="39"/>
    <w:p>
      <w:pPr>
        <w:jc w:val="both"/>
        <w:spacing w:after="0" w:line="275" w:lineRule="auto"/>
        <w:rPr>
          <w:sz w:val="20"/>
          <w:szCs w:val="20"/>
          <w:color w:val="auto"/>
        </w:rPr>
      </w:pPr>
      <w:r>
        <w:rPr>
          <w:rFonts w:ascii="Times New Roman" w:cs="Times New Roman" w:eastAsia="Times New Roman" w:hAnsi="Times New Roman"/>
          <w:sz w:val="13"/>
          <w:szCs w:val="13"/>
          <w:color w:val="auto"/>
        </w:rPr>
        <w:t>include, but are not limited to, the VIE's purpose and design and the risks passed through to investors, the voting interests of the VIE, management, service and/or other agreements of the VIE, involvement in the VIE's initial design, and the existence of explicit or implicit financial guarantees. If we are the party with the power over the most significant activities, we meet the "power" criteria of the primary beneficiary. If we do not have the power over the most significant activities or we determine that all significant decisions require consent of a third-party, we do not meet the "power" criteria of the primary beneficiary.</w:t>
      </w:r>
    </w:p>
    <w:p>
      <w:pPr>
        <w:spacing w:after="0" w:line="67" w:lineRule="exact"/>
        <w:rPr>
          <w:sz w:val="20"/>
          <w:szCs w:val="20"/>
          <w:color w:val="auto"/>
        </w:rPr>
      </w:pPr>
    </w:p>
    <w:p>
      <w:pPr>
        <w:jc w:val="both"/>
        <w:ind w:firstLine="240"/>
        <w:spacing w:after="0" w:line="275" w:lineRule="auto"/>
        <w:rPr>
          <w:sz w:val="20"/>
          <w:szCs w:val="20"/>
          <w:color w:val="auto"/>
        </w:rPr>
      </w:pPr>
      <w:r>
        <w:rPr>
          <w:rFonts w:ascii="Times New Roman" w:cs="Times New Roman" w:eastAsia="Times New Roman" w:hAnsi="Times New Roman"/>
          <w:sz w:val="13"/>
          <w:szCs w:val="13"/>
          <w:color w:val="auto"/>
        </w:rPr>
        <w:t>We assess our variable interests in a VIE both individually and in aggregate to determine whether we have an obligation to absorb losses of or a right to receive benefits from the VIE that could potentially be significant to the VIE. The determination of whether our variable interest is significant to the VIE requires judgment. In determining the significance of our variable interest, we consider the terms, characteristics and size of the variable interests, the design and characteristics of the VIE, our involvement in the VIE, and our market-making activities related to the variable interests.</w:t>
      </w:r>
    </w:p>
    <w:p>
      <w:pPr>
        <w:spacing w:after="0" w:line="77" w:lineRule="exact"/>
        <w:rPr>
          <w:sz w:val="20"/>
          <w:szCs w:val="20"/>
          <w:color w:val="auto"/>
        </w:rPr>
      </w:pPr>
    </w:p>
    <w:p>
      <w:pPr>
        <w:jc w:val="both"/>
        <w:ind w:firstLine="240"/>
        <w:spacing w:after="0" w:line="294" w:lineRule="auto"/>
        <w:rPr>
          <w:sz w:val="20"/>
          <w:szCs w:val="20"/>
          <w:color w:val="auto"/>
        </w:rPr>
      </w:pPr>
      <w:r>
        <w:rPr>
          <w:rFonts w:ascii="Times New Roman" w:cs="Times New Roman" w:eastAsia="Times New Roman" w:hAnsi="Times New Roman"/>
          <w:sz w:val="13"/>
          <w:szCs w:val="13"/>
          <w:color w:val="auto"/>
        </w:rPr>
        <w:t>As of March 31, 2024 and December 31, 2023, the Company held equity interests in seven VIEs — Sunoma, GREP, Emerald, Sapphire, Paragon, SJI Joint Venture (RNG Atlantic and RNG Burlington) and Central Valley.</w:t>
      </w:r>
    </w:p>
    <w:p>
      <w:pPr>
        <w:spacing w:after="0" w:line="64" w:lineRule="exact"/>
        <w:rPr>
          <w:sz w:val="20"/>
          <w:szCs w:val="20"/>
          <w:color w:val="auto"/>
        </w:rPr>
      </w:pPr>
    </w:p>
    <w:p>
      <w:pPr>
        <w:jc w:val="both"/>
        <w:ind w:firstLine="240"/>
        <w:spacing w:after="0" w:line="267" w:lineRule="auto"/>
        <w:rPr>
          <w:sz w:val="20"/>
          <w:szCs w:val="20"/>
          <w:color w:val="auto"/>
        </w:rPr>
      </w:pPr>
      <w:r>
        <w:rPr>
          <w:rFonts w:ascii="Times New Roman" w:cs="Times New Roman" w:eastAsia="Times New Roman" w:hAnsi="Times New Roman"/>
          <w:sz w:val="13"/>
          <w:szCs w:val="13"/>
          <w:color w:val="auto"/>
        </w:rPr>
        <w:t>As of March 31, 2024 and December 31, 2023 , GREP, Paragon and SJI were presented as equity method investments and the remaining two VIEs Sunoma and Central Valley are consolidated by the Company.</w:t>
      </w:r>
    </w:p>
    <w:p>
      <w:pPr>
        <w:spacing w:after="0" w:line="254" w:lineRule="exact"/>
        <w:rPr>
          <w:sz w:val="20"/>
          <w:szCs w:val="20"/>
          <w:color w:val="auto"/>
        </w:rPr>
      </w:pPr>
    </w:p>
    <w:p>
      <w:pPr>
        <w:jc w:val="both"/>
        <w:ind w:firstLine="240"/>
        <w:spacing w:after="0" w:line="275" w:lineRule="auto"/>
        <w:rPr>
          <w:sz w:val="20"/>
          <w:szCs w:val="20"/>
          <w:color w:val="auto"/>
        </w:rPr>
      </w:pPr>
      <w:r>
        <w:rPr>
          <w:rFonts w:ascii="Times New Roman" w:cs="Times New Roman" w:eastAsia="Times New Roman" w:hAnsi="Times New Roman"/>
          <w:sz w:val="13"/>
          <w:szCs w:val="13"/>
          <w:color w:val="auto"/>
        </w:rPr>
        <w:t>In 2020, the Company acquired a variable interest in Sunoma in a joint venture with a third-party who does not have any equity at risk but participates in proportionate share of income or losses, which may be significant. Additionally, the assets in Sunoma are collateralized under the Sunoma loan, the proceeds of which are used for partial financing of the construction of the Sunoma facility. Therefore, the significant assets and liabilities of Sunoma are parenthesized in the condensed consolidated balance sheets as of March 31, 2024 and December 31, 2023.</w:t>
      </w:r>
    </w:p>
    <w:p>
      <w:pPr>
        <w:spacing w:after="0" w:line="77" w:lineRule="exact"/>
        <w:rPr>
          <w:sz w:val="20"/>
          <w:szCs w:val="20"/>
          <w:color w:val="auto"/>
        </w:rPr>
      </w:pPr>
    </w:p>
    <w:p>
      <w:pPr>
        <w:jc w:val="both"/>
        <w:ind w:firstLine="240"/>
        <w:spacing w:after="0" w:line="294" w:lineRule="auto"/>
        <w:rPr>
          <w:sz w:val="20"/>
          <w:szCs w:val="20"/>
          <w:color w:val="auto"/>
        </w:rPr>
      </w:pPr>
      <w:r>
        <w:rPr>
          <w:rFonts w:ascii="Times New Roman" w:cs="Times New Roman" w:eastAsia="Times New Roman" w:hAnsi="Times New Roman"/>
          <w:sz w:val="13"/>
          <w:szCs w:val="13"/>
          <w:color w:val="auto"/>
        </w:rPr>
        <w:t>The Company determined that each of these entities are VIEs and in its capacity as a managing member except for Emerald and Sapphire, the Company is the primary beneficiary. The Company is deemed as a primary beneficiary based on two conditions:</w:t>
      </w:r>
    </w:p>
    <w:p>
      <w:pPr>
        <w:spacing w:after="0" w:line="64" w:lineRule="exact"/>
        <w:rPr>
          <w:sz w:val="20"/>
          <w:szCs w:val="20"/>
          <w:color w:val="auto"/>
        </w:rPr>
      </w:pPr>
    </w:p>
    <w:p>
      <w:pPr>
        <w:ind w:left="600" w:right="120" w:hanging="360"/>
        <w:spacing w:after="0" w:line="294" w:lineRule="auto"/>
        <w:tabs>
          <w:tab w:leader="none" w:pos="597"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as a managing member, has the power to order the activities that significantly impact the economic performance of the two entities including establishment of strategic, operating, and capital decisions for each of these entities; and</w:t>
      </w:r>
    </w:p>
    <w:p>
      <w:pPr>
        <w:spacing w:after="0" w:line="54" w:lineRule="exact"/>
        <w:rPr>
          <w:rFonts w:ascii="Times New Roman" w:cs="Times New Roman" w:eastAsia="Times New Roman" w:hAnsi="Times New Roman"/>
          <w:sz w:val="13"/>
          <w:szCs w:val="13"/>
          <w:color w:val="auto"/>
        </w:rPr>
      </w:pPr>
    </w:p>
    <w:p>
      <w:pPr>
        <w:ind w:left="600" w:hanging="360"/>
        <w:spacing w:after="0"/>
        <w:tabs>
          <w:tab w:leader="none" w:pos="60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has the obligation to absorb the potential losses for the right to receive potential benefits, which could be significant to the VIE;</w:t>
      </w:r>
    </w:p>
    <w:p>
      <w:pPr>
        <w:spacing w:after="0" w:line="11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 xml:space="preserve">As a primary beneficiary, the Company consolidates these entities in accordance with the variable interest entity model guidance under ASC 810, </w:t>
      </w:r>
      <w:r>
        <w:rPr>
          <w:rFonts w:ascii="Times New Roman" w:cs="Times New Roman" w:eastAsia="Times New Roman" w:hAnsi="Times New Roman"/>
          <w:sz w:val="13"/>
          <w:szCs w:val="13"/>
          <w:i w:val="1"/>
          <w:iCs w:val="1"/>
          <w:color w:val="auto"/>
        </w:rPr>
        <w:t>Consolidation</w:t>
      </w:r>
      <w:r>
        <w:rPr>
          <w:rFonts w:ascii="Times New Roman" w:cs="Times New Roman" w:eastAsia="Times New Roman" w:hAnsi="Times New Roman"/>
          <w:sz w:val="13"/>
          <w:szCs w:val="13"/>
          <w:color w:val="auto"/>
        </w:rPr>
        <w:t>.</w:t>
      </w:r>
    </w:p>
    <w:p>
      <w:pPr>
        <w:spacing w:after="0" w:line="123" w:lineRule="exact"/>
        <w:rPr>
          <w:sz w:val="20"/>
          <w:szCs w:val="20"/>
          <w:color w:val="auto"/>
        </w:rPr>
      </w:pPr>
    </w:p>
    <w:p>
      <w:pPr>
        <w:ind w:firstLine="240"/>
        <w:spacing w:after="0" w:line="294" w:lineRule="auto"/>
        <w:rPr>
          <w:sz w:val="20"/>
          <w:szCs w:val="20"/>
          <w:color w:val="auto"/>
        </w:rPr>
      </w:pPr>
      <w:r>
        <w:rPr>
          <w:rFonts w:ascii="Times New Roman" w:cs="Times New Roman" w:eastAsia="Times New Roman" w:hAnsi="Times New Roman"/>
          <w:sz w:val="13"/>
          <w:szCs w:val="13"/>
          <w:color w:val="auto"/>
        </w:rPr>
        <w:t>Our variable interests in each of our VIEs arise primarily from our ownership of membership interests, construction commitments, our provision of operating and maintenance services, and our provision of environmental credit processing services to VIEs.</w:t>
      </w:r>
    </w:p>
    <w:p>
      <w:pPr>
        <w:spacing w:after="0" w:line="54" w:lineRule="exact"/>
        <w:rPr>
          <w:sz w:val="20"/>
          <w:szCs w:val="20"/>
          <w:color w:val="auto"/>
        </w:rPr>
      </w:pPr>
    </w:p>
    <w:p>
      <w:pPr>
        <w:ind w:firstLine="240"/>
        <w:spacing w:after="0" w:line="294" w:lineRule="auto"/>
        <w:rPr>
          <w:sz w:val="20"/>
          <w:szCs w:val="20"/>
          <w:color w:val="auto"/>
        </w:rPr>
      </w:pPr>
      <w:r>
        <w:rPr>
          <w:rFonts w:ascii="Times New Roman" w:cs="Times New Roman" w:eastAsia="Times New Roman" w:hAnsi="Times New Roman"/>
          <w:sz w:val="13"/>
          <w:szCs w:val="13"/>
          <w:color w:val="auto"/>
        </w:rPr>
        <w:t>The following table summarizes the major condensed consolidated balance sheet items for consolidated VIEs as of March 31, 2024 and December 31, 2023. The information below is presented on an aggregate basis based on similar risk and reward characteristics and the nature of our involvement with the VIEs, such as:</w:t>
      </w:r>
    </w:p>
    <w:p>
      <w:pPr>
        <w:spacing w:after="0" w:line="64" w:lineRule="exact"/>
        <w:rPr>
          <w:sz w:val="20"/>
          <w:szCs w:val="20"/>
          <w:color w:val="auto"/>
        </w:rPr>
      </w:pPr>
    </w:p>
    <w:p>
      <w:pPr>
        <w:ind w:left="600" w:hanging="360"/>
        <w:spacing w:after="0"/>
        <w:tabs>
          <w:tab w:leader="none" w:pos="60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of the VIEs are RNG facilities and they are reported under the RNG Fuel Supply segment;</w:t>
      </w:r>
    </w:p>
    <w:p>
      <w:pPr>
        <w:spacing w:after="0" w:line="120" w:lineRule="exact"/>
        <w:rPr>
          <w:rFonts w:ascii="Times New Roman" w:cs="Times New Roman" w:eastAsia="Times New Roman" w:hAnsi="Times New Roman"/>
          <w:sz w:val="13"/>
          <w:szCs w:val="13"/>
          <w:color w:val="auto"/>
        </w:rPr>
      </w:pPr>
    </w:p>
    <w:p>
      <w:pPr>
        <w:ind w:left="600" w:hanging="360"/>
        <w:spacing w:after="0"/>
        <w:tabs>
          <w:tab w:leader="none" w:pos="60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nature of our interest in these entities is primarily equity based and therefore carry similar risk and reward characteristics;</w:t>
      </w:r>
    </w:p>
    <w:p>
      <w:pPr>
        <w:spacing w:after="0" w:line="9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 amount of assets that can only be used to settle obligations of the VIEs are parenthesized in the condensed consolidated balance sheets and are included in the asset totals listed in the table below.</w:t>
      </w: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167640</wp:posOffset>
            </wp:positionV>
            <wp:extent cx="7193280"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318" w:right="31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150"/>
        </w:trPr>
        <w:tc>
          <w:tcPr>
            <w:tcW w:w="8200" w:type="dxa"/>
            <w:vAlign w:val="bottom"/>
          </w:tcPr>
          <w:p>
            <w:pPr>
              <w:spacing w:after="0"/>
              <w:rPr>
                <w:sz w:val="13"/>
                <w:szCs w:val="13"/>
                <w:color w:val="auto"/>
              </w:rPr>
            </w:pPr>
          </w:p>
        </w:tc>
        <w:tc>
          <w:tcPr>
            <w:tcW w:w="1060" w:type="dxa"/>
            <w:vAlign w:val="bottom"/>
          </w:tcPr>
          <w:p>
            <w:pPr>
              <w:jc w:val="center"/>
              <w:ind w:left="380"/>
              <w:spacing w:after="0"/>
              <w:rPr>
                <w:sz w:val="20"/>
                <w:szCs w:val="20"/>
                <w:color w:val="auto"/>
              </w:rPr>
            </w:pPr>
            <w:r>
              <w:rPr>
                <w:rFonts w:ascii="Times New Roman" w:cs="Times New Roman" w:eastAsia="Times New Roman" w:hAnsi="Times New Roman"/>
                <w:sz w:val="12"/>
                <w:szCs w:val="12"/>
                <w:b w:val="1"/>
                <w:bCs w:val="1"/>
                <w:color w:val="auto"/>
                <w:w w:val="98"/>
              </w:rPr>
              <w:t>As of</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8"/>
              </w:rPr>
              <w:t>As of</w:t>
            </w:r>
          </w:p>
        </w:tc>
      </w:tr>
      <w:tr>
        <w:trPr>
          <w:trHeight w:val="140"/>
        </w:trPr>
        <w:tc>
          <w:tcPr>
            <w:tcW w:w="8200" w:type="dxa"/>
            <w:vAlign w:val="bottom"/>
          </w:tcPr>
          <w:p>
            <w:pPr>
              <w:spacing w:after="0"/>
              <w:rPr>
                <w:sz w:val="12"/>
                <w:szCs w:val="12"/>
                <w:color w:val="auto"/>
              </w:rPr>
            </w:pPr>
          </w:p>
        </w:tc>
        <w:tc>
          <w:tcPr>
            <w:tcW w:w="1060" w:type="dxa"/>
            <w:vAlign w:val="bottom"/>
          </w:tcPr>
          <w:p>
            <w:pPr>
              <w:jc w:val="center"/>
              <w:ind w:left="380"/>
              <w:spacing w:after="0"/>
              <w:rPr>
                <w:sz w:val="20"/>
                <w:szCs w:val="20"/>
                <w:color w:val="auto"/>
              </w:rPr>
            </w:pPr>
            <w:r>
              <w:rPr>
                <w:rFonts w:ascii="Times New Roman" w:cs="Times New Roman" w:eastAsia="Times New Roman" w:hAnsi="Times New Roman"/>
                <w:sz w:val="12"/>
                <w:szCs w:val="12"/>
                <w:b w:val="1"/>
                <w:bCs w:val="1"/>
                <w:color w:val="auto"/>
              </w:rPr>
              <w:t>March 31,</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9"/>
              </w:rPr>
              <w:t>December 31,</w:t>
            </w:r>
          </w:p>
        </w:tc>
      </w:tr>
      <w:tr>
        <w:trPr>
          <w:trHeight w:val="166"/>
        </w:trPr>
        <w:tc>
          <w:tcPr>
            <w:tcW w:w="820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center"/>
              <w:ind w:left="400"/>
              <w:spacing w:after="0"/>
              <w:rPr>
                <w:sz w:val="20"/>
                <w:szCs w:val="20"/>
                <w:color w:val="auto"/>
              </w:rPr>
            </w:pPr>
            <w:r>
              <w:rPr>
                <w:rFonts w:ascii="Times New Roman" w:cs="Times New Roman" w:eastAsia="Times New Roman" w:hAnsi="Times New Roman"/>
                <w:sz w:val="12"/>
                <w:szCs w:val="12"/>
                <w:b w:val="1"/>
                <w:bCs w:val="1"/>
                <w:color w:val="auto"/>
                <w:w w:val="99"/>
              </w:rPr>
              <w:t>2024</w:t>
            </w: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9"/>
              </w:rPr>
              <w:t>2023</w:t>
            </w:r>
          </w:p>
        </w:tc>
      </w:tr>
      <w:tr>
        <w:trPr>
          <w:trHeight w:val="147"/>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106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shd w:val="clear" w:color="auto" w:fill="CCEEFF"/>
          </w:tcPr>
          <w:p>
            <w:pPr>
              <w:spacing w:after="0"/>
              <w:rPr>
                <w:sz w:val="12"/>
                <w:szCs w:val="12"/>
                <w:color w:val="auto"/>
              </w:rPr>
            </w:pPr>
          </w:p>
        </w:tc>
      </w:tr>
      <w:tr>
        <w:trPr>
          <w:trHeight w:val="156"/>
        </w:trPr>
        <w:tc>
          <w:tcPr>
            <w:tcW w:w="8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Current assets:</w:t>
            </w:r>
          </w:p>
        </w:tc>
        <w:tc>
          <w:tcPr>
            <w:tcW w:w="10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24"/>
        </w:trPr>
        <w:tc>
          <w:tcPr>
            <w:tcW w:w="8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60"/>
        </w:trPr>
        <w:tc>
          <w:tcPr>
            <w:tcW w:w="8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1060" w:type="dxa"/>
            <w:vAlign w:val="bottom"/>
            <w:tcBorders>
              <w:bottom w:val="single" w:sz="8" w:color="CCEEFF"/>
            </w:tcBorders>
            <w:shd w:val="clear" w:color="auto" w:fill="CCEEFF"/>
          </w:tcPr>
          <w:p>
            <w:pPr>
              <w:jc w:val="right"/>
              <w:ind w:right="920"/>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1,160</w:t>
            </w: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166</w:t>
            </w:r>
          </w:p>
        </w:tc>
      </w:tr>
      <w:tr>
        <w:trPr>
          <w:trHeight w:val="156"/>
        </w:trPr>
        <w:tc>
          <w:tcPr>
            <w:tcW w:w="82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Accounts receivable, net</w:t>
            </w:r>
          </w:p>
        </w:tc>
        <w:tc>
          <w:tcPr>
            <w:tcW w:w="10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334</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w:t>
            </w:r>
          </w:p>
        </w:tc>
      </w:tr>
      <w:tr>
        <w:trPr>
          <w:trHeight w:val="24"/>
        </w:trPr>
        <w:tc>
          <w:tcPr>
            <w:tcW w:w="8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60"/>
        </w:trPr>
        <w:tc>
          <w:tcPr>
            <w:tcW w:w="8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Restricted cash - current</w:t>
            </w:r>
          </w:p>
        </w:tc>
        <w:tc>
          <w:tcPr>
            <w:tcW w:w="106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1,012</w:t>
            </w: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4,395</w:t>
            </w:r>
          </w:p>
        </w:tc>
      </w:tr>
      <w:tr>
        <w:trPr>
          <w:trHeight w:val="185"/>
        </w:trPr>
        <w:tc>
          <w:tcPr>
            <w:tcW w:w="82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Parts inventory</w:t>
            </w:r>
          </w:p>
        </w:tc>
        <w:tc>
          <w:tcPr>
            <w:tcW w:w="10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w:t>
            </w:r>
          </w:p>
        </w:tc>
      </w:tr>
      <w:tr>
        <w:trPr>
          <w:trHeight w:val="185"/>
        </w:trPr>
        <w:tc>
          <w:tcPr>
            <w:tcW w:w="8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Prepaid expenses and other current assets</w:t>
            </w:r>
          </w:p>
        </w:tc>
        <w:tc>
          <w:tcPr>
            <w:tcW w:w="106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113</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w:t>
            </w:r>
          </w:p>
        </w:tc>
      </w:tr>
      <w:tr>
        <w:trPr>
          <w:trHeight w:val="146"/>
        </w:trPr>
        <w:tc>
          <w:tcPr>
            <w:tcW w:w="820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Total current assets</w:t>
            </w:r>
          </w:p>
        </w:tc>
        <w:tc>
          <w:tcPr>
            <w:tcW w:w="10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2,648</w:t>
            </w: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4,730</w:t>
            </w:r>
          </w:p>
        </w:tc>
      </w:tr>
      <w:tr>
        <w:trPr>
          <w:trHeight w:val="24"/>
        </w:trPr>
        <w:tc>
          <w:tcPr>
            <w:tcW w:w="82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50"/>
        </w:trPr>
        <w:tc>
          <w:tcPr>
            <w:tcW w:w="8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Property, plant and equipment, net</w:t>
            </w:r>
          </w:p>
        </w:tc>
        <w:tc>
          <w:tcPr>
            <w:tcW w:w="106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26,254</w:t>
            </w: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26,626</w:t>
            </w:r>
          </w:p>
        </w:tc>
      </w:tr>
      <w:tr>
        <w:trPr>
          <w:trHeight w:val="156"/>
        </w:trPr>
        <w:tc>
          <w:tcPr>
            <w:tcW w:w="82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Restricted cash, non-current</w:t>
            </w:r>
          </w:p>
        </w:tc>
        <w:tc>
          <w:tcPr>
            <w:tcW w:w="10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1,957</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1,850</w:t>
            </w:r>
          </w:p>
        </w:tc>
      </w:tr>
      <w:tr>
        <w:trPr>
          <w:trHeight w:val="24"/>
        </w:trPr>
        <w:tc>
          <w:tcPr>
            <w:tcW w:w="82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93"/>
        </w:trPr>
        <w:tc>
          <w:tcPr>
            <w:tcW w:w="82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Total assets</w:t>
            </w:r>
          </w:p>
        </w:tc>
        <w:tc>
          <w:tcPr>
            <w:tcW w:w="1060" w:type="dxa"/>
            <w:vAlign w:val="bottom"/>
            <w:tcBorders>
              <w:bottom w:val="single" w:sz="8" w:color="auto"/>
            </w:tcBorders>
            <w:shd w:val="clear" w:color="auto" w:fill="CCEEFF"/>
          </w:tcPr>
          <w:p>
            <w:pPr>
              <w:jc w:val="right"/>
              <w:ind w:right="920"/>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30,859</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33,206</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122"/>
        </w:trPr>
        <w:tc>
          <w:tcPr>
            <w:tcW w:w="8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tcPr>
          <w:p>
            <w:pPr>
              <w:spacing w:after="0"/>
              <w:rPr>
                <w:sz w:val="10"/>
                <w:szCs w:val="10"/>
                <w:color w:val="auto"/>
              </w:rPr>
            </w:pPr>
          </w:p>
        </w:tc>
      </w:tr>
      <w:tr>
        <w:trPr>
          <w:trHeight w:val="160"/>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Liabilities and equity</w:t>
            </w:r>
          </w:p>
        </w:tc>
        <w:tc>
          <w:tcPr>
            <w:tcW w:w="106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spacing w:after="0"/>
              <w:rPr>
                <w:sz w:val="13"/>
                <w:szCs w:val="13"/>
                <w:color w:val="auto"/>
              </w:rPr>
            </w:pPr>
          </w:p>
        </w:tc>
      </w:tr>
      <w:tr>
        <w:trPr>
          <w:trHeight w:val="156"/>
        </w:trPr>
        <w:tc>
          <w:tcPr>
            <w:tcW w:w="8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Current liabilities:</w:t>
            </w:r>
          </w:p>
        </w:tc>
        <w:tc>
          <w:tcPr>
            <w:tcW w:w="10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24"/>
        </w:trPr>
        <w:tc>
          <w:tcPr>
            <w:tcW w:w="8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60"/>
        </w:trPr>
        <w:tc>
          <w:tcPr>
            <w:tcW w:w="8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Accounts payable</w:t>
            </w:r>
          </w:p>
        </w:tc>
        <w:tc>
          <w:tcPr>
            <w:tcW w:w="1060" w:type="dxa"/>
            <w:vAlign w:val="bottom"/>
            <w:tcBorders>
              <w:bottom w:val="single" w:sz="8" w:color="CCEEFF"/>
            </w:tcBorders>
            <w:shd w:val="clear" w:color="auto" w:fill="CCEEFF"/>
          </w:tcPr>
          <w:p>
            <w:pPr>
              <w:jc w:val="right"/>
              <w:ind w:right="920"/>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744</w:t>
            </w:r>
          </w:p>
        </w:tc>
      </w:tr>
      <w:tr>
        <w:trPr>
          <w:trHeight w:val="156"/>
        </w:trPr>
        <w:tc>
          <w:tcPr>
            <w:tcW w:w="82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Accounts payable, related party</w:t>
            </w:r>
          </w:p>
        </w:tc>
        <w:tc>
          <w:tcPr>
            <w:tcW w:w="10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802</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1,046</w:t>
            </w:r>
          </w:p>
        </w:tc>
      </w:tr>
      <w:tr>
        <w:trPr>
          <w:trHeight w:val="24"/>
        </w:trPr>
        <w:tc>
          <w:tcPr>
            <w:tcW w:w="8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60"/>
        </w:trPr>
        <w:tc>
          <w:tcPr>
            <w:tcW w:w="8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Accrued expenses</w:t>
            </w:r>
          </w:p>
        </w:tc>
        <w:tc>
          <w:tcPr>
            <w:tcW w:w="106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861</w:t>
            </w: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647</w:t>
            </w:r>
          </w:p>
        </w:tc>
      </w:tr>
      <w:tr>
        <w:trPr>
          <w:trHeight w:val="156"/>
        </w:trPr>
        <w:tc>
          <w:tcPr>
            <w:tcW w:w="82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Other current liabilities</w:t>
            </w:r>
          </w:p>
        </w:tc>
        <w:tc>
          <w:tcPr>
            <w:tcW w:w="10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94</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w:t>
            </w:r>
          </w:p>
        </w:tc>
      </w:tr>
      <w:tr>
        <w:trPr>
          <w:trHeight w:val="24"/>
        </w:trPr>
        <w:tc>
          <w:tcPr>
            <w:tcW w:w="8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80"/>
        </w:trPr>
        <w:tc>
          <w:tcPr>
            <w:tcW w:w="8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Sunoma Loan- current portion</w:t>
            </w:r>
          </w:p>
        </w:tc>
        <w:tc>
          <w:tcPr>
            <w:tcW w:w="106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1,652</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1,608</w:t>
            </w:r>
          </w:p>
        </w:tc>
      </w:tr>
      <w:tr>
        <w:trPr>
          <w:trHeight w:val="146"/>
        </w:trPr>
        <w:tc>
          <w:tcPr>
            <w:tcW w:w="820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Total current liabilities</w:t>
            </w:r>
          </w:p>
        </w:tc>
        <w:tc>
          <w:tcPr>
            <w:tcW w:w="10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3,420</w:t>
            </w:r>
          </w:p>
        </w:tc>
        <w:tc>
          <w:tcPr>
            <w:tcW w:w="1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4,137</w:t>
            </w:r>
          </w:p>
        </w:tc>
      </w:tr>
      <w:tr>
        <w:trPr>
          <w:trHeight w:val="24"/>
        </w:trPr>
        <w:tc>
          <w:tcPr>
            <w:tcW w:w="82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50"/>
        </w:trPr>
        <w:tc>
          <w:tcPr>
            <w:tcW w:w="8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Sunoma loan, net of debt issuance costs</w:t>
            </w:r>
          </w:p>
        </w:tc>
        <w:tc>
          <w:tcPr>
            <w:tcW w:w="106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19,609</w:t>
            </w: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20,010</w:t>
            </w:r>
          </w:p>
        </w:tc>
      </w:tr>
      <w:tr>
        <w:trPr>
          <w:trHeight w:val="156"/>
        </w:trPr>
        <w:tc>
          <w:tcPr>
            <w:tcW w:w="82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Other long-term liabilities</w:t>
            </w:r>
          </w:p>
        </w:tc>
        <w:tc>
          <w:tcPr>
            <w:tcW w:w="10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1,297</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211</w:t>
            </w:r>
          </w:p>
        </w:tc>
      </w:tr>
      <w:tr>
        <w:trPr>
          <w:trHeight w:val="24"/>
        </w:trPr>
        <w:tc>
          <w:tcPr>
            <w:tcW w:w="82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70"/>
        </w:trPr>
        <w:tc>
          <w:tcPr>
            <w:tcW w:w="82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Total liabilities</w:t>
            </w:r>
          </w:p>
        </w:tc>
        <w:tc>
          <w:tcPr>
            <w:tcW w:w="106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24,326</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24,358</w:t>
            </w:r>
          </w:p>
        </w:tc>
      </w:tr>
      <w:tr>
        <w:trPr>
          <w:trHeight w:val="136"/>
        </w:trPr>
        <w:tc>
          <w:tcPr>
            <w:tcW w:w="8200" w:type="dxa"/>
            <w:vAlign w:val="bottom"/>
          </w:tcPr>
          <w:p>
            <w:pPr>
              <w:ind w:left="20"/>
              <w:spacing w:after="0" w:line="136" w:lineRule="exact"/>
              <w:rPr>
                <w:sz w:val="20"/>
                <w:szCs w:val="20"/>
                <w:color w:val="auto"/>
              </w:rPr>
            </w:pPr>
            <w:r>
              <w:rPr>
                <w:rFonts w:ascii="Times New Roman" w:cs="Times New Roman" w:eastAsia="Times New Roman" w:hAnsi="Times New Roman"/>
                <w:sz w:val="12"/>
                <w:szCs w:val="12"/>
                <w:color w:val="auto"/>
              </w:rPr>
              <w:t>Equity</w:t>
            </w:r>
          </w:p>
        </w:tc>
        <w:tc>
          <w:tcPr>
            <w:tcW w:w="106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spacing w:after="0"/>
              <w:rPr>
                <w:sz w:val="11"/>
                <w:szCs w:val="11"/>
                <w:color w:val="auto"/>
              </w:rPr>
            </w:pPr>
          </w:p>
        </w:tc>
      </w:tr>
      <w:tr>
        <w:trPr>
          <w:trHeight w:val="24"/>
        </w:trPr>
        <w:tc>
          <w:tcPr>
            <w:tcW w:w="8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60"/>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Stockholders' equity</w:t>
            </w:r>
          </w:p>
        </w:tc>
        <w:tc>
          <w:tcPr>
            <w:tcW w:w="106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5,809</w:t>
            </w: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7,893</w:t>
            </w:r>
          </w:p>
        </w:tc>
      </w:tr>
      <w:tr>
        <w:trPr>
          <w:trHeight w:val="156"/>
        </w:trPr>
        <w:tc>
          <w:tcPr>
            <w:tcW w:w="82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Non-redeemable non-controlling interests</w:t>
            </w:r>
          </w:p>
        </w:tc>
        <w:tc>
          <w:tcPr>
            <w:tcW w:w="10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724</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955</w:t>
            </w:r>
          </w:p>
        </w:tc>
      </w:tr>
      <w:tr>
        <w:trPr>
          <w:trHeight w:val="24"/>
        </w:trPr>
        <w:tc>
          <w:tcPr>
            <w:tcW w:w="82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70"/>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Total equity</w:t>
            </w:r>
          </w:p>
        </w:tc>
        <w:tc>
          <w:tcPr>
            <w:tcW w:w="106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6,533</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8,848</w:t>
            </w:r>
          </w:p>
        </w:tc>
      </w:tr>
      <w:tr>
        <w:trPr>
          <w:trHeight w:val="168"/>
        </w:trPr>
        <w:tc>
          <w:tcPr>
            <w:tcW w:w="8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Total Liabilities and Equity</w:t>
            </w:r>
          </w:p>
        </w:tc>
        <w:tc>
          <w:tcPr>
            <w:tcW w:w="1060" w:type="dxa"/>
            <w:vAlign w:val="bottom"/>
            <w:tcBorders>
              <w:top w:val="single" w:sz="8" w:color="auto"/>
              <w:bottom w:val="single" w:sz="8" w:color="auto"/>
            </w:tcBorders>
          </w:tcPr>
          <w:p>
            <w:pPr>
              <w:jc w:val="right"/>
              <w:ind w:right="920"/>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30,859</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33,206</w:t>
            </w:r>
          </w:p>
        </w:tc>
      </w:tr>
      <w:tr>
        <w:trPr>
          <w:trHeight w:val="20"/>
        </w:trPr>
        <w:tc>
          <w:tcPr>
            <w:tcW w:w="8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13. Redeemable non-controlling interests, Redeemable preferred non-controlling interests and Stockholders' (Deficit) Equity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Common stock</w:t>
      </w:r>
    </w:p>
    <w:p>
      <w:pPr>
        <w:spacing w:after="0" w:line="185" w:lineRule="exact"/>
        <w:rPr>
          <w:sz w:val="20"/>
          <w:szCs w:val="20"/>
          <w:color w:val="auto"/>
        </w:rPr>
      </w:pPr>
    </w:p>
    <w:p>
      <w:pPr>
        <w:jc w:val="both"/>
        <w:ind w:firstLine="240"/>
        <w:spacing w:after="0" w:line="259" w:lineRule="auto"/>
        <w:rPr>
          <w:sz w:val="20"/>
          <w:szCs w:val="20"/>
          <w:color w:val="auto"/>
        </w:rPr>
      </w:pPr>
      <w:r>
        <w:rPr>
          <w:rFonts w:ascii="Times New Roman" w:cs="Times New Roman" w:eastAsia="Times New Roman" w:hAnsi="Times New Roman"/>
          <w:sz w:val="13"/>
          <w:szCs w:val="13"/>
          <w:color w:val="auto"/>
        </w:rPr>
        <w:t>As of March 31, 2024, there are (i) 30,022,288 shares of Class A common stock issued and outstanding, (ii) 71,500,000 shares of New OPAL Class B common stock issued and outstanding (shares of Class B common stock do not have any economic value except voting rights as described below), (iii) no shares of Class C common stock issued and outstanding and (iv) 72,899,037 shares of Class D common stock (shares of Class D common stock do not have any economic value except voting rights as described below).</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Share conversion</w:t>
      </w:r>
    </w:p>
    <w:p>
      <w:pPr>
        <w:spacing w:after="0" w:line="193" w:lineRule="exact"/>
        <w:rPr>
          <w:sz w:val="20"/>
          <w:szCs w:val="20"/>
          <w:color w:val="auto"/>
        </w:rPr>
      </w:pPr>
    </w:p>
    <w:p>
      <w:pPr>
        <w:jc w:val="both"/>
        <w:ind w:firstLine="240"/>
        <w:spacing w:after="0" w:line="269" w:lineRule="auto"/>
        <w:rPr>
          <w:sz w:val="20"/>
          <w:szCs w:val="20"/>
          <w:color w:val="auto"/>
        </w:rPr>
      </w:pPr>
      <w:r>
        <w:rPr>
          <w:rFonts w:ascii="Times New Roman" w:cs="Times New Roman" w:eastAsia="Times New Roman" w:hAnsi="Times New Roman"/>
          <w:sz w:val="13"/>
          <w:szCs w:val="13"/>
          <w:color w:val="auto"/>
        </w:rPr>
        <w:t>On March 12, 2024, Fortistar, through its subsidiary OPAL Holdco, converted 71.5 million shares of Class D common stock of the Company held by it, each of which is entitled to five votes per share on all matters on which stockholders generally are entitled to vote, for an equal number of shares of newly issued Class B common stock of the Company, each of which is entitled to one vote on such matters. This transaction has no effect on the economic interest in the Company held by Fortistar or OPAL Holdco. Fortistar converted such shares in order that the Company’s Class A common stock would become eligible for inclusion in certain stock market indices, on which many broad-based mutual funds and</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161290</wp:posOffset>
            </wp:positionV>
            <wp:extent cx="7193280"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377" w:right="3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3"/>
          <w:szCs w:val="13"/>
          <w:color w:val="auto"/>
        </w:rPr>
        <w:t>exchange-traded index funds are based. Subsequent to the exchange, Fortistar holds 72,899,037 shares of Class D common stock and 71,500,000 shares of Class B common stock.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ATM Program</w:t>
      </w:r>
    </w:p>
    <w:p>
      <w:pPr>
        <w:spacing w:after="0" w:line="183" w:lineRule="exact"/>
        <w:rPr>
          <w:sz w:val="20"/>
          <w:szCs w:val="20"/>
          <w:color w:val="auto"/>
        </w:rPr>
      </w:pPr>
    </w:p>
    <w:p>
      <w:pPr>
        <w:jc w:val="both"/>
        <w:ind w:firstLine="480"/>
        <w:spacing w:after="0" w:line="259" w:lineRule="auto"/>
        <w:rPr>
          <w:sz w:val="20"/>
          <w:szCs w:val="20"/>
          <w:color w:val="auto"/>
        </w:rPr>
      </w:pPr>
      <w:r>
        <w:rPr>
          <w:rFonts w:ascii="Times New Roman" w:cs="Times New Roman" w:eastAsia="Times New Roman" w:hAnsi="Times New Roman"/>
          <w:sz w:val="13"/>
          <w:szCs w:val="13"/>
          <w:color w:val="auto"/>
        </w:rPr>
        <w:t>On November 17, 2023, OPAL Fuels Inc. (the “Company”) entered into an At The Market Issuance Sales Agreement (the “ATM Program”) with B. Riley Securities, Inc., Cantor Fitzgerald &amp; Co. and Stifel, Nicolaus &amp; Company, Incorporated (each, an “Agent,” and collectively, the “Agents”) pursuant to which the Company may issue and sell shares of its Class A common stock having an aggregate offering price of up to $75 million from time to time through the Agents.</w:t>
      </w:r>
    </w:p>
    <w:p>
      <w:pPr>
        <w:spacing w:after="0" w:line="156" w:lineRule="exact"/>
        <w:rPr>
          <w:sz w:val="20"/>
          <w:szCs w:val="20"/>
          <w:color w:val="auto"/>
        </w:rPr>
      </w:pPr>
    </w:p>
    <w:p>
      <w:pPr>
        <w:jc w:val="both"/>
        <w:ind w:firstLine="480"/>
        <w:spacing w:after="0" w:line="278" w:lineRule="auto"/>
        <w:rPr>
          <w:sz w:val="20"/>
          <w:szCs w:val="20"/>
          <w:color w:val="auto"/>
        </w:rPr>
      </w:pPr>
      <w:r>
        <w:rPr>
          <w:rFonts w:ascii="Times New Roman" w:cs="Times New Roman" w:eastAsia="Times New Roman" w:hAnsi="Times New Roman"/>
          <w:sz w:val="13"/>
          <w:szCs w:val="13"/>
          <w:color w:val="auto"/>
        </w:rPr>
        <w:t>The Company will pay each Agent, upon the sale by such Agent of Class A common stock pursuant to the Sales Agreement, an amount equal to up to 3.0% of the gross proceeds of each such sale of Class A common stock. The Company has also provided the Agents with customary indemnification rights.</w:t>
      </w:r>
    </w:p>
    <w:p>
      <w:pPr>
        <w:spacing w:after="0" w:line="1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The Company issued 14,005 shares of Class A common stock under the ATM Program in January 2024 at prices ranging between $5.40 and $5.68 and received net proceeds of $97.</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Redeemable preferred non-controlling interests</w:t>
      </w:r>
    </w:p>
    <w:p>
      <w:pPr>
        <w:spacing w:after="0" w:line="185" w:lineRule="exact"/>
        <w:rPr>
          <w:sz w:val="20"/>
          <w:szCs w:val="20"/>
          <w:color w:val="auto"/>
        </w:rPr>
      </w:pPr>
    </w:p>
    <w:p>
      <w:pPr>
        <w:jc w:val="both"/>
        <w:ind w:firstLine="240"/>
        <w:spacing w:after="0" w:line="259" w:lineRule="auto"/>
        <w:rPr>
          <w:sz w:val="20"/>
          <w:szCs w:val="20"/>
          <w:color w:val="auto"/>
        </w:rPr>
      </w:pPr>
      <w:r>
        <w:rPr>
          <w:rFonts w:ascii="Times New Roman" w:cs="Times New Roman" w:eastAsia="Times New Roman" w:hAnsi="Times New Roman"/>
          <w:sz w:val="13"/>
          <w:szCs w:val="13"/>
          <w:color w:val="auto"/>
        </w:rPr>
        <w:t>On November 29, 2021, as part of an exchange agreement, the Company issued 300,000 Series A-1 preferred units to Hillman in return for Hillman’s non-controlling interest in four RNG project subsidiaries.</w:t>
      </w:r>
    </w:p>
    <w:p>
      <w:pPr>
        <w:spacing w:after="0" w:line="329" w:lineRule="exact"/>
        <w:rPr>
          <w:sz w:val="20"/>
          <w:szCs w:val="20"/>
          <w:color w:val="auto"/>
        </w:rPr>
      </w:pPr>
    </w:p>
    <w:p>
      <w:pPr>
        <w:jc w:val="both"/>
        <w:ind w:firstLine="240"/>
        <w:spacing w:after="0" w:line="294" w:lineRule="auto"/>
        <w:rPr>
          <w:sz w:val="20"/>
          <w:szCs w:val="20"/>
          <w:color w:val="auto"/>
        </w:rPr>
      </w:pPr>
      <w:r>
        <w:rPr>
          <w:rFonts w:ascii="Times New Roman" w:cs="Times New Roman" w:eastAsia="Times New Roman" w:hAnsi="Times New Roman"/>
          <w:sz w:val="13"/>
          <w:szCs w:val="13"/>
          <w:color w:val="auto"/>
        </w:rPr>
        <w:t>On November 29, 2021, NextEra subscribed for up to 1,000,000 Series A preferred units, which are issuable (in whole or in increments) at the Company’s discretion prior to June 30, 2022. During the year ended December 31, 2023, the Company had drawn $100,000 and issued 1,000,000 Series A preferred units.</w:t>
      </w:r>
    </w:p>
    <w:p>
      <w:pPr>
        <w:spacing w:after="0" w:line="134" w:lineRule="exact"/>
        <w:rPr>
          <w:sz w:val="20"/>
          <w:szCs w:val="20"/>
          <w:color w:val="auto"/>
        </w:rPr>
      </w:pPr>
    </w:p>
    <w:p>
      <w:pPr>
        <w:jc w:val="both"/>
        <w:ind w:firstLine="240"/>
        <w:spacing w:after="0" w:line="275" w:lineRule="auto"/>
        <w:rPr>
          <w:sz w:val="20"/>
          <w:szCs w:val="20"/>
          <w:color w:val="auto"/>
        </w:rPr>
      </w:pPr>
      <w:r>
        <w:rPr>
          <w:rFonts w:ascii="Times New Roman" w:cs="Times New Roman" w:eastAsia="Times New Roman" w:hAnsi="Times New Roman"/>
          <w:sz w:val="13"/>
          <w:szCs w:val="13"/>
          <w:color w:val="auto"/>
        </w:rPr>
        <w:t>Upon completion of Business Combination, the Company assumed Series A-1 preferred units and Series A preferred units which were issued and outstanding by OPAL Fuels. The Company recorded the Series A-1 preferred units and Series A preferred units as Redeemable preferred non-controlling interests. The Company has elected to adjust the carrying value of the preferred units to the redemption value at the end of each reporting period by immediately amortizing the issuance costs in the first reporting period after issuance of the preferred units.</w:t>
      </w:r>
    </w:p>
    <w:p>
      <w:pPr>
        <w:spacing w:after="0" w:line="7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 following table summarizes the changes in the redeemable preferred non-controlling interests which represent Series A and Series A-1 preferred units outstanding at OPAL Fuels level from</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December 31, 2023 to March 31, 2024:</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3420" w:type="dxa"/>
            <w:vAlign w:val="bottom"/>
          </w:tcPr>
          <w:p>
            <w:pPr>
              <w:spacing w:after="0"/>
              <w:rPr>
                <w:sz w:val="15"/>
                <w:szCs w:val="15"/>
                <w:color w:val="auto"/>
              </w:rPr>
            </w:pPr>
          </w:p>
        </w:tc>
        <w:tc>
          <w:tcPr>
            <w:tcW w:w="2580" w:type="dxa"/>
            <w:vAlign w:val="bottom"/>
            <w:gridSpan w:val="4"/>
          </w:tcPr>
          <w:p>
            <w:pPr>
              <w:jc w:val="right"/>
              <w:ind w:right="253"/>
              <w:spacing w:after="0"/>
              <w:rPr>
                <w:sz w:val="20"/>
                <w:szCs w:val="20"/>
                <w:color w:val="auto"/>
              </w:rPr>
            </w:pPr>
            <w:r>
              <w:rPr>
                <w:rFonts w:ascii="Times New Roman" w:cs="Times New Roman" w:eastAsia="Times New Roman" w:hAnsi="Times New Roman"/>
                <w:sz w:val="13"/>
                <w:szCs w:val="13"/>
                <w:b w:val="1"/>
                <w:bCs w:val="1"/>
                <w:color w:val="auto"/>
              </w:rPr>
              <w:t>Series A-1 preferred units</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40" w:type="dxa"/>
            <w:vAlign w:val="bottom"/>
            <w:gridSpan w:val="5"/>
          </w:tcPr>
          <w:p>
            <w:pPr>
              <w:ind w:left="900"/>
              <w:spacing w:after="0"/>
              <w:rPr>
                <w:sz w:val="20"/>
                <w:szCs w:val="20"/>
                <w:color w:val="auto"/>
              </w:rPr>
            </w:pPr>
            <w:r>
              <w:rPr>
                <w:rFonts w:ascii="Times New Roman" w:cs="Times New Roman" w:eastAsia="Times New Roman" w:hAnsi="Times New Roman"/>
                <w:sz w:val="13"/>
                <w:szCs w:val="13"/>
                <w:b w:val="1"/>
                <w:bCs w:val="1"/>
                <w:color w:val="auto"/>
              </w:rPr>
              <w:t>Series A preferred units</w:t>
            </w: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60"/>
        </w:trPr>
        <w:tc>
          <w:tcPr>
            <w:tcW w:w="3420" w:type="dxa"/>
            <w:vAlign w:val="bottom"/>
          </w:tcPr>
          <w:p>
            <w:pPr>
              <w:spacing w:after="0"/>
              <w:rPr>
                <w:sz w:val="13"/>
                <w:szCs w:val="13"/>
                <w:color w:val="auto"/>
              </w:rPr>
            </w:pPr>
          </w:p>
        </w:tc>
        <w:tc>
          <w:tcPr>
            <w:tcW w:w="940" w:type="dxa"/>
            <w:vAlign w:val="bottom"/>
            <w:tcBorders>
              <w:top w:val="single" w:sz="8" w:color="auto"/>
            </w:tcBorders>
          </w:tcPr>
          <w:p>
            <w:pPr>
              <w:ind w:left="580"/>
              <w:spacing w:after="0"/>
              <w:rPr>
                <w:sz w:val="20"/>
                <w:szCs w:val="20"/>
                <w:color w:val="auto"/>
              </w:rPr>
            </w:pPr>
            <w:r>
              <w:rPr>
                <w:rFonts w:ascii="Times New Roman" w:cs="Times New Roman" w:eastAsia="Times New Roman" w:hAnsi="Times New Roman"/>
                <w:sz w:val="13"/>
                <w:szCs w:val="13"/>
                <w:b w:val="1"/>
                <w:bCs w:val="1"/>
                <w:color w:val="auto"/>
              </w:rPr>
              <w:t>Units</w:t>
            </w:r>
          </w:p>
        </w:tc>
        <w:tc>
          <w:tcPr>
            <w:tcW w:w="5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4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60" w:type="dxa"/>
            <w:vAlign w:val="bottom"/>
            <w:tcBorders>
              <w:top w:val="single" w:sz="8" w:color="auto"/>
            </w:tcBorders>
            <w:gridSpan w:val="2"/>
          </w:tcPr>
          <w:p>
            <w:pPr>
              <w:ind w:left="640"/>
              <w:spacing w:after="0"/>
              <w:rPr>
                <w:sz w:val="20"/>
                <w:szCs w:val="20"/>
                <w:color w:val="auto"/>
              </w:rPr>
            </w:pPr>
            <w:r>
              <w:rPr>
                <w:rFonts w:ascii="Times New Roman" w:cs="Times New Roman" w:eastAsia="Times New Roman" w:hAnsi="Times New Roman"/>
                <w:sz w:val="13"/>
                <w:szCs w:val="13"/>
                <w:b w:val="1"/>
                <w:bCs w:val="1"/>
                <w:color w:val="auto"/>
              </w:rPr>
              <w:t>Units</w:t>
            </w:r>
          </w:p>
        </w:tc>
        <w:tc>
          <w:tcPr>
            <w:tcW w:w="30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453"/>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jc w:val="right"/>
              <w:ind w:right="533"/>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60"/>
        </w:trPr>
        <w:tc>
          <w:tcPr>
            <w:tcW w:w="3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December 31, 2023</w:t>
            </w:r>
          </w:p>
        </w:tc>
        <w:tc>
          <w:tcPr>
            <w:tcW w:w="94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300,000</w:t>
            </w:r>
          </w:p>
        </w:tc>
        <w:tc>
          <w:tcPr>
            <w:tcW w:w="8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jc w:val="right"/>
              <w:ind w:right="873"/>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30,604</w:t>
            </w:r>
          </w:p>
        </w:tc>
        <w:tc>
          <w:tcPr>
            <w:tcW w:w="80" w:type="dxa"/>
            <w:vAlign w:val="bottom"/>
            <w:tcBorders>
              <w:top w:val="single" w:sz="8" w:color="CCEEFF"/>
            </w:tcBorders>
            <w:shd w:val="clear" w:color="auto" w:fill="CCEEFF"/>
          </w:tcPr>
          <w:p>
            <w:pPr>
              <w:spacing w:after="0"/>
              <w:rPr>
                <w:sz w:val="13"/>
                <w:szCs w:val="13"/>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1,000,000</w:t>
            </w:r>
          </w:p>
        </w:tc>
        <w:tc>
          <w:tcPr>
            <w:tcW w:w="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102,013</w:t>
            </w:r>
          </w:p>
        </w:tc>
        <w:tc>
          <w:tcPr>
            <w:tcW w:w="8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132,617</w:t>
            </w:r>
          </w:p>
        </w:tc>
      </w:tr>
      <w:tr>
        <w:trPr>
          <w:trHeight w:val="170"/>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Preferred dividends attributable to OPAL Fuels</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506</w:t>
            </w:r>
          </w:p>
        </w:tc>
        <w:tc>
          <w:tcPr>
            <w:tcW w:w="80" w:type="dxa"/>
            <w:vAlign w:val="bottom"/>
          </w:tcPr>
          <w:p>
            <w:pPr>
              <w:spacing w:after="0"/>
              <w:rPr>
                <w:sz w:val="14"/>
                <w:szCs w:val="14"/>
                <w:color w:val="auto"/>
              </w:rPr>
            </w:pPr>
          </w:p>
        </w:tc>
        <w:tc>
          <w:tcPr>
            <w:tcW w:w="1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1,686</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2,192</w:t>
            </w:r>
          </w:p>
        </w:tc>
      </w:tr>
      <w:tr>
        <w:trPr>
          <w:trHeight w:val="130"/>
        </w:trPr>
        <w:tc>
          <w:tcPr>
            <w:tcW w:w="4360" w:type="dxa"/>
            <w:vAlign w:val="bottom"/>
            <w:gridSpan w:val="2"/>
            <w:shd w:val="clear" w:color="auto" w:fill="CCEEFF"/>
          </w:tcPr>
          <w:p>
            <w:pPr>
              <w:ind w:left="20"/>
              <w:spacing w:after="0" w:line="130" w:lineRule="exact"/>
              <w:rPr>
                <w:sz w:val="20"/>
                <w:szCs w:val="20"/>
                <w:color w:val="auto"/>
              </w:rPr>
            </w:pPr>
            <w:r>
              <w:rPr>
                <w:rFonts w:ascii="Times New Roman" w:cs="Times New Roman" w:eastAsia="Times New Roman" w:hAnsi="Times New Roman"/>
                <w:sz w:val="13"/>
                <w:szCs w:val="13"/>
                <w:color w:val="auto"/>
              </w:rPr>
              <w:t>Preferred dividends attributable to Class A common</w:t>
            </w: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r>
      <w:tr>
        <w:trPr>
          <w:trHeight w:val="180"/>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stockholders</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w:t>
            </w:r>
          </w:p>
        </w:tc>
        <w:tc>
          <w:tcPr>
            <w:tcW w:w="80" w:type="dxa"/>
            <w:vAlign w:val="bottom"/>
            <w:shd w:val="clear" w:color="auto" w:fill="CCEEFF"/>
          </w:tcPr>
          <w:p>
            <w:pPr>
              <w:spacing w:after="0"/>
              <w:rPr>
                <w:sz w:val="15"/>
                <w:szCs w:val="15"/>
                <w:color w:val="auto"/>
              </w:rPr>
            </w:pPr>
          </w:p>
        </w:tc>
        <w:tc>
          <w:tcPr>
            <w:tcW w:w="1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328</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426</w:t>
            </w:r>
          </w:p>
        </w:tc>
      </w:tr>
      <w:tr>
        <w:trPr>
          <w:trHeight w:val="170"/>
        </w:trPr>
        <w:tc>
          <w:tcPr>
            <w:tcW w:w="3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Payment of Preferred dividends</w:t>
            </w:r>
          </w:p>
        </w:tc>
        <w:tc>
          <w:tcPr>
            <w:tcW w:w="9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(1,208)</w:t>
            </w:r>
          </w:p>
        </w:tc>
        <w:tc>
          <w:tcPr>
            <w:tcW w:w="80" w:type="dxa"/>
            <w:vAlign w:val="bottom"/>
            <w:tcBorders>
              <w:bottom w:val="single" w:sz="8" w:color="CCEEFF"/>
            </w:tcBorders>
          </w:tcPr>
          <w:p>
            <w:pPr>
              <w:spacing w:after="0"/>
              <w:rPr>
                <w:sz w:val="14"/>
                <w:szCs w:val="14"/>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(4,027)</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(5,235)</w:t>
            </w:r>
          </w:p>
        </w:tc>
      </w:tr>
      <w:tr>
        <w:trPr>
          <w:trHeight w:val="180"/>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March 31, 2024</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300,000</w:t>
            </w: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873"/>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30,000</w:t>
            </w: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1,000,000</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100,000</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130,000</w:t>
            </w: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Terms of Redeemable preferred units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Series A and Series A-1 preferred units (together the “Preferred Units”) have substantially the same terms and features which are listed below:</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Voting: The Series A-1 preferred units to Hillman do not have any voting rights. The Series A preferred units issued to NextEra have limited rights to prevent the Company from taking certain actions including</w:t>
      </w:r>
    </w:p>
    <w:p>
      <w:pPr>
        <w:spacing w:after="0" w:line="23" w:lineRule="exact"/>
        <w:rPr>
          <w:sz w:val="20"/>
          <w:szCs w:val="20"/>
          <w:color w:val="auto"/>
        </w:rPr>
      </w:pPr>
    </w:p>
    <w:p>
      <w:pPr>
        <w:spacing w:after="0" w:line="274" w:lineRule="auto"/>
        <w:tabs>
          <w:tab w:leader="none" w:pos="163"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major issuances of new debt or equity (ii) executing transactions with affiliates which are not at arm-length basis (iii) major disposition of assets and (iv) major acquisition of assets outside of the Company’s primary business.</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161290</wp:posOffset>
            </wp:positionV>
            <wp:extent cx="7193280"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208" w:right="319" w:bottom="1440" w:gutter="0" w:footer="0" w:header="0"/>
        </w:sectPr>
      </w:pPr>
    </w:p>
    <w:bookmarkStart w:id="42" w:name="page43"/>
    <w:bookmarkEnd w:id="42"/>
    <w:p>
      <w:pPr>
        <w:jc w:val="both"/>
        <w:spacing w:after="0" w:line="269" w:lineRule="auto"/>
        <w:rPr>
          <w:sz w:val="20"/>
          <w:szCs w:val="20"/>
          <w:color w:val="auto"/>
        </w:rPr>
      </w:pPr>
      <w:r>
        <w:rPr>
          <w:rFonts w:ascii="Times New Roman" w:cs="Times New Roman" w:eastAsia="Times New Roman" w:hAnsi="Times New Roman"/>
          <w:sz w:val="13"/>
          <w:szCs w:val="13"/>
          <w:color w:val="auto"/>
        </w:rPr>
        <w:t>Dividends: The Preferred Units are entitled to receive dividends at the rate of 8% per annum. Dividends begin accruing for each unit from the date of issuance and are payable each quarter end regardless of whether they are declared. The dividends are mandatory and cumulative. The Company is allowed to elect to issue additional Preferred Units ( paid-in-kind) in lieu of cash for the first eight dividend payment dates. The Company elected to pay the dividends to be paid-in-kind for all periods presented. In the occurrence of certain events of default, the annual dividend rate increases to 12%. Additionally, the dividend rate increases by 2% for each unrelated uncured event of default up to a maximum of 20%.</w:t>
      </w:r>
    </w:p>
    <w:p>
      <w:pPr>
        <w:spacing w:after="0" w:line="150"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3"/>
          <w:szCs w:val="13"/>
          <w:color w:val="auto"/>
        </w:rPr>
        <w:t>Liquidation preference: In the event of liquidation of the Company, each holder of a unit of Series A and Series A-1 is entitled to be paid on pro-rata basis the original issue price of $100 per unit plus any accrued and unpaid dividends out of the assets of the Company available for distribution after payment of the Company’s debt and liabilities and liquidation expenses.</w:t>
      </w:r>
    </w:p>
    <w:p>
      <w:pPr>
        <w:spacing w:after="0" w:line="1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3"/>
          <w:szCs w:val="13"/>
          <w:color w:val="auto"/>
        </w:rPr>
        <w:t>Redemption: At any time after issuance, the Company may redeem the Redeemable preferred units for a price equal to original issue price of $100 per unit plus any accrued and unpaid dividends. Holders of the Preferred Units may redeem for an amount equal to original issue price of $100 per unit plus any accrued and unpaid dividends upon (i) occurrence of certain change in control event (ii) at the end of four years from the date of issuance, except the Preferred Units issued to Hillman can only be redeemed 30 days after the fourth year anniversary of the first issuance of Preferred Units to NextEra. The maturity date is determined to be the date at which the holder’s redemption option becomes exercisable as this is the date in which both the Company and the holder may redeem the preferred units. The maturity date could be as early as November 29, 2025 but no later than June 30, 2026, depending on when the Series A units to NextEra are issued as previously detailed herein.</w:t>
      </w:r>
    </w:p>
    <w:p>
      <w:pPr>
        <w:spacing w:after="0" w:line="15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3"/>
          <w:szCs w:val="13"/>
          <w:color w:val="auto"/>
        </w:rPr>
        <w:t>Conversion: Holder’s may elect to convert Preferred Units into common units in the limited chance that the Company fails to redeem the Preferred Units under an optional redemption, the annual dividend rate increases to 12% and is further increased to 14% after one year, and thereafter by 2% every 90 days up to a cap of 20%. The Company must also redeem all NextEra Series A preferred units on which the redemption option has been exercised prior to redeeming any Hillman Series A-1 preferred units. If elected, the holder may convert all or a portion of its Preferred Units into a number of common units equal to:</w:t>
      </w:r>
    </w:p>
    <w:p>
      <w:pPr>
        <w:spacing w:after="0" w:line="2" w:lineRule="exact"/>
        <w:rPr>
          <w:sz w:val="20"/>
          <w:szCs w:val="20"/>
          <w:color w:val="auto"/>
        </w:rPr>
      </w:pPr>
    </w:p>
    <w:p>
      <w:pPr>
        <w:spacing w:after="0" w:line="274" w:lineRule="auto"/>
        <w:tabs>
          <w:tab w:leader="none" w:pos="171"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number of Preferred Units, multiplied by, (ii) $100 plus accrued and unpaid cash dividends, divided by, (iii) conversion price. The conversion price is equal to the value of the Company’s common units determined as follows, and reduced by a 20% discount if conversion occurs during the first year of delayed redemption, a 25% discount during the 2nd year, and a 30% discount thereafter:</w:t>
      </w:r>
    </w:p>
    <w:p>
      <w:pPr>
        <w:spacing w:after="0" w:line="146" w:lineRule="exact"/>
        <w:rPr>
          <w:sz w:val="20"/>
          <w:szCs w:val="20"/>
          <w:color w:val="auto"/>
        </w:rPr>
      </w:pPr>
    </w:p>
    <w:p>
      <w:pPr>
        <w:ind w:left="140" w:hanging="140"/>
        <w:spacing w:after="0"/>
        <w:tabs>
          <w:tab w:leader="none" w:pos="14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Using 20-day volume-weighted average price (“VWAP”) of the Company's common shares.</w:t>
      </w:r>
    </w:p>
    <w:p>
      <w:pPr>
        <w:spacing w:after="0" w:line="190" w:lineRule="exact"/>
        <w:rPr>
          <w:rFonts w:ascii="Times New Roman" w:cs="Times New Roman" w:eastAsia="Times New Roman" w:hAnsi="Times New Roman"/>
          <w:sz w:val="13"/>
          <w:szCs w:val="13"/>
          <w:color w:val="auto"/>
        </w:rPr>
      </w:pPr>
    </w:p>
    <w:p>
      <w:pPr>
        <w:ind w:left="140" w:hanging="140"/>
        <w:spacing w:after="0"/>
        <w:tabs>
          <w:tab w:leader="none" w:pos="14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Otherwise the estimated proceeds to be received by the holder of a common unit if the net assets of the Company were sold at fair market value and distributed.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Redeemable non-controlling interests</w:t>
      </w:r>
    </w:p>
    <w:p>
      <w:pPr>
        <w:spacing w:after="0" w:line="195" w:lineRule="exact"/>
        <w:rPr>
          <w:sz w:val="20"/>
          <w:szCs w:val="20"/>
          <w:color w:val="auto"/>
        </w:rPr>
      </w:pPr>
    </w:p>
    <w:p>
      <w:pPr>
        <w:jc w:val="both"/>
        <w:ind w:firstLine="240"/>
        <w:spacing w:after="0" w:line="269" w:lineRule="auto"/>
        <w:rPr>
          <w:sz w:val="20"/>
          <w:szCs w:val="20"/>
          <w:color w:val="auto"/>
        </w:rPr>
      </w:pPr>
      <w:r>
        <w:rPr>
          <w:rFonts w:ascii="Times New Roman" w:cs="Times New Roman" w:eastAsia="Times New Roman" w:hAnsi="Times New Roman"/>
          <w:sz w:val="13"/>
          <w:szCs w:val="13"/>
          <w:color w:val="auto"/>
        </w:rPr>
        <w:t>Upon consummation of Business Combination, OPAL Fuels and its members caused the existing limited liability company agreement to be amended and restated and in connection therewith, all of the common units of OPAL Fuels LLC issued and outstanding immediately prior to the closing were re-classified into 144,399,037 Class B Units. Each Class B Unit is paired with 1 non-economic share of Class D common stock issued by the Company. Each pair of Class B Unit and 1 share of Class D common stock is exchangeable to either 1 share of Class A common stock or 1 share of Class C common stock at the holder's option. Upon an exchange for Class A common stock, the Company has the option to redeem shares for cash at their market value.</w:t>
      </w:r>
    </w:p>
    <w:p>
      <w:pPr>
        <w:spacing w:after="0" w:line="150" w:lineRule="exact"/>
        <w:rPr>
          <w:sz w:val="20"/>
          <w:szCs w:val="20"/>
          <w:color w:val="auto"/>
        </w:rPr>
      </w:pPr>
    </w:p>
    <w:p>
      <w:pPr>
        <w:jc w:val="both"/>
        <w:ind w:firstLine="240"/>
        <w:spacing w:after="0" w:line="275" w:lineRule="auto"/>
        <w:rPr>
          <w:sz w:val="20"/>
          <w:szCs w:val="20"/>
          <w:color w:val="auto"/>
        </w:rPr>
      </w:pPr>
      <w:r>
        <w:rPr>
          <w:rFonts w:ascii="Times New Roman" w:cs="Times New Roman" w:eastAsia="Times New Roman" w:hAnsi="Times New Roman"/>
          <w:sz w:val="13"/>
          <w:szCs w:val="13"/>
          <w:color w:val="auto"/>
        </w:rPr>
        <w:t>Redeemable non-controlling interests have been presented as mezzanine equity in the condensed consolidated statements of change in Redeemable non-controlling interests, Redeemable preferred non-controlling interests and stockholders' equity. At each balance sheet date, the Redeemable non-controlling interests are adjusted up to their redemption value if necessary, with an offset in Stockholders' equity. As of March 31, 2024, the Company recorded $705,190 to adjust the carrying value to their redemption value based on a 5 day VWAP of $4.88 per share.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14. Net Income (Loss) Per Share</w:t>
      </w: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161290</wp:posOffset>
            </wp:positionV>
            <wp:extent cx="7193280"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388" w:right="319" w:bottom="1440" w:gutter="0" w:footer="0" w:header="0"/>
        </w:sectPr>
      </w:pPr>
    </w:p>
    <w:bookmarkStart w:id="43" w:name="page44"/>
    <w:bookmarkEnd w:id="43"/>
    <w:p>
      <w:pPr>
        <w:jc w:val="both"/>
        <w:ind w:firstLine="240"/>
        <w:spacing w:after="0" w:line="275" w:lineRule="auto"/>
        <w:rPr>
          <w:sz w:val="20"/>
          <w:szCs w:val="20"/>
          <w:color w:val="auto"/>
        </w:rPr>
      </w:pPr>
      <w:r>
        <w:rPr>
          <w:rFonts w:ascii="Times New Roman" w:cs="Times New Roman" w:eastAsia="Times New Roman" w:hAnsi="Times New Roman"/>
          <w:sz w:val="13"/>
          <w:szCs w:val="13"/>
          <w:color w:val="auto"/>
        </w:rPr>
        <w:t>The basic income (loss) per share of Class A common stock is computed by dividing the net loss attributable to Class A common stockholders by the weighted average number of Class A common stock outstanding during the period. The basic income (loss) per share for the three months ended March 31, 2024 and 2023 does not include 1,635,783 shares in treasury, 763,908 shares issued and outstanding but are contingent on achieving earnout targets. During the first quarter of 2023, the put option was exercised and 197,258 shares of Class A common stock were cancelled.</w:t>
      </w:r>
    </w:p>
    <w:p>
      <w:pPr>
        <w:spacing w:after="0" w:line="127" w:lineRule="exact"/>
        <w:rPr>
          <w:sz w:val="20"/>
          <w:szCs w:val="20"/>
          <w:color w:val="auto"/>
        </w:rPr>
      </w:pPr>
    </w:p>
    <w:p>
      <w:pPr>
        <w:jc w:val="both"/>
        <w:ind w:firstLine="240"/>
        <w:spacing w:after="0" w:line="266" w:lineRule="auto"/>
        <w:rPr>
          <w:sz w:val="20"/>
          <w:szCs w:val="20"/>
          <w:color w:val="auto"/>
        </w:rPr>
      </w:pPr>
      <w:r>
        <w:rPr>
          <w:rFonts w:ascii="Times New Roman" w:cs="Times New Roman" w:eastAsia="Times New Roman" w:hAnsi="Times New Roman"/>
          <w:sz w:val="13"/>
          <w:szCs w:val="13"/>
          <w:color w:val="auto"/>
        </w:rPr>
        <w:t>The diluted income per share of Class A common stock for the three months ended March 31, 2024 does not include Redeemable preferred non-controlling interests because the substantive contingency for conversion has not been met as of March 31, 2024. It does not include 144,399,037 OPAL Fuels Class B units representing Redeemable non-controlling interest as its impact is anti-dilutive. It does not include 716,650 Sponsor Earnout Awards and 10,000,000 OPAL Earnout Awards as their target share price and adjusted EBITDA contingencies have not been met as of March 31, 2024. The outstanding restricted stock units and stock options issued under the 2022 Plan are not included as their impact is antidilutive. The outstanding performance units under the 2022 Plan are not included as the performance conditions have not been met as of March 31, 2024.</w:t>
      </w:r>
    </w:p>
    <w:p>
      <w:pPr>
        <w:spacing w:after="0" w:line="132" w:lineRule="exact"/>
        <w:rPr>
          <w:sz w:val="20"/>
          <w:szCs w:val="20"/>
          <w:color w:val="auto"/>
        </w:rPr>
      </w:pPr>
    </w:p>
    <w:p>
      <w:pPr>
        <w:jc w:val="both"/>
        <w:ind w:firstLine="240"/>
        <w:spacing w:after="0" w:line="269" w:lineRule="auto"/>
        <w:rPr>
          <w:sz w:val="20"/>
          <w:szCs w:val="20"/>
          <w:color w:val="auto"/>
        </w:rPr>
      </w:pPr>
      <w:r>
        <w:rPr>
          <w:rFonts w:ascii="Times New Roman" w:cs="Times New Roman" w:eastAsia="Times New Roman" w:hAnsi="Times New Roman"/>
          <w:sz w:val="13"/>
          <w:szCs w:val="13"/>
          <w:color w:val="auto"/>
        </w:rPr>
        <w:t>The diluted loss per share of Class A common stock for the three months ended March 31, 2023 does not include Redeemable preferred non-controlling interests, Convertible Note Payable because the substantive contingency for conversion has not been met as of March 31, 2023. It does not include 144,399,037 OPAL Fuels Class B units representing Redeemable non-controlling interest as its impact is anti-dilutive. It does not include 763,908 Sponsor Earnout Awards and 10,000,000 OPAL Earnout Awards as their target share price and adjusted EBITDA contingencies have not been met as of March 31, 2023. The outstanding restricted stock units, stock options and performance units issued under the 2022 Plan are not included as their impact is dilutive.</w:t>
      </w:r>
    </w:p>
    <w:p>
      <w:pPr>
        <w:spacing w:after="0" w:line="80" w:lineRule="exact"/>
        <w:rPr>
          <w:sz w:val="20"/>
          <w:szCs w:val="20"/>
          <w:color w:val="auto"/>
        </w:rPr>
      </w:pPr>
    </w:p>
    <w:p>
      <w:pPr>
        <w:jc w:val="both"/>
        <w:ind w:firstLine="240"/>
        <w:spacing w:after="0" w:line="294" w:lineRule="auto"/>
        <w:rPr>
          <w:sz w:val="20"/>
          <w:szCs w:val="20"/>
          <w:color w:val="auto"/>
        </w:rPr>
      </w:pPr>
      <w:r>
        <w:rPr>
          <w:rFonts w:ascii="Times New Roman" w:cs="Times New Roman" w:eastAsia="Times New Roman" w:hAnsi="Times New Roman"/>
          <w:sz w:val="13"/>
          <w:szCs w:val="13"/>
          <w:color w:val="auto"/>
        </w:rPr>
        <w:t>The Class B common stock and D common stock do not participate in the earnings or losses of the Company and are therefore not participating securities. As such, separate presentation of basic and diluted earnings per share of Class B common stock and Class D common stock under the two-class method has not been presented.</w:t>
      </w:r>
    </w:p>
    <w:p>
      <w:pPr>
        <w:spacing w:after="0" w:line="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 following table summarizes the calculation of basic and diluted net loss per share:</w:t>
      </w:r>
    </w:p>
    <w:p>
      <w:pPr>
        <w:spacing w:after="0" w:line="145" w:lineRule="exact"/>
        <w:rPr>
          <w:sz w:val="20"/>
          <w:szCs w:val="20"/>
          <w:color w:val="auto"/>
        </w:rPr>
      </w:pPr>
    </w:p>
    <w:p>
      <w:pPr>
        <w:jc w:val="center"/>
        <w:ind w:left="7100"/>
        <w:spacing w:after="0"/>
        <w:rPr>
          <w:sz w:val="20"/>
          <w:szCs w:val="20"/>
          <w:color w:val="auto"/>
        </w:rPr>
      </w:pPr>
      <w:r>
        <w:rPr>
          <w:rFonts w:ascii="Times New Roman" w:cs="Times New Roman" w:eastAsia="Times New Roman" w:hAnsi="Times New Roman"/>
          <w:sz w:val="13"/>
          <w:szCs w:val="13"/>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152400</wp:posOffset>
            </wp:positionH>
            <wp:positionV relativeFrom="paragraph">
              <wp:posOffset>-88900</wp:posOffset>
            </wp:positionV>
            <wp:extent cx="6977380" cy="1968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77380" cy="196850"/>
                    </a:xfrm>
                    <a:prstGeom prst="rect">
                      <a:avLst/>
                    </a:prstGeom>
                    <a:noFill/>
                  </pic:spPr>
                </pic:pic>
              </a:graphicData>
            </a:graphic>
          </wp:anchor>
        </w:drawing>
      </w:r>
    </w:p>
    <w:p>
      <w:pPr>
        <w:jc w:val="center"/>
        <w:ind w:left="7040"/>
        <w:spacing w:after="0"/>
        <w:rPr>
          <w:sz w:val="20"/>
          <w:szCs w:val="20"/>
          <w:color w:val="auto"/>
        </w:rPr>
      </w:pPr>
      <w:r>
        <w:rPr>
          <w:rFonts w:ascii="Times New Roman" w:cs="Times New Roman" w:eastAsia="Times New Roman" w:hAnsi="Times New Roman"/>
          <w:sz w:val="13"/>
          <w:szCs w:val="13"/>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4562475</wp:posOffset>
            </wp:positionH>
            <wp:positionV relativeFrom="paragraph">
              <wp:posOffset>12065</wp:posOffset>
            </wp:positionV>
            <wp:extent cx="2567305" cy="63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567305" cy="6350"/>
                    </a:xfrm>
                    <a:prstGeom prst="rect">
                      <a:avLst/>
                    </a:prstGeom>
                    <a:noFill/>
                  </pic:spPr>
                </pic:pic>
              </a:graphicData>
            </a:graphic>
          </wp:anchor>
        </w:drawing>
      </w:r>
    </w:p>
    <w:p>
      <w:pPr>
        <w:spacing w:after="0" w:line="13" w:lineRule="exact"/>
        <w:rPr>
          <w:sz w:val="20"/>
          <w:szCs w:val="20"/>
          <w:color w:val="auto"/>
        </w:rPr>
      </w:pPr>
    </w:p>
    <w:tbl>
      <w:tblPr>
        <w:tblLayout w:type="fixed"/>
        <w:tblInd w:w="240" w:type="dxa"/>
        <w:tblCellMar>
          <w:top w:w="0" w:type="dxa"/>
          <w:left w:w="0" w:type="dxa"/>
          <w:bottom w:w="0" w:type="dxa"/>
          <w:right w:w="0" w:type="dxa"/>
        </w:tblCellMar>
      </w:tblPr>
      <w:tr>
        <w:trPr>
          <w:trHeight w:val="182"/>
        </w:trPr>
        <w:tc>
          <w:tcPr>
            <w:tcW w:w="694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2024</w:t>
            </w:r>
          </w:p>
        </w:tc>
        <w:tc>
          <w:tcPr>
            <w:tcW w:w="7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773"/>
              <w:spacing w:after="0"/>
              <w:rPr>
                <w:sz w:val="20"/>
                <w:szCs w:val="20"/>
                <w:color w:val="auto"/>
              </w:rPr>
            </w:pPr>
            <w:r>
              <w:rPr>
                <w:rFonts w:ascii="Times New Roman" w:cs="Times New Roman" w:eastAsia="Times New Roman" w:hAnsi="Times New Roman"/>
                <w:sz w:val="13"/>
                <w:szCs w:val="13"/>
                <w:b w:val="1"/>
                <w:bCs w:val="1"/>
                <w:color w:val="auto"/>
              </w:rPr>
              <w:t>2023</w:t>
            </w:r>
          </w:p>
        </w:tc>
        <w:tc>
          <w:tcPr>
            <w:tcW w:w="0" w:type="dxa"/>
            <w:vAlign w:val="bottom"/>
          </w:tcPr>
          <w:p>
            <w:pPr>
              <w:spacing w:after="0"/>
              <w:rPr>
                <w:sz w:val="1"/>
                <w:szCs w:val="1"/>
                <w:color w:val="auto"/>
              </w:rPr>
            </w:pPr>
          </w:p>
        </w:tc>
      </w:tr>
      <w:tr>
        <w:trPr>
          <w:trHeight w:val="165"/>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loss attributable to Class A common stockholders</w:t>
            </w:r>
          </w:p>
        </w:tc>
        <w:tc>
          <w:tcPr>
            <w:tcW w:w="1240" w:type="dxa"/>
            <w:vAlign w:val="bottom"/>
            <w:shd w:val="clear" w:color="auto" w:fill="CCEEFF"/>
          </w:tcPr>
          <w:p>
            <w:pPr>
              <w:jc w:val="right"/>
              <w:ind w:right="1093"/>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(316)</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(1,579)</w:t>
            </w:r>
          </w:p>
        </w:tc>
        <w:tc>
          <w:tcPr>
            <w:tcW w:w="0" w:type="dxa"/>
            <w:vAlign w:val="bottom"/>
          </w:tcPr>
          <w:p>
            <w:pPr>
              <w:spacing w:after="0"/>
              <w:rPr>
                <w:sz w:val="1"/>
                <w:szCs w:val="1"/>
                <w:color w:val="auto"/>
              </w:rPr>
            </w:pPr>
          </w:p>
        </w:tc>
      </w:tr>
      <w:tr>
        <w:trPr>
          <w:trHeight w:val="200"/>
        </w:trPr>
        <w:tc>
          <w:tcPr>
            <w:tcW w:w="69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Weighted average number of shares of Class A common stock - basic</w:t>
            </w:r>
          </w:p>
        </w:tc>
        <w:tc>
          <w:tcPr>
            <w:tcW w:w="12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27,368,204</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27,383,562</w:t>
            </w:r>
          </w:p>
        </w:tc>
        <w:tc>
          <w:tcPr>
            <w:tcW w:w="0" w:type="dxa"/>
            <w:vAlign w:val="bottom"/>
          </w:tcPr>
          <w:p>
            <w:pPr>
              <w:spacing w:after="0"/>
              <w:rPr>
                <w:sz w:val="1"/>
                <w:szCs w:val="1"/>
                <w:color w:val="auto"/>
              </w:rPr>
            </w:pPr>
          </w:p>
        </w:tc>
      </w:tr>
      <w:tr>
        <w:trPr>
          <w:trHeight w:val="130"/>
        </w:trPr>
        <w:tc>
          <w:tcPr>
            <w:tcW w:w="6940" w:type="dxa"/>
            <w:vAlign w:val="bottom"/>
          </w:tcPr>
          <w:p>
            <w:pPr>
              <w:ind w:left="20"/>
              <w:spacing w:after="0" w:line="130" w:lineRule="exact"/>
              <w:rPr>
                <w:sz w:val="20"/>
                <w:szCs w:val="20"/>
                <w:color w:val="auto"/>
              </w:rPr>
            </w:pPr>
            <w:r>
              <w:rPr>
                <w:rFonts w:ascii="Times New Roman" w:cs="Times New Roman" w:eastAsia="Times New Roman" w:hAnsi="Times New Roman"/>
                <w:sz w:val="13"/>
                <w:szCs w:val="13"/>
                <w:color w:val="auto"/>
              </w:rPr>
              <w:t>Dilutive effect of stock options, restricted stock units, performance units, Convertible note payable, earnout shares, Redeemable</w:t>
            </w:r>
          </w:p>
        </w:tc>
        <w:tc>
          <w:tcPr>
            <w:tcW w:w="1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69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preferred non-controlling interests, Redeemable non-controlling interests</w:t>
            </w:r>
          </w:p>
        </w:tc>
        <w:tc>
          <w:tcPr>
            <w:tcW w:w="124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5"/>
        </w:trPr>
        <w:tc>
          <w:tcPr>
            <w:tcW w:w="6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Weighted average number of shares of Class A common stock - diluted</w:t>
            </w:r>
          </w:p>
        </w:tc>
        <w:tc>
          <w:tcPr>
            <w:tcW w:w="1240" w:type="dxa"/>
            <w:vAlign w:val="bottom"/>
            <w:tcBorders>
              <w:top w:val="single" w:sz="8" w:color="auto"/>
              <w:bottom w:val="single" w:sz="8" w:color="auto"/>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27,368,204</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480" w:type="dxa"/>
            <w:vAlign w:val="bottom"/>
            <w:tcBorders>
              <w:top w:val="single" w:sz="8" w:color="auto"/>
              <w:bottom w:val="single" w:sz="8" w:color="auto"/>
            </w:tcBorders>
            <w:shd w:val="clear" w:color="auto" w:fill="CCEEFF"/>
          </w:tcPr>
          <w:p>
            <w:pPr>
              <w:spacing w:after="0"/>
              <w:rPr>
                <w:sz w:val="15"/>
                <w:szCs w:val="15"/>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27,383,562</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color w:val="auto"/>
              </w:rPr>
              <w:t>Net loss per share of Class A common stock</w:t>
            </w: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6940" w:type="dxa"/>
            <w:vAlign w:val="bottom"/>
            <w:vMerge w:val="continue"/>
          </w:tcPr>
          <w:p>
            <w:pPr>
              <w:spacing w:after="0"/>
              <w:rPr>
                <w:sz w:val="9"/>
                <w:szCs w:val="9"/>
                <w:color w:val="auto"/>
              </w:rPr>
            </w:pPr>
          </w:p>
        </w:tc>
        <w:tc>
          <w:tcPr>
            <w:tcW w:w="1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Basic</w:t>
            </w:r>
          </w:p>
        </w:tc>
        <w:tc>
          <w:tcPr>
            <w:tcW w:w="1240" w:type="dxa"/>
            <w:vAlign w:val="bottom"/>
            <w:shd w:val="clear" w:color="auto" w:fill="CCEEFF"/>
          </w:tcPr>
          <w:p>
            <w:pPr>
              <w:jc w:val="right"/>
              <w:ind w:right="1093"/>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(0.01)</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(0.06)</w:t>
            </w:r>
          </w:p>
        </w:tc>
        <w:tc>
          <w:tcPr>
            <w:tcW w:w="0" w:type="dxa"/>
            <w:vAlign w:val="bottom"/>
          </w:tcPr>
          <w:p>
            <w:pPr>
              <w:spacing w:after="0"/>
              <w:rPr>
                <w:sz w:val="1"/>
                <w:szCs w:val="1"/>
                <w:color w:val="auto"/>
              </w:rPr>
            </w:pPr>
          </w:p>
        </w:tc>
      </w:tr>
      <w:tr>
        <w:trPr>
          <w:trHeight w:val="173"/>
        </w:trPr>
        <w:tc>
          <w:tcPr>
            <w:tcW w:w="69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Diluted</w:t>
            </w:r>
          </w:p>
        </w:tc>
        <w:tc>
          <w:tcPr>
            <w:tcW w:w="1240" w:type="dxa"/>
            <w:vAlign w:val="bottom"/>
          </w:tcPr>
          <w:p>
            <w:pPr>
              <w:jc w:val="right"/>
              <w:ind w:right="1093"/>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(0.01)</w:t>
            </w:r>
          </w:p>
        </w:tc>
        <w:tc>
          <w:tcPr>
            <w:tcW w:w="80" w:type="dxa"/>
            <w:vAlign w:val="bottom"/>
          </w:tcPr>
          <w:p>
            <w:pPr>
              <w:spacing w:after="0"/>
              <w:rPr>
                <w:sz w:val="15"/>
                <w:szCs w:val="15"/>
                <w:color w:val="auto"/>
              </w:rPr>
            </w:pPr>
          </w:p>
        </w:tc>
        <w:tc>
          <w:tcPr>
            <w:tcW w:w="480" w:type="dxa"/>
            <w:vAlign w:val="bottom"/>
          </w:tcPr>
          <w:p>
            <w:pPr>
              <w:jc w:val="right"/>
              <w:ind w:right="333"/>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15. Income taxes</w:t>
      </w:r>
    </w:p>
    <w:p>
      <w:pPr>
        <w:spacing w:after="0" w:line="17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3"/>
          <w:szCs w:val="13"/>
          <w:color w:val="auto"/>
        </w:rPr>
        <w:t>As a result of the Company’s up-C structure effective with the Business Combination, the Company expects to be a tax-paying entity. However, as the Company has historically been loss-making, any deferred tax assets created as a result of net operating losses and other deferred tax assets for the excess of tax basis in the Company's investment in Opal Fuels would be offset by a full valuation allowance. Prior to the Business Combination, OPAL Fuels was organized as a limited liability company, with the exception of one partially-owned subsidiary which filed income tax returns as a C-Corporation. The Company accounts for its income taxes using the asset and liability method. Deferred tax assets and liabilities are recognized for the future tax consequences attributable to the differences between the financial statement carrying amount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161290</wp:posOffset>
            </wp:positionV>
            <wp:extent cx="7193280"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368" w:right="319" w:bottom="1440" w:gutter="0" w:footer="0" w:header="0"/>
        </w:sectPr>
      </w:pPr>
    </w:p>
    <w:bookmarkStart w:id="44" w:name="page45"/>
    <w:bookmarkEnd w:id="44"/>
    <w:p>
      <w:pPr>
        <w:jc w:val="both"/>
        <w:spacing w:after="0" w:line="266" w:lineRule="auto"/>
        <w:rPr>
          <w:sz w:val="20"/>
          <w:szCs w:val="20"/>
          <w:color w:val="auto"/>
        </w:rPr>
      </w:pPr>
      <w:r>
        <w:rPr>
          <w:rFonts w:ascii="Times New Roman" w:cs="Times New Roman" w:eastAsia="Times New Roman" w:hAnsi="Times New Roman"/>
          <w:sz w:val="13"/>
          <w:szCs w:val="13"/>
          <w:color w:val="auto"/>
        </w:rPr>
        <w:t>of existing assets and liabilities and their respective tax basis and operating loss and tax credit carryforwards. Deferred tax assets and liabilities are measured using enacted tax rates expected to apply to taxable income in the year in which those temporary differences are expected to be recovered or settled. The effect on deferred tax assets and liabilities of a change in tax rates is recognized in earnings in the period that includes the enactment date. Judgment is required in determining the provisions for income and other taxes and related accruals, and deferred tax assets and liabilities. In the ordinary course of business, there are transactions and calculations where the ultimate tax outcome is uncertain. Additionally, the Company's various tax returns are subject to audit by various tax authorities. Although the Company believes that its estimates are reasonable, actual results could differ from these estimates.</w:t>
      </w:r>
    </w:p>
    <w:p>
      <w:pPr>
        <w:spacing w:after="0" w:line="13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For the three months ended March 31, 2024 and 2023, the Company recorded zero income tax expense.</w:t>
      </w:r>
    </w:p>
    <w:p>
      <w:pPr>
        <w:spacing w:after="0" w:line="171" w:lineRule="exact"/>
        <w:rPr>
          <w:sz w:val="20"/>
          <w:szCs w:val="20"/>
          <w:color w:val="auto"/>
        </w:rPr>
      </w:pPr>
    </w:p>
    <w:p>
      <w:pPr>
        <w:jc w:val="both"/>
        <w:ind w:firstLine="240"/>
        <w:spacing w:after="0" w:line="275" w:lineRule="auto"/>
        <w:rPr>
          <w:sz w:val="20"/>
          <w:szCs w:val="20"/>
          <w:color w:val="auto"/>
        </w:rPr>
      </w:pPr>
      <w:r>
        <w:rPr>
          <w:rFonts w:ascii="Times New Roman" w:cs="Times New Roman" w:eastAsia="Times New Roman" w:hAnsi="Times New Roman"/>
          <w:sz w:val="13"/>
          <w:szCs w:val="13"/>
          <w:color w:val="auto"/>
        </w:rPr>
        <w:t>The effective tax rate for the three months ended March 31, 2024 and 2023 was 0%. The difference between the Company’s effective tax rate and the U.S. statutory tax rate of 21% was primarily due to a full valuation allowance recorded on the Company’s net U.S. deferred tax assets. The Company evaluates the realizability of the deferred tax assets on a quarterly basis and establishes a valuation allowance when it is more likely than not that all or a portion of a deferred tax asset may not be realized.</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16. Stock-based compensation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2022 Omnibus Equity Incentive Plan</w:t>
      </w:r>
    </w:p>
    <w:p>
      <w:pPr>
        <w:spacing w:after="0" w:line="173" w:lineRule="exact"/>
        <w:rPr>
          <w:sz w:val="20"/>
          <w:szCs w:val="20"/>
          <w:color w:val="auto"/>
        </w:rPr>
      </w:pPr>
    </w:p>
    <w:p>
      <w:pPr>
        <w:jc w:val="both"/>
        <w:ind w:firstLine="480"/>
        <w:spacing w:after="0" w:line="266" w:lineRule="auto"/>
        <w:rPr>
          <w:sz w:val="20"/>
          <w:szCs w:val="20"/>
          <w:color w:val="auto"/>
        </w:rPr>
      </w:pPr>
      <w:r>
        <w:rPr>
          <w:rFonts w:ascii="Times New Roman" w:cs="Times New Roman" w:eastAsia="Times New Roman" w:hAnsi="Times New Roman"/>
          <w:sz w:val="13"/>
          <w:szCs w:val="13"/>
          <w:color w:val="auto"/>
        </w:rPr>
        <w:t>The Company adopted 2022 Omnibus Equity Incentive Plan (the "2022 Plan") in 2022 which was approved by our shareholders on July 21, 2022. The purposes of the 2022 Plan is to (i) provide an additional incentive to selected employees, directors, and independent contractors of the Company or its Affiliates whose contributions are essential to the growth and success of the Company, (ii) strengthen the commitment of such individuals to the Company and its Affiliates, (iii) motivate those individuals to faithfully and diligently perform their responsibilities and (iv) attract and retain competent and dedicated individuals whose efforts will result in the long-term growth and profitability of the Company. The 2022 Plan allows for granting of stock options, stock appreciation rights, restricted stock, restricted stock units and other stock-based awards. The Company registered 19,811,726 shares of Class A common stock that can be issued under this Plan.</w:t>
      </w:r>
    </w:p>
    <w:p>
      <w:pPr>
        <w:spacing w:after="0" w:line="132" w:lineRule="exact"/>
        <w:rPr>
          <w:sz w:val="20"/>
          <w:szCs w:val="20"/>
          <w:color w:val="auto"/>
        </w:rPr>
      </w:pPr>
    </w:p>
    <w:p>
      <w:pPr>
        <w:jc w:val="both"/>
        <w:ind w:firstLine="480"/>
        <w:spacing w:after="0" w:line="266" w:lineRule="auto"/>
        <w:rPr>
          <w:sz w:val="20"/>
          <w:szCs w:val="20"/>
          <w:color w:val="auto"/>
        </w:rPr>
      </w:pPr>
      <w:r>
        <w:rPr>
          <w:rFonts w:ascii="Times New Roman" w:cs="Times New Roman" w:eastAsia="Times New Roman" w:hAnsi="Times New Roman"/>
          <w:sz w:val="13"/>
          <w:szCs w:val="13"/>
          <w:color w:val="auto"/>
        </w:rPr>
        <w:t>During the three months ended March 31, 2024, the Company issued 360,298 stock options, 1,110,031 restricted stock units and 456,308 performance units to certain employees of the Company. The applicable performance period for such performance units is January 1, 2024 to December 31, 2026, and all such performance units are scheduled to vest on March 31, 2026 subject to achievement of certain performance criteria. The fair value of the stock options was determined to be $3.40 based on Black Scholes model based on the share price of $4.96, exercise price of $5.02, expiration of 10 years, annual risk free interest rate of 3.96% and volatility of 55%. Additionally, the Company issued 190,526 restricted stock units to the board of directors which vest 100% on their first anniversary. The total fair value of the equity awards was $9,971.</w:t>
      </w:r>
    </w:p>
    <w:p>
      <w:pPr>
        <w:spacing w:after="0" w:line="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A summary of the equity awards under the 2022 Plan for the three months ended March 31, 2024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161290</wp:posOffset>
            </wp:positionV>
            <wp:extent cx="7193280"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368" w:right="319" w:bottom="1440" w:gutter="0" w:footer="0" w:header="0"/>
        </w:sectPr>
      </w:pPr>
    </w:p>
    <w:bookmarkStart w:id="45" w:name="page46"/>
    <w:bookmarkEnd w:id="45"/>
    <w:tbl>
      <w:tblPr>
        <w:tblLayout w:type="fixed"/>
        <w:tblInd w:w="480" w:type="dxa"/>
        <w:tblCellMar>
          <w:top w:w="0" w:type="dxa"/>
          <w:left w:w="0" w:type="dxa"/>
          <w:bottom w:w="0" w:type="dxa"/>
          <w:right w:w="0" w:type="dxa"/>
        </w:tblCellMar>
      </w:tblPr>
      <w:tr>
        <w:trPr>
          <w:trHeight w:val="149"/>
        </w:trPr>
        <w:tc>
          <w:tcPr>
            <w:tcW w:w="33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Weighted average</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33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center"/>
              <w:ind w:right="180"/>
              <w:spacing w:after="0" w:line="134" w:lineRule="exact"/>
              <w:rPr>
                <w:sz w:val="20"/>
                <w:szCs w:val="20"/>
                <w:color w:val="auto"/>
              </w:rPr>
            </w:pPr>
            <w:r>
              <w:rPr>
                <w:rFonts w:ascii="Times New Roman" w:cs="Times New Roman" w:eastAsia="Times New Roman" w:hAnsi="Times New Roman"/>
                <w:sz w:val="13"/>
                <w:szCs w:val="13"/>
                <w:b w:val="1"/>
                <w:bCs w:val="1"/>
                <w:color w:val="auto"/>
              </w:rPr>
              <w:t>fair value per</w:t>
            </w:r>
          </w:p>
        </w:tc>
        <w:tc>
          <w:tcPr>
            <w:tcW w:w="12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Exercise price per</w:t>
            </w:r>
          </w:p>
        </w:tc>
        <w:tc>
          <w:tcPr>
            <w:tcW w:w="1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3320" w:type="dxa"/>
            <w:vAlign w:val="bottom"/>
          </w:tcPr>
          <w:p>
            <w:pPr>
              <w:spacing w:after="0"/>
              <w:rPr>
                <w:sz w:val="11"/>
                <w:szCs w:val="11"/>
                <w:color w:val="auto"/>
              </w:rPr>
            </w:pPr>
          </w:p>
        </w:tc>
        <w:tc>
          <w:tcPr>
            <w:tcW w:w="13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Restricted stock units</w:t>
            </w:r>
          </w:p>
        </w:tc>
        <w:tc>
          <w:tcPr>
            <w:tcW w:w="100" w:type="dxa"/>
            <w:vAlign w:val="bottom"/>
          </w:tcPr>
          <w:p>
            <w:pPr>
              <w:spacing w:after="0"/>
              <w:rPr>
                <w:sz w:val="11"/>
                <w:szCs w:val="11"/>
                <w:color w:val="auto"/>
              </w:rPr>
            </w:pPr>
          </w:p>
        </w:tc>
        <w:tc>
          <w:tcPr>
            <w:tcW w:w="1240" w:type="dxa"/>
            <w:vAlign w:val="bottom"/>
            <w:gridSpan w:val="2"/>
          </w:tcPr>
          <w:p>
            <w:pPr>
              <w:jc w:val="center"/>
              <w:ind w:right="180"/>
              <w:spacing w:after="0" w:line="137" w:lineRule="exact"/>
              <w:rPr>
                <w:sz w:val="20"/>
                <w:szCs w:val="20"/>
                <w:color w:val="auto"/>
              </w:rPr>
            </w:pPr>
            <w:r>
              <w:rPr>
                <w:rFonts w:ascii="Times New Roman" w:cs="Times New Roman" w:eastAsia="Times New Roman" w:hAnsi="Times New Roman"/>
                <w:sz w:val="13"/>
                <w:szCs w:val="13"/>
                <w:b w:val="1"/>
                <w:bCs w:val="1"/>
                <w:color w:val="auto"/>
              </w:rPr>
              <w:t>restricted unit on</w:t>
            </w:r>
          </w:p>
        </w:tc>
        <w:tc>
          <w:tcPr>
            <w:tcW w:w="122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vMerge w:val="restart"/>
          </w:tcPr>
          <w:p>
            <w:pPr>
              <w:jc w:val="right"/>
              <w:ind w:right="113"/>
              <w:spacing w:after="0"/>
              <w:rPr>
                <w:sz w:val="20"/>
                <w:szCs w:val="20"/>
                <w:color w:val="auto"/>
              </w:rPr>
            </w:pPr>
            <w:r>
              <w:rPr>
                <w:rFonts w:ascii="Times New Roman" w:cs="Times New Roman" w:eastAsia="Times New Roman" w:hAnsi="Times New Roman"/>
                <w:sz w:val="13"/>
                <w:szCs w:val="13"/>
                <w:b w:val="1"/>
                <w:bCs w:val="1"/>
                <w:color w:val="auto"/>
              </w:rPr>
              <w:t>Aggregate fair value</w:t>
            </w:r>
          </w:p>
        </w:tc>
        <w:tc>
          <w:tcPr>
            <w:tcW w:w="80" w:type="dxa"/>
            <w:vAlign w:val="bottom"/>
          </w:tcPr>
          <w:p>
            <w:pPr>
              <w:spacing w:after="0"/>
              <w:rPr>
                <w:sz w:val="11"/>
                <w:szCs w:val="11"/>
                <w:color w:val="auto"/>
              </w:rPr>
            </w:pPr>
          </w:p>
        </w:tc>
        <w:tc>
          <w:tcPr>
            <w:tcW w:w="1640" w:type="dxa"/>
            <w:vAlign w:val="bottom"/>
            <w:vMerge w:val="restart"/>
          </w:tcPr>
          <w:p>
            <w:pPr>
              <w:ind w:left="420"/>
              <w:spacing w:after="0"/>
              <w:rPr>
                <w:sz w:val="20"/>
                <w:szCs w:val="20"/>
                <w:color w:val="auto"/>
              </w:rPr>
            </w:pPr>
            <w:r>
              <w:rPr>
                <w:rFonts w:ascii="Times New Roman" w:cs="Times New Roman" w:eastAsia="Times New Roman" w:hAnsi="Times New Roman"/>
                <w:sz w:val="13"/>
                <w:szCs w:val="13"/>
                <w:b w:val="1"/>
                <w:bCs w:val="1"/>
                <w:color w:val="auto"/>
              </w:rPr>
              <w:t>Vesting terms</w:t>
            </w:r>
          </w:p>
        </w:tc>
        <w:tc>
          <w:tcPr>
            <w:tcW w:w="0" w:type="dxa"/>
            <w:vAlign w:val="bottom"/>
          </w:tcPr>
          <w:p>
            <w:pPr>
              <w:spacing w:after="0"/>
              <w:rPr>
                <w:sz w:val="1"/>
                <w:szCs w:val="1"/>
                <w:color w:val="auto"/>
              </w:rPr>
            </w:pPr>
          </w:p>
        </w:tc>
      </w:tr>
      <w:tr>
        <w:trPr>
          <w:trHeight w:val="170"/>
        </w:trPr>
        <w:tc>
          <w:tcPr>
            <w:tcW w:w="332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grant date</w:t>
            </w:r>
          </w:p>
        </w:tc>
        <w:tc>
          <w:tcPr>
            <w:tcW w:w="14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Stock Option</w:t>
            </w:r>
          </w:p>
        </w:tc>
        <w:tc>
          <w:tcPr>
            <w:tcW w:w="1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3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Restricted Stock Units:</w:t>
            </w:r>
          </w:p>
        </w:tc>
        <w:tc>
          <w:tcPr>
            <w:tcW w:w="12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4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3320" w:type="dxa"/>
            <w:vAlign w:val="bottom"/>
          </w:tcPr>
          <w:p>
            <w:pPr>
              <w:ind w:left="20"/>
              <w:spacing w:after="0" w:line="130" w:lineRule="exact"/>
              <w:rPr>
                <w:sz w:val="20"/>
                <w:szCs w:val="20"/>
                <w:color w:val="auto"/>
              </w:rPr>
            </w:pPr>
            <w:r>
              <w:rPr>
                <w:rFonts w:ascii="Times New Roman" w:cs="Times New Roman" w:eastAsia="Times New Roman" w:hAnsi="Times New Roman"/>
                <w:sz w:val="13"/>
                <w:szCs w:val="13"/>
                <w:color w:val="auto"/>
              </w:rPr>
              <w:t>Unvested restricted stock units outstanding as of</w:t>
            </w: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40" w:type="dxa"/>
            <w:vAlign w:val="bottom"/>
          </w:tcPr>
          <w:p>
            <w:pPr>
              <w:spacing w:after="0" w:line="130" w:lineRule="exact"/>
              <w:rPr>
                <w:sz w:val="20"/>
                <w:szCs w:val="20"/>
                <w:color w:val="auto"/>
              </w:rPr>
            </w:pPr>
            <w:r>
              <w:rPr>
                <w:rFonts w:ascii="Times New Roman" w:cs="Times New Roman" w:eastAsia="Times New Roman" w:hAnsi="Times New Roman"/>
                <w:sz w:val="13"/>
                <w:szCs w:val="13"/>
                <w:color w:val="auto"/>
              </w:rPr>
              <w:t>Equal installments vesting</w:t>
            </w:r>
          </w:p>
        </w:tc>
        <w:tc>
          <w:tcPr>
            <w:tcW w:w="0" w:type="dxa"/>
            <w:vAlign w:val="bottom"/>
          </w:tcPr>
          <w:p>
            <w:pPr>
              <w:spacing w:after="0"/>
              <w:rPr>
                <w:sz w:val="1"/>
                <w:szCs w:val="1"/>
                <w:color w:val="auto"/>
              </w:rPr>
            </w:pPr>
          </w:p>
        </w:tc>
      </w:tr>
      <w:tr>
        <w:trPr>
          <w:trHeight w:val="180"/>
        </w:trPr>
        <w:tc>
          <w:tcPr>
            <w:tcW w:w="3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December 31, 2023</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949,936</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6.98</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6,627</w:t>
            </w:r>
          </w:p>
        </w:tc>
        <w:tc>
          <w:tcPr>
            <w:tcW w:w="80" w:type="dxa"/>
            <w:vAlign w:val="bottom"/>
          </w:tcPr>
          <w:p>
            <w:pPr>
              <w:spacing w:after="0"/>
              <w:rPr>
                <w:sz w:val="15"/>
                <w:szCs w:val="15"/>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3"/>
                <w:szCs w:val="13"/>
                <w:color w:val="auto"/>
              </w:rPr>
              <w:t>over one or three years</w:t>
            </w:r>
          </w:p>
        </w:tc>
        <w:tc>
          <w:tcPr>
            <w:tcW w:w="0" w:type="dxa"/>
            <w:vAlign w:val="bottom"/>
          </w:tcPr>
          <w:p>
            <w:pPr>
              <w:spacing w:after="0"/>
              <w:rPr>
                <w:sz w:val="1"/>
                <w:szCs w:val="1"/>
                <w:color w:val="auto"/>
              </w:rPr>
            </w:pPr>
          </w:p>
        </w:tc>
      </w:tr>
      <w:tr>
        <w:trPr>
          <w:trHeight w:val="130"/>
        </w:trPr>
        <w:tc>
          <w:tcPr>
            <w:tcW w:w="33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line="130" w:lineRule="exact"/>
              <w:rPr>
                <w:sz w:val="20"/>
                <w:szCs w:val="20"/>
                <w:color w:val="auto"/>
              </w:rPr>
            </w:pPr>
            <w:r>
              <w:rPr>
                <w:rFonts w:ascii="Times New Roman" w:cs="Times New Roman" w:eastAsia="Times New Roman" w:hAnsi="Times New Roman"/>
                <w:sz w:val="13"/>
                <w:szCs w:val="13"/>
                <w:color w:val="auto"/>
              </w:rPr>
              <w:t>Equal installments vesting</w:t>
            </w:r>
          </w:p>
        </w:tc>
        <w:tc>
          <w:tcPr>
            <w:tcW w:w="0" w:type="dxa"/>
            <w:vAlign w:val="bottom"/>
          </w:tcPr>
          <w:p>
            <w:pPr>
              <w:spacing w:after="0"/>
              <w:rPr>
                <w:sz w:val="1"/>
                <w:szCs w:val="1"/>
                <w:color w:val="auto"/>
              </w:rPr>
            </w:pPr>
          </w:p>
        </w:tc>
      </w:tr>
      <w:tr>
        <w:trPr>
          <w:trHeight w:val="180"/>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Granted during the quarter ending March 31, 2024</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1,300,557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4.98</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6,479</w:t>
            </w:r>
          </w:p>
        </w:tc>
        <w:tc>
          <w:tcPr>
            <w:tcW w:w="8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over one or three years</w:t>
            </w:r>
          </w:p>
        </w:tc>
        <w:tc>
          <w:tcPr>
            <w:tcW w:w="0" w:type="dxa"/>
            <w:vAlign w:val="bottom"/>
          </w:tcPr>
          <w:p>
            <w:pPr>
              <w:spacing w:after="0"/>
              <w:rPr>
                <w:sz w:val="1"/>
                <w:szCs w:val="1"/>
                <w:color w:val="auto"/>
              </w:rPr>
            </w:pPr>
          </w:p>
        </w:tc>
      </w:tr>
      <w:tr>
        <w:trPr>
          <w:trHeight w:val="170"/>
        </w:trPr>
        <w:tc>
          <w:tcPr>
            <w:tcW w:w="3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Vested during 2024</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(307,137)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(2,141)</w:t>
            </w:r>
          </w:p>
        </w:tc>
        <w:tc>
          <w:tcPr>
            <w:tcW w:w="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Withheld for settlement of taxes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(112,402)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6.97</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(783)</w:t>
            </w:r>
          </w:p>
        </w:tc>
        <w:tc>
          <w:tcPr>
            <w:tcW w:w="8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Forfeitures during 2024</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(2,870)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3320" w:type="dxa"/>
            <w:vAlign w:val="bottom"/>
            <w:tcBorders>
              <w:top w:val="single" w:sz="8" w:color="CCEEFF"/>
            </w:tcBorders>
            <w:shd w:val="clear" w:color="auto" w:fill="CCEEFF"/>
          </w:tcPr>
          <w:p>
            <w:pPr>
              <w:ind w:left="20"/>
              <w:spacing w:after="0" w:line="110" w:lineRule="exact"/>
              <w:rPr>
                <w:sz w:val="20"/>
                <w:szCs w:val="20"/>
                <w:color w:val="auto"/>
              </w:rPr>
            </w:pPr>
            <w:r>
              <w:rPr>
                <w:rFonts w:ascii="Times New Roman" w:cs="Times New Roman" w:eastAsia="Times New Roman" w:hAnsi="Times New Roman"/>
                <w:sz w:val="12"/>
                <w:szCs w:val="12"/>
                <w:color w:val="auto"/>
              </w:rPr>
              <w:t>Unvested restricted stock units outstanding at March 31,</w:t>
            </w:r>
          </w:p>
        </w:tc>
        <w:tc>
          <w:tcPr>
            <w:tcW w:w="12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11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10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14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6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2024</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1,828,084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5.56</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10,162</w:t>
            </w:r>
          </w:p>
        </w:tc>
        <w:tc>
          <w:tcPr>
            <w:tcW w:w="8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3320" w:type="dxa"/>
            <w:vAlign w:val="bottom"/>
          </w:tcPr>
          <w:p>
            <w:pPr>
              <w:ind w:left="20"/>
              <w:spacing w:after="0" w:line="150" w:lineRule="exact"/>
              <w:rPr>
                <w:sz w:val="20"/>
                <w:szCs w:val="20"/>
                <w:color w:val="auto"/>
              </w:rPr>
            </w:pPr>
            <w:r>
              <w:rPr>
                <w:rFonts w:ascii="Times New Roman" w:cs="Times New Roman" w:eastAsia="Times New Roman" w:hAnsi="Times New Roman"/>
                <w:sz w:val="13"/>
                <w:szCs w:val="13"/>
                <w:b w:val="1"/>
                <w:bCs w:val="1"/>
                <w:color w:val="auto"/>
              </w:rPr>
              <w:t xml:space="preserve">Stock Options: </w:t>
            </w:r>
            <w:r>
              <w:rPr>
                <w:rFonts w:ascii="Times New Roman" w:cs="Times New Roman" w:eastAsia="Times New Roman" w:hAnsi="Times New Roman"/>
                <w:sz w:val="17"/>
                <w:szCs w:val="17"/>
                <w:b w:val="1"/>
                <w:bCs w:val="1"/>
                <w:color w:val="auto"/>
                <w:vertAlign w:val="superscript"/>
              </w:rPr>
              <w:t>(1)</w:t>
            </w:r>
          </w:p>
        </w:tc>
        <w:tc>
          <w:tcPr>
            <w:tcW w:w="12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33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line="130" w:lineRule="exact"/>
              <w:rPr>
                <w:sz w:val="20"/>
                <w:szCs w:val="20"/>
                <w:color w:val="auto"/>
              </w:rPr>
            </w:pPr>
            <w:r>
              <w:rPr>
                <w:rFonts w:ascii="Times New Roman" w:cs="Times New Roman" w:eastAsia="Times New Roman" w:hAnsi="Times New Roman"/>
                <w:sz w:val="13"/>
                <w:szCs w:val="13"/>
                <w:color w:val="auto"/>
              </w:rPr>
              <w:t>Three equal installments</w:t>
            </w:r>
          </w:p>
        </w:tc>
        <w:tc>
          <w:tcPr>
            <w:tcW w:w="0" w:type="dxa"/>
            <w:vAlign w:val="bottom"/>
          </w:tcPr>
          <w:p>
            <w:pPr>
              <w:spacing w:after="0"/>
              <w:rPr>
                <w:sz w:val="1"/>
                <w:szCs w:val="1"/>
                <w:color w:val="auto"/>
              </w:rPr>
            </w:pPr>
          </w:p>
        </w:tc>
      </w:tr>
      <w:tr>
        <w:trPr>
          <w:trHeight w:val="180"/>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Outstanding awards as of December 31, 2023</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175,890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5.26</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925</w:t>
            </w:r>
          </w:p>
        </w:tc>
        <w:tc>
          <w:tcPr>
            <w:tcW w:w="8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vesting over three years</w:t>
            </w:r>
          </w:p>
        </w:tc>
        <w:tc>
          <w:tcPr>
            <w:tcW w:w="0" w:type="dxa"/>
            <w:vAlign w:val="bottom"/>
          </w:tcPr>
          <w:p>
            <w:pPr>
              <w:spacing w:after="0"/>
              <w:rPr>
                <w:sz w:val="1"/>
                <w:szCs w:val="1"/>
                <w:color w:val="auto"/>
              </w:rPr>
            </w:pPr>
          </w:p>
        </w:tc>
      </w:tr>
      <w:tr>
        <w:trPr>
          <w:trHeight w:val="130"/>
        </w:trPr>
        <w:tc>
          <w:tcPr>
            <w:tcW w:w="33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40" w:type="dxa"/>
            <w:vAlign w:val="bottom"/>
          </w:tcPr>
          <w:p>
            <w:pPr>
              <w:spacing w:after="0" w:line="130" w:lineRule="exact"/>
              <w:rPr>
                <w:sz w:val="20"/>
                <w:szCs w:val="20"/>
                <w:color w:val="auto"/>
              </w:rPr>
            </w:pPr>
            <w:r>
              <w:rPr>
                <w:rFonts w:ascii="Times New Roman" w:cs="Times New Roman" w:eastAsia="Times New Roman" w:hAnsi="Times New Roman"/>
                <w:sz w:val="13"/>
                <w:szCs w:val="13"/>
                <w:color w:val="auto"/>
              </w:rPr>
              <w:t>Three equal installments</w:t>
            </w:r>
          </w:p>
        </w:tc>
        <w:tc>
          <w:tcPr>
            <w:tcW w:w="0" w:type="dxa"/>
            <w:vAlign w:val="bottom"/>
          </w:tcPr>
          <w:p>
            <w:pPr>
              <w:spacing w:after="0"/>
              <w:rPr>
                <w:sz w:val="1"/>
                <w:szCs w:val="1"/>
                <w:color w:val="auto"/>
              </w:rPr>
            </w:pPr>
          </w:p>
        </w:tc>
      </w:tr>
      <w:tr>
        <w:trPr>
          <w:trHeight w:val="180"/>
        </w:trPr>
        <w:tc>
          <w:tcPr>
            <w:tcW w:w="3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Granted in March 2024</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360,298</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3.40</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5.02</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1,225</w:t>
            </w:r>
          </w:p>
        </w:tc>
        <w:tc>
          <w:tcPr>
            <w:tcW w:w="80" w:type="dxa"/>
            <w:vAlign w:val="bottom"/>
            <w:tcBorders>
              <w:bottom w:val="single" w:sz="8" w:color="CCEEFF"/>
            </w:tcBorders>
          </w:tcPr>
          <w:p>
            <w:pPr>
              <w:spacing w:after="0"/>
              <w:rPr>
                <w:sz w:val="15"/>
                <w:szCs w:val="15"/>
                <w:color w:val="auto"/>
              </w:rPr>
            </w:pPr>
          </w:p>
        </w:tc>
        <w:tc>
          <w:tcPr>
            <w:tcW w:w="1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vesting over three years</w:t>
            </w:r>
          </w:p>
        </w:tc>
        <w:tc>
          <w:tcPr>
            <w:tcW w:w="0" w:type="dxa"/>
            <w:vAlign w:val="bottom"/>
          </w:tcPr>
          <w:p>
            <w:pPr>
              <w:spacing w:after="0"/>
              <w:rPr>
                <w:sz w:val="1"/>
                <w:szCs w:val="1"/>
                <w:color w:val="auto"/>
              </w:rPr>
            </w:pPr>
          </w:p>
        </w:tc>
      </w:tr>
      <w:tr>
        <w:trPr>
          <w:trHeight w:val="160"/>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Outstanding Stock Options at March 31, 2024</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536,188</w:t>
            </w:r>
          </w:p>
        </w:tc>
        <w:tc>
          <w:tcPr>
            <w:tcW w:w="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4.01</w:t>
            </w:r>
          </w:p>
        </w:tc>
        <w:tc>
          <w:tcPr>
            <w:tcW w:w="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5.66</w:t>
            </w:r>
          </w:p>
        </w:tc>
        <w:tc>
          <w:tcPr>
            <w:tcW w:w="8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2,150</w:t>
            </w:r>
          </w:p>
        </w:tc>
        <w:tc>
          <w:tcPr>
            <w:tcW w:w="8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Options vested and exercisable as of March 31, 2024</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62,327</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5.26</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6.97</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328</w:t>
            </w:r>
          </w:p>
        </w:tc>
        <w:tc>
          <w:tcPr>
            <w:tcW w:w="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Performance Stock Units:</w:t>
            </w:r>
          </w:p>
        </w:tc>
        <w:tc>
          <w:tcPr>
            <w:tcW w:w="1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33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40" w:type="dxa"/>
            <w:vAlign w:val="bottom"/>
          </w:tcPr>
          <w:p>
            <w:pPr>
              <w:spacing w:after="0" w:line="130" w:lineRule="exact"/>
              <w:rPr>
                <w:sz w:val="20"/>
                <w:szCs w:val="20"/>
                <w:color w:val="auto"/>
              </w:rPr>
            </w:pPr>
            <w:r>
              <w:rPr>
                <w:rFonts w:ascii="Times New Roman" w:cs="Times New Roman" w:eastAsia="Times New Roman" w:hAnsi="Times New Roman"/>
                <w:sz w:val="13"/>
                <w:szCs w:val="13"/>
                <w:color w:val="auto"/>
              </w:rPr>
              <w:t>100% vesting on March 31,</w:t>
            </w:r>
          </w:p>
        </w:tc>
        <w:tc>
          <w:tcPr>
            <w:tcW w:w="0" w:type="dxa"/>
            <w:vAlign w:val="bottom"/>
          </w:tcPr>
          <w:p>
            <w:pPr>
              <w:spacing w:after="0"/>
              <w:rPr>
                <w:sz w:val="1"/>
                <w:szCs w:val="1"/>
                <w:color w:val="auto"/>
              </w:rPr>
            </w:pPr>
          </w:p>
        </w:tc>
      </w:tr>
      <w:tr>
        <w:trPr>
          <w:trHeight w:val="180"/>
        </w:trPr>
        <w:tc>
          <w:tcPr>
            <w:tcW w:w="3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Unvested awards as of December 31, 2023</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239,680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1,671</w:t>
            </w:r>
          </w:p>
        </w:tc>
        <w:tc>
          <w:tcPr>
            <w:tcW w:w="172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2026</w:t>
            </w:r>
          </w:p>
        </w:tc>
        <w:tc>
          <w:tcPr>
            <w:tcW w:w="0" w:type="dxa"/>
            <w:vAlign w:val="bottom"/>
          </w:tcPr>
          <w:p>
            <w:pPr>
              <w:spacing w:after="0"/>
              <w:rPr>
                <w:sz w:val="1"/>
                <w:szCs w:val="1"/>
                <w:color w:val="auto"/>
              </w:rPr>
            </w:pPr>
          </w:p>
        </w:tc>
      </w:tr>
      <w:tr>
        <w:trPr>
          <w:trHeight w:val="130"/>
        </w:trPr>
        <w:tc>
          <w:tcPr>
            <w:tcW w:w="33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line="130" w:lineRule="exact"/>
              <w:rPr>
                <w:sz w:val="20"/>
                <w:szCs w:val="20"/>
                <w:color w:val="auto"/>
              </w:rPr>
            </w:pPr>
            <w:r>
              <w:rPr>
                <w:rFonts w:ascii="Times New Roman" w:cs="Times New Roman" w:eastAsia="Times New Roman" w:hAnsi="Times New Roman"/>
                <w:sz w:val="13"/>
                <w:szCs w:val="13"/>
                <w:color w:val="auto"/>
              </w:rPr>
              <w:t>100% vesting on March 31,</w:t>
            </w:r>
          </w:p>
        </w:tc>
        <w:tc>
          <w:tcPr>
            <w:tcW w:w="0" w:type="dxa"/>
            <w:vAlign w:val="bottom"/>
          </w:tcPr>
          <w:p>
            <w:pPr>
              <w:spacing w:after="0"/>
              <w:rPr>
                <w:sz w:val="1"/>
                <w:szCs w:val="1"/>
                <w:color w:val="auto"/>
              </w:rPr>
            </w:pPr>
          </w:p>
        </w:tc>
      </w:tr>
      <w:tr>
        <w:trPr>
          <w:trHeight w:val="180"/>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Granted in March 2024</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456,308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4.97</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2,267</w:t>
            </w:r>
          </w:p>
        </w:tc>
        <w:tc>
          <w:tcPr>
            <w:tcW w:w="17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2027</w:t>
            </w:r>
          </w:p>
        </w:tc>
        <w:tc>
          <w:tcPr>
            <w:tcW w:w="0" w:type="dxa"/>
            <w:vAlign w:val="bottom"/>
          </w:tcPr>
          <w:p>
            <w:pPr>
              <w:spacing w:after="0"/>
              <w:rPr>
                <w:sz w:val="1"/>
                <w:szCs w:val="1"/>
                <w:color w:val="auto"/>
              </w:rPr>
            </w:pPr>
          </w:p>
        </w:tc>
      </w:tr>
      <w:tr>
        <w:trPr>
          <w:trHeight w:val="170"/>
        </w:trPr>
        <w:tc>
          <w:tcPr>
            <w:tcW w:w="3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Forfeitures during 2024</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Performance Stock Units outstanding as of March 31, 2024</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694,123</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5.65</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3,925</w:t>
            </w:r>
          </w:p>
        </w:tc>
        <w:tc>
          <w:tcPr>
            <w:tcW w:w="80" w:type="dxa"/>
            <w:vAlign w:val="bottom"/>
            <w:tcBorders>
              <w:top w:val="single" w:sz="8" w:color="CCEEFF"/>
            </w:tcBorders>
            <w:shd w:val="clear" w:color="auto" w:fill="CCEEFF"/>
          </w:tcPr>
          <w:p>
            <w:pPr>
              <w:spacing w:after="0"/>
              <w:rPr>
                <w:sz w:val="13"/>
                <w:szCs w:val="13"/>
                <w:color w:val="auto"/>
              </w:rPr>
            </w:pPr>
          </w:p>
        </w:tc>
        <w:tc>
          <w:tcPr>
            <w:tcW w:w="16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unvested awards outstanding as of March 31, 2024</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3,120,722</w:t>
            </w:r>
          </w:p>
        </w:tc>
        <w:tc>
          <w:tcPr>
            <w:tcW w:w="8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5.31</w:t>
            </w: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16,565</w:t>
            </w:r>
          </w:p>
        </w:tc>
        <w:tc>
          <w:tcPr>
            <w:tcW w:w="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vertAlign w:val="superscript"/>
        </w:rPr>
        <w:t>(1)</w:t>
      </w:r>
      <w:r>
        <w:rPr>
          <w:rFonts w:ascii="Times New Roman" w:cs="Times New Roman" w:eastAsia="Times New Roman" w:hAnsi="Times New Roman"/>
          <w:sz w:val="13"/>
          <w:szCs w:val="13"/>
          <w:color w:val="auto"/>
        </w:rPr>
        <w:t xml:space="preserve"> Stock options have an expiration term of 10-years.</w:t>
      </w:r>
    </w:p>
    <w:p>
      <w:pPr>
        <w:spacing w:after="0" w:line="129" w:lineRule="exact"/>
        <w:rPr>
          <w:sz w:val="20"/>
          <w:szCs w:val="20"/>
          <w:color w:val="auto"/>
        </w:rPr>
      </w:pPr>
    </w:p>
    <w:p>
      <w:pPr>
        <w:ind w:firstLine="480"/>
        <w:spacing w:after="0" w:line="294" w:lineRule="auto"/>
        <w:rPr>
          <w:sz w:val="20"/>
          <w:szCs w:val="20"/>
          <w:color w:val="auto"/>
        </w:rPr>
      </w:pPr>
      <w:r>
        <w:rPr>
          <w:rFonts w:ascii="Times New Roman" w:cs="Times New Roman" w:eastAsia="Times New Roman" w:hAnsi="Times New Roman"/>
          <w:sz w:val="13"/>
          <w:szCs w:val="13"/>
          <w:color w:val="auto"/>
        </w:rPr>
        <w:t>As of March 31, 2024 and December 31, 2023, there are 62,327 and 0, respectively, of stock options vested and exercisable at exercise price shown above. The aggregate intrinsic value of the outstanding stock options is zero as of March 31, 2024 and December 31, 2023.</w:t>
      </w:r>
    </w:p>
    <w:p>
      <w:pPr>
        <w:spacing w:after="0" w:line="11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The stock-based compensation expense for the above stock awards under the 2022 Plan as well as Parent Equity Awards is included in the selling, general and administrative expenses:</w:t>
      </w: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167640</wp:posOffset>
            </wp:positionV>
            <wp:extent cx="7193280"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381" w:right="319" w:bottom="1440" w:gutter="0" w:footer="0" w:header="0"/>
        </w:sectPr>
      </w:pPr>
    </w:p>
    <w:bookmarkStart w:id="46" w:name="page47"/>
    <w:bookmarkEnd w:id="46"/>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180" w:type="dxa"/>
            <w:vAlign w:val="bottom"/>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spacing w:after="0"/>
              <w:rPr>
                <w:sz w:val="15"/>
                <w:szCs w:val="15"/>
                <w:color w:val="auto"/>
              </w:rPr>
            </w:pPr>
          </w:p>
        </w:tc>
        <w:tc>
          <w:tcPr>
            <w:tcW w:w="17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Three Months Ended March 31,</w:t>
            </w:r>
          </w:p>
        </w:tc>
        <w:tc>
          <w:tcPr>
            <w:tcW w:w="1140" w:type="dxa"/>
            <w:vAlign w:val="bottom"/>
            <w:tcBorders>
              <w:bottom w:val="single" w:sz="8" w:color="auto"/>
            </w:tcBorders>
            <w:shd w:val="clear" w:color="auto" w:fill="CCEEFF"/>
          </w:tcPr>
          <w:p>
            <w:pPr>
              <w:spacing w:after="0"/>
              <w:rPr>
                <w:sz w:val="15"/>
                <w:szCs w:val="15"/>
                <w:color w:val="auto"/>
              </w:rPr>
            </w:pPr>
          </w:p>
        </w:tc>
      </w:tr>
      <w:tr>
        <w:trPr>
          <w:trHeight w:val="150"/>
        </w:trPr>
        <w:tc>
          <w:tcPr>
            <w:tcW w:w="618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2024</w:t>
            </w: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40" w:type="dxa"/>
            <w:vAlign w:val="bottom"/>
          </w:tcPr>
          <w:p>
            <w:pPr>
              <w:jc w:val="right"/>
              <w:ind w:right="795"/>
              <w:spacing w:after="0"/>
              <w:rPr>
                <w:sz w:val="20"/>
                <w:szCs w:val="20"/>
                <w:color w:val="auto"/>
              </w:rPr>
            </w:pPr>
            <w:r>
              <w:rPr>
                <w:rFonts w:ascii="Times New Roman" w:cs="Times New Roman" w:eastAsia="Times New Roman" w:hAnsi="Times New Roman"/>
                <w:sz w:val="12"/>
                <w:szCs w:val="12"/>
                <w:b w:val="1"/>
                <w:bCs w:val="1"/>
                <w:color w:val="auto"/>
              </w:rPr>
              <w:t>2023</w:t>
            </w:r>
          </w:p>
        </w:tc>
      </w:tr>
      <w:tr>
        <w:trPr>
          <w:trHeight w:val="21"/>
        </w:trPr>
        <w:tc>
          <w:tcPr>
            <w:tcW w:w="618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60"/>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2022 Plan</w:t>
            </w:r>
          </w:p>
        </w:tc>
        <w:tc>
          <w:tcPr>
            <w:tcW w:w="1160" w:type="dxa"/>
            <w:vAlign w:val="bottom"/>
            <w:shd w:val="clear" w:color="auto" w:fill="CCEEFF"/>
          </w:tcPr>
          <w:p>
            <w:pPr>
              <w:jc w:val="right"/>
              <w:ind w:right="1016"/>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853</w:t>
            </w: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693"/>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811</w:t>
            </w:r>
          </w:p>
        </w:tc>
      </w:tr>
      <w:tr>
        <w:trPr>
          <w:trHeight w:val="170"/>
        </w:trPr>
        <w:tc>
          <w:tcPr>
            <w:tcW w:w="6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Parent equity awards</w:t>
            </w:r>
          </w:p>
        </w:tc>
        <w:tc>
          <w:tcPr>
            <w:tcW w:w="1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160</w:t>
            </w:r>
          </w:p>
        </w:tc>
        <w:tc>
          <w:tcPr>
            <w:tcW w:w="8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160</w:t>
            </w:r>
          </w:p>
        </w:tc>
      </w:tr>
      <w:tr>
        <w:trPr>
          <w:trHeight w:val="185"/>
        </w:trPr>
        <w:tc>
          <w:tcPr>
            <w:tcW w:w="618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ind w:right="1016"/>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1,013</w:t>
            </w:r>
          </w:p>
        </w:tc>
        <w:tc>
          <w:tcPr>
            <w:tcW w:w="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693"/>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971</w:t>
            </w: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17. Commitments and Contingencies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Letters of Credit</w:t>
      </w:r>
    </w:p>
    <w:p>
      <w:pPr>
        <w:spacing w:after="0" w:line="125" w:lineRule="exact"/>
        <w:rPr>
          <w:sz w:val="20"/>
          <w:szCs w:val="20"/>
          <w:color w:val="auto"/>
        </w:rPr>
      </w:pPr>
    </w:p>
    <w:p>
      <w:pPr>
        <w:jc w:val="both"/>
        <w:ind w:firstLine="240"/>
        <w:spacing w:after="0" w:line="275" w:lineRule="auto"/>
        <w:rPr>
          <w:sz w:val="20"/>
          <w:szCs w:val="20"/>
          <w:color w:val="auto"/>
        </w:rPr>
      </w:pPr>
      <w:r>
        <w:rPr>
          <w:rFonts w:ascii="Times New Roman" w:cs="Times New Roman" w:eastAsia="Times New Roman" w:hAnsi="Times New Roman"/>
          <w:sz w:val="13"/>
          <w:szCs w:val="13"/>
          <w:color w:val="auto"/>
        </w:rPr>
        <w:t>As of March 31, 2024 and December 31, 2023, the Company was required to maintain eleven standby letters of credit totaling $14,637 and $14,783, respectively, to support obligations of certain Company subsidiaries. These letters of credit were issued in favor of a lender, utilities, a governmental agency, and an independent system operator under PPA electrical interconnection agreements, and in place of a debt service reserve. There have been no draws to date on these letters of credit.</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Purchase Options</w:t>
      </w:r>
    </w:p>
    <w:p>
      <w:pPr>
        <w:spacing w:after="0" w:line="125" w:lineRule="exact"/>
        <w:rPr>
          <w:sz w:val="20"/>
          <w:szCs w:val="20"/>
          <w:color w:val="auto"/>
        </w:rPr>
      </w:pPr>
    </w:p>
    <w:p>
      <w:pPr>
        <w:jc w:val="both"/>
        <w:ind w:firstLine="240"/>
        <w:spacing w:after="0" w:line="294" w:lineRule="auto"/>
        <w:rPr>
          <w:sz w:val="20"/>
          <w:szCs w:val="20"/>
          <w:color w:val="auto"/>
        </w:rPr>
      </w:pPr>
      <w:r>
        <w:rPr>
          <w:rFonts w:ascii="Times New Roman" w:cs="Times New Roman" w:eastAsia="Times New Roman" w:hAnsi="Times New Roman"/>
          <w:sz w:val="13"/>
          <w:szCs w:val="13"/>
          <w:color w:val="auto"/>
        </w:rPr>
        <w:t>The Company has two contracts with customers to provide CNG for periods of seven and ten years, respectively. The customers have an option to terminate the contracts and purchase the Company's CNG Fueling Station at the customers' sites for a fixed amount that declines annually.</w:t>
      </w:r>
    </w:p>
    <w:p>
      <w:pPr>
        <w:spacing w:after="0" w:line="54" w:lineRule="exact"/>
        <w:rPr>
          <w:sz w:val="20"/>
          <w:szCs w:val="20"/>
          <w:color w:val="auto"/>
        </w:rPr>
      </w:pPr>
    </w:p>
    <w:p>
      <w:pPr>
        <w:jc w:val="both"/>
        <w:ind w:firstLine="240"/>
        <w:spacing w:after="0" w:line="275" w:lineRule="auto"/>
        <w:rPr>
          <w:sz w:val="20"/>
          <w:szCs w:val="20"/>
          <w:color w:val="auto"/>
        </w:rPr>
      </w:pPr>
      <w:r>
        <w:rPr>
          <w:rFonts w:ascii="Times New Roman" w:cs="Times New Roman" w:eastAsia="Times New Roman" w:hAnsi="Times New Roman"/>
          <w:sz w:val="13"/>
          <w:szCs w:val="13"/>
          <w:color w:val="auto"/>
        </w:rPr>
        <w:t>In July 2015, the Company entered into a ten year fuel sales agreement with a customer that included the construction of a CNG Fueling Station owned and managed by the Company on the customer's premises. At the end of the contract term, the customer has an option to purchase the CNG Fueling Station for a fixed amount. The cost of the CNG Fueling Station was recorded to Property, plant, and equipment and is being depreciated over the contract term.</w:t>
      </w:r>
    </w:p>
    <w:p>
      <w:pPr>
        <w:spacing w:after="0" w:line="7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On May 30, 2023, OPAL Intermediate Holdco 2 assigned to Paragon its rights and obligations under the OPAL Term Loan II.</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Legal Matters</w:t>
      </w:r>
    </w:p>
    <w:p>
      <w:pPr>
        <w:spacing w:after="0" w:line="125" w:lineRule="exact"/>
        <w:rPr>
          <w:sz w:val="20"/>
          <w:szCs w:val="20"/>
          <w:color w:val="auto"/>
        </w:rPr>
      </w:pPr>
    </w:p>
    <w:p>
      <w:pPr>
        <w:jc w:val="both"/>
        <w:ind w:firstLine="240"/>
        <w:spacing w:after="0" w:line="294" w:lineRule="auto"/>
        <w:rPr>
          <w:sz w:val="20"/>
          <w:szCs w:val="20"/>
          <w:color w:val="auto"/>
        </w:rPr>
      </w:pPr>
      <w:r>
        <w:rPr>
          <w:rFonts w:ascii="Times New Roman" w:cs="Times New Roman" w:eastAsia="Times New Roman" w:hAnsi="Times New Roman"/>
          <w:sz w:val="13"/>
          <w:szCs w:val="13"/>
          <w:color w:val="auto"/>
        </w:rPr>
        <w:t>The Company is involved in various claims arising in the normal course of business. Management believes that the outcome of these claims will not have a material adverse effect on the Company's financial position, results of operations or cash flows.</w:t>
      </w:r>
    </w:p>
    <w:p>
      <w:pPr>
        <w:spacing w:after="0" w:line="6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Set forth below is information related to the Company’s material pending legal proceedings as of the date of this report, other than ordinary routine litigation incidental to the business.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Central Valley Project</w:t>
      </w:r>
    </w:p>
    <w:p>
      <w:pPr>
        <w:spacing w:after="0" w:line="183" w:lineRule="exact"/>
        <w:rPr>
          <w:sz w:val="20"/>
          <w:szCs w:val="20"/>
          <w:color w:val="auto"/>
        </w:rPr>
      </w:pPr>
    </w:p>
    <w:p>
      <w:pPr>
        <w:jc w:val="both"/>
        <w:ind w:firstLine="480"/>
        <w:spacing w:after="0" w:line="275" w:lineRule="auto"/>
        <w:rPr>
          <w:sz w:val="20"/>
          <w:szCs w:val="20"/>
          <w:color w:val="auto"/>
        </w:rPr>
      </w:pPr>
      <w:r>
        <w:rPr>
          <w:rFonts w:ascii="Times New Roman" w:cs="Times New Roman" w:eastAsia="Times New Roman" w:hAnsi="Times New Roman"/>
          <w:sz w:val="13"/>
          <w:szCs w:val="13"/>
          <w:color w:val="auto"/>
        </w:rPr>
        <w:t>In September 2021, an indirect subsidiary of the Company, MD Digester, LLC, entered into a fixed-price Engineering, Procurement and Construction Contract (an “EPC Contract”) with VEC Partners, Inc. d/b/a CEI Builders (“Contractor”) for the design and construction of a turn-key renewable natural gas production facility using dairy cow manure as feedstock. In December 2021, a second indirect subsidiary of the Company, VS Digester, LLC entered into a nearly identical EPC Contract with Contractor for the design and construction of a second facility in connection with the same project.</w:t>
      </w:r>
    </w:p>
    <w:p>
      <w:pPr>
        <w:spacing w:after="0" w:line="147" w:lineRule="exact"/>
        <w:rPr>
          <w:sz w:val="20"/>
          <w:szCs w:val="20"/>
          <w:color w:val="auto"/>
        </w:rPr>
      </w:pPr>
    </w:p>
    <w:p>
      <w:pPr>
        <w:jc w:val="both"/>
        <w:ind w:firstLine="480"/>
        <w:spacing w:after="0" w:line="294" w:lineRule="auto"/>
        <w:rPr>
          <w:sz w:val="20"/>
          <w:szCs w:val="20"/>
          <w:color w:val="auto"/>
        </w:rPr>
      </w:pPr>
      <w:r>
        <w:rPr>
          <w:rFonts w:ascii="Times New Roman" w:cs="Times New Roman" w:eastAsia="Times New Roman" w:hAnsi="Times New Roman"/>
          <w:sz w:val="13"/>
          <w:szCs w:val="13"/>
          <w:color w:val="auto"/>
        </w:rPr>
        <w:t>Contractor has submitted a series of change order requests seeking to increase the EPC Contract price under each contract by approximately $14 million (i.e., approximately $28 million in total), primarily due to modifications to Contractor’s design drawings that are required to meet its contracted performance guaranties and a termination (for default)</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161290</wp:posOffset>
            </wp:positionV>
            <wp:extent cx="7193280"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3"/>
          <w:szCs w:val="13"/>
          <w:color w:val="auto"/>
        </w:rPr>
        <w:t>of one of Contractor’s major equipment manufacturers. The Company disputes substantially all of the change order requests.</w:t>
      </w:r>
    </w:p>
    <w:p>
      <w:pPr>
        <w:spacing w:after="0" w:line="191" w:lineRule="exact"/>
        <w:rPr>
          <w:sz w:val="20"/>
          <w:szCs w:val="20"/>
          <w:color w:val="auto"/>
        </w:rPr>
      </w:pPr>
    </w:p>
    <w:p>
      <w:pPr>
        <w:jc w:val="both"/>
        <w:ind w:firstLine="480"/>
        <w:spacing w:after="0" w:line="266" w:lineRule="auto"/>
        <w:rPr>
          <w:sz w:val="20"/>
          <w:szCs w:val="20"/>
          <w:color w:val="auto"/>
        </w:rPr>
      </w:pPr>
      <w:r>
        <w:rPr>
          <w:rFonts w:ascii="Times New Roman" w:cs="Times New Roman" w:eastAsia="Times New Roman" w:hAnsi="Times New Roman"/>
          <w:sz w:val="13"/>
          <w:szCs w:val="13"/>
          <w:color w:val="auto"/>
        </w:rPr>
        <w:t>On January 5, 2024, the Company filed a civil lawsuit captioned, MD Digester, LLC. et. al. vs. VEC Partners, Inc. et. al.; California Superior Court, County of San Joaquin; Action No. STK-CV-UCC-2024-0000185 and commenced a related arbitration proceeding in order to obtain a formal determination on the claims, AAA Case No. 01-24-0000-0775. The Superior Court Action will be stayed, pending an award in the AAA proceeding. The AAA proceeding has not been set for hearing. Each of the Parties have nominated one arbitrator (each a "Party-selected Arbitrator") and a third arbitrator was appointed by the Party-selected Arbitrators to chair the panel. As a result of the procedural status of these matters, no discovery has occurred. The EPC Agreement provides that Contractor is obligated to continue working during the course of the litigation and related arbitration proceedings. Contractor’s performance under both of the EPC Contracts is fully bonded by licensed sureties.</w:t>
      </w:r>
    </w:p>
    <w:p>
      <w:pPr>
        <w:spacing w:after="0" w:line="152" w:lineRule="exact"/>
        <w:rPr>
          <w:sz w:val="20"/>
          <w:szCs w:val="20"/>
          <w:color w:val="auto"/>
        </w:rPr>
      </w:pPr>
    </w:p>
    <w:p>
      <w:pPr>
        <w:jc w:val="both"/>
        <w:ind w:firstLine="480"/>
        <w:spacing w:after="0" w:line="269" w:lineRule="auto"/>
        <w:rPr>
          <w:sz w:val="20"/>
          <w:szCs w:val="20"/>
          <w:color w:val="auto"/>
        </w:rPr>
      </w:pPr>
      <w:r>
        <w:rPr>
          <w:rFonts w:ascii="Times New Roman" w:cs="Times New Roman" w:eastAsia="Times New Roman" w:hAnsi="Times New Roman"/>
          <w:sz w:val="13"/>
          <w:szCs w:val="13"/>
          <w:color w:val="auto"/>
        </w:rPr>
        <w:t>Despite informal settlement discussions with Contractor, the parties have not been able as of yet to resolve the claims. The Company believes its claims against Contractor have substantial merit and intends to prosecute its claims vigorously. However, due to the incipient stage of the litigation and related arbitration, its ongoing status, and the uncertainties involved in all litigation and arbitration, the Company does not believe it is feasible at this time to assess the likely outcome of the litigation and related arbitration, the timing of its resolution, or its ultimate impact on the Central Valley projects or the Company's business, financial condition or results of operations.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167640</wp:posOffset>
            </wp:positionV>
            <wp:extent cx="7193280"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208" w:right="3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3"/>
          <w:szCs w:val="13"/>
          <w:b w:val="1"/>
          <w:bCs w:val="1"/>
          <w:color w:val="auto"/>
        </w:rPr>
        <w:t>Item 2. Management’s Discussion and Analysis of Financial Condition and Results of Operations</w:t>
      </w:r>
    </w:p>
    <w:p>
      <w:pPr>
        <w:spacing w:after="0" w:line="113" w:lineRule="exact"/>
        <w:rPr>
          <w:sz w:val="20"/>
          <w:szCs w:val="20"/>
          <w:color w:val="auto"/>
        </w:rPr>
      </w:pPr>
    </w:p>
    <w:p>
      <w:pPr>
        <w:jc w:val="both"/>
        <w:ind w:firstLine="240"/>
        <w:spacing w:after="0" w:line="267" w:lineRule="auto"/>
        <w:rPr>
          <w:sz w:val="20"/>
          <w:szCs w:val="20"/>
          <w:color w:val="auto"/>
        </w:rPr>
      </w:pPr>
      <w:r>
        <w:rPr>
          <w:rFonts w:ascii="Times New Roman" w:cs="Times New Roman" w:eastAsia="Times New Roman" w:hAnsi="Times New Roman"/>
          <w:sz w:val="13"/>
          <w:szCs w:val="13"/>
          <w:i w:val="1"/>
          <w:iCs w:val="1"/>
          <w:color w:val="auto"/>
        </w:rPr>
        <w:t xml:space="preserve">In this Management's Discussion and Analysis of Financial Condition and Results of Operations section, references to "OPAL", "we", "us", "our", and the "Company" refer to </w:t>
      </w:r>
      <w:r>
        <w:rPr>
          <w:rFonts w:ascii="Times New Roman" w:cs="Times New Roman" w:eastAsia="Times New Roman" w:hAnsi="Times New Roman"/>
          <w:sz w:val="13"/>
          <w:szCs w:val="13"/>
          <w:color w:val="auto"/>
        </w:rPr>
        <w:t>OPAL Fuels Inc.</w:t>
      </w:r>
      <w:r>
        <w:rPr>
          <w:rFonts w:ascii="Times New Roman" w:cs="Times New Roman" w:eastAsia="Times New Roman" w:hAnsi="Times New Roman"/>
          <w:sz w:val="13"/>
          <w:szCs w:val="13"/>
          <w:i w:val="1"/>
          <w:iCs w:val="1"/>
          <w:color w:val="auto"/>
        </w:rPr>
        <w:t xml:space="preserve"> and its consolidated subsidiaries. The following discussion and analysis should be read in conjunction with the Company's unaudited condensed consolidated financial statements as of March 31, 2024 and for the three months ended March 31, 2024 and </w:t>
      </w:r>
      <w:r>
        <w:rPr>
          <w:rFonts w:ascii="Times New Roman" w:cs="Times New Roman" w:eastAsia="Times New Roman" w:hAnsi="Times New Roman"/>
          <w:sz w:val="13"/>
          <w:szCs w:val="13"/>
          <w:color w:val="auto"/>
        </w:rPr>
        <w:t>2023</w:t>
      </w:r>
      <w:r>
        <w:rPr>
          <w:rFonts w:ascii="Times New Roman" w:cs="Times New Roman" w:eastAsia="Times New Roman" w:hAnsi="Times New Roman"/>
          <w:sz w:val="13"/>
          <w:szCs w:val="13"/>
          <w:i w:val="1"/>
          <w:iCs w:val="1"/>
          <w:color w:val="auto"/>
        </w:rPr>
        <w:t>, and the audited consolidated financial statements and notes thereto included in the Company's Annual Report on Form 10-K, which was filed with the SEC on March 15, 2024. In addition to historical information, this discussion and analysis includes certain forward-looking statements which reflect our current expectations. The Company's actual results may materially differ from these forward-looking statements.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Overview</w:t>
      </w:r>
    </w:p>
    <w:p>
      <w:pPr>
        <w:spacing w:after="0" w:line="175" w:lineRule="exact"/>
        <w:rPr>
          <w:sz w:val="20"/>
          <w:szCs w:val="20"/>
          <w:color w:val="auto"/>
        </w:rPr>
      </w:pPr>
    </w:p>
    <w:p>
      <w:pPr>
        <w:jc w:val="both"/>
        <w:ind w:firstLine="480"/>
        <w:spacing w:after="0" w:line="275" w:lineRule="auto"/>
        <w:rPr>
          <w:sz w:val="20"/>
          <w:szCs w:val="20"/>
          <w:color w:val="auto"/>
        </w:rPr>
      </w:pPr>
      <w:r>
        <w:rPr>
          <w:rFonts w:ascii="Times New Roman" w:cs="Times New Roman" w:eastAsia="Times New Roman" w:hAnsi="Times New Roman"/>
          <w:sz w:val="13"/>
          <w:szCs w:val="13"/>
          <w:color w:val="auto"/>
        </w:rPr>
        <w:t>The Company is a vertically integrated leader in the capture and conversion of biogas into low carbon intensity renewable natural gas (RNG) and Renewable Power. OPAL Fuels is also a leader in the marketing and distribution of RNG to heavy duty trucking and other hard to de-carbonize industrial sectors. RNG is chemically identical to the natural gas used for cooking, heating homes and fueling natural gas engines, but it is produced by recycling harmful methane emissions created by decaying organic waste. We have participated in the biogas-to-energy industry for over 25 years.</w:t>
      </w:r>
    </w:p>
    <w:p>
      <w:pPr>
        <w:spacing w:after="0" w:line="147" w:lineRule="exact"/>
        <w:rPr>
          <w:sz w:val="20"/>
          <w:szCs w:val="20"/>
          <w:color w:val="auto"/>
        </w:rPr>
      </w:pPr>
    </w:p>
    <w:p>
      <w:pPr>
        <w:jc w:val="both"/>
        <w:ind w:firstLine="480"/>
        <w:spacing w:after="0" w:line="266" w:lineRule="auto"/>
        <w:rPr>
          <w:sz w:val="20"/>
          <w:szCs w:val="20"/>
          <w:color w:val="auto"/>
        </w:rPr>
      </w:pPr>
      <w:r>
        <w:rPr>
          <w:rFonts w:ascii="Times New Roman" w:cs="Times New Roman" w:eastAsia="Times New Roman" w:hAnsi="Times New Roman"/>
          <w:sz w:val="13"/>
          <w:szCs w:val="13"/>
          <w:color w:val="auto"/>
        </w:rPr>
        <w:t>Biogas is generated by microbes as they break down organic matter in the absence of oxygen, and comprised of non-fossil waste gas, with high concentrations of methane, which is the primary component of RNG and the source for combustion utilized by Renewable Power plants to generate electricity. Biogas can not only be collected and processed to remove impurities for use as RNG (a form of high-Btu fuel) and injected into existing natural gas pipelines as it is fully interchangeable with fossil natural gas, but partially treated biogas can be used directly in heating applications (as a form of medium-Btu fuel) or in the production of Renewable Power. Our principal sources of biogas are (i) landfill gas, which is produced by the decomposition of organic waste at landfills, and (ii) dairy manure, which is processed through anaerobic digesters to produce the biogas.</w:t>
      </w:r>
    </w:p>
    <w:p>
      <w:pPr>
        <w:spacing w:after="0" w:line="152" w:lineRule="exact"/>
        <w:rPr>
          <w:sz w:val="20"/>
          <w:szCs w:val="20"/>
          <w:color w:val="auto"/>
        </w:rPr>
      </w:pPr>
    </w:p>
    <w:p>
      <w:pPr>
        <w:jc w:val="both"/>
        <w:ind w:firstLine="480"/>
        <w:spacing w:after="0" w:line="275" w:lineRule="auto"/>
        <w:rPr>
          <w:sz w:val="20"/>
          <w:szCs w:val="20"/>
          <w:color w:val="auto"/>
        </w:rPr>
      </w:pPr>
      <w:r>
        <w:rPr>
          <w:rFonts w:ascii="Times New Roman" w:cs="Times New Roman" w:eastAsia="Times New Roman" w:hAnsi="Times New Roman"/>
          <w:sz w:val="13"/>
          <w:szCs w:val="13"/>
          <w:color w:val="auto"/>
        </w:rPr>
        <w:t>We also design, develop, construct, operate and service Fueling Stations for trucking fleets across the country that use natural gas to displace diesel as their transportation fuel. We have participated in the alternative vehicle fuels industry for approximately 13 years and have established an expanding network of Fueling Stations for dispensing RNG. In addition, we have recently begun implementing design, development, and construction services for hydrogen fueling stations, and we are pursuing opportunities to diversify our sources of biogas to other waste streams.</w:t>
      </w:r>
    </w:p>
    <w:p>
      <w:pPr>
        <w:spacing w:after="0" w:line="147"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3"/>
          <w:szCs w:val="13"/>
          <w:color w:val="auto"/>
        </w:rPr>
        <w:t>As of March 31, 2024, we owned and operated 23 projects, eight of which are RNG projects and 15 of which are Renewable Power Projects. As of that date, our RNG projects in operation had a design capacity of 5.2 million MMBtus per year and our Renewable Power Projects in operation had a nameplate capacity of 105.8 MW per hour. In addition to these projects in operation, we are actively pursuing expansion of our RNG-generating capacity and, accordingly, have a portfolio of RNG projects in construction as well as a portfolio of projects in development, with six of our current Renewable Power Projects being considered candidates for conversion to RNG projects in the foreseeable future.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Recent Developments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Inflation Reduction Act</w:t>
      </w:r>
    </w:p>
    <w:p>
      <w:pPr>
        <w:spacing w:after="0" w:line="193" w:lineRule="exact"/>
        <w:rPr>
          <w:sz w:val="20"/>
          <w:szCs w:val="20"/>
          <w:color w:val="auto"/>
        </w:rPr>
      </w:pPr>
    </w:p>
    <w:p>
      <w:pPr>
        <w:jc w:val="both"/>
        <w:ind w:firstLine="480"/>
        <w:spacing w:after="0" w:line="263" w:lineRule="auto"/>
        <w:rPr>
          <w:sz w:val="20"/>
          <w:szCs w:val="20"/>
          <w:color w:val="auto"/>
        </w:rPr>
      </w:pPr>
      <w:r>
        <w:rPr>
          <w:rFonts w:ascii="Times New Roman" w:cs="Times New Roman" w:eastAsia="Times New Roman" w:hAnsi="Times New Roman"/>
          <w:sz w:val="13"/>
          <w:szCs w:val="13"/>
          <w:color w:val="auto"/>
        </w:rPr>
        <w:t>The Inflation Reduction Act (the "IRA") was signed into law on August 16, 2022. The bill invests nearly $369 billion in energy and climate policies. The provisions of the IRA are intended to, among other things, incentivize domestic clean energy investment, manufacturing, and deployment. The IRA incentivizes the deployment of clean energy technologies by extending and expanding federal incentives such as ITCs and the PTC. We view the enactment of the IRA as favorable for the overall business climate for the renewable energy industry. However, there is uncertainty related to the applicability of the IRA to our current and planned projects and the scope of the IRA and its interpretations may change if there is a change in the U.S. administration or if government agencies’ authority to interpret federal law is restricted as a result of the Supreme Court’s review of the Chevron doctrine under which federal government agencies have been awarded board authority to interpret broad or ambiguous legislation. We may also continue to experience a delay in our sales cycles and new award activity as our customers consider the applicability of the IRA and as financing projects may take longer as result of this uncertainty. The IRA may increase the competition in our industry and as such increase the demand and cost for labor, equipment and commodities needed for our projects.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161290</wp:posOffset>
            </wp:positionV>
            <wp:extent cx="7193280"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723" w:right="319" w:bottom="1440" w:gutter="0" w:footer="0" w:header="0"/>
        </w:sectPr>
      </w:pPr>
    </w:p>
    <w:bookmarkStart w:id="49" w:name="page50"/>
    <w:bookmarkEnd w:id="49"/>
    <w:p>
      <w:pPr>
        <w:jc w:val="both"/>
        <w:ind w:firstLine="320"/>
        <w:spacing w:after="0" w:line="269" w:lineRule="auto"/>
        <w:rPr>
          <w:sz w:val="20"/>
          <w:szCs w:val="20"/>
          <w:color w:val="auto"/>
        </w:rPr>
      </w:pPr>
      <w:r>
        <w:rPr>
          <w:rFonts w:ascii="Times New Roman" w:cs="Times New Roman" w:eastAsia="Times New Roman" w:hAnsi="Times New Roman"/>
          <w:sz w:val="13"/>
          <w:szCs w:val="13"/>
          <w:color w:val="auto"/>
        </w:rPr>
        <w:t>On November 17, 2023, the Treasury and the IRS proposed regulations regarding ITCs on renewable energy projects where IRS specified certain types of RNG equipment are ineligible for ITCs which could negatively impact the profitability of our RNG business and our ability to finance our RNG projects. On February 16, 2024, the Treasury and the IRS released a correction to the proposed regulations clarifying that certain of such equipment may be eligible for ITCs. These regulations are merely proposed, and Treasury and the IRS are collecting and reviewing comments received regarding the proposed regulations. The proposed regulations also contain provisions that we believe create uncertainty relating to the ownership, installation or modification of equipment and property on which ITCs can be claimed.</w:t>
      </w:r>
    </w:p>
    <w:p>
      <w:pPr>
        <w:spacing w:after="0" w:line="150" w:lineRule="exact"/>
        <w:rPr>
          <w:sz w:val="20"/>
          <w:szCs w:val="20"/>
          <w:color w:val="auto"/>
        </w:rPr>
      </w:pPr>
    </w:p>
    <w:p>
      <w:pPr>
        <w:jc w:val="both"/>
        <w:ind w:firstLine="320"/>
        <w:spacing w:after="0" w:line="294" w:lineRule="auto"/>
        <w:rPr>
          <w:sz w:val="20"/>
          <w:szCs w:val="20"/>
          <w:color w:val="auto"/>
        </w:rPr>
      </w:pPr>
      <w:r>
        <w:rPr>
          <w:rFonts w:ascii="Times New Roman" w:cs="Times New Roman" w:eastAsia="Times New Roman" w:hAnsi="Times New Roman"/>
          <w:sz w:val="13"/>
          <w:szCs w:val="13"/>
          <w:color w:val="auto"/>
        </w:rPr>
        <w:t>If the final regulations are enacted in a form that limits, in whole or in part, the amount of ITCs for certain of our construction costs, this would reduce the amount of ITCs available and thus could have a material adverse effect on our operations and our business.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Critical Accounting Policies</w:t>
      </w:r>
    </w:p>
    <w:p>
      <w:pPr>
        <w:spacing w:after="0" w:line="115" w:lineRule="exact"/>
        <w:rPr>
          <w:sz w:val="20"/>
          <w:szCs w:val="20"/>
          <w:color w:val="auto"/>
        </w:rPr>
      </w:pPr>
    </w:p>
    <w:p>
      <w:pPr>
        <w:jc w:val="both"/>
        <w:ind w:firstLine="480"/>
        <w:spacing w:after="0" w:line="269" w:lineRule="auto"/>
        <w:rPr>
          <w:sz w:val="20"/>
          <w:szCs w:val="20"/>
          <w:color w:val="auto"/>
        </w:rPr>
      </w:pPr>
      <w:r>
        <w:rPr>
          <w:rFonts w:ascii="Times New Roman" w:cs="Times New Roman" w:eastAsia="Times New Roman" w:hAnsi="Times New Roman"/>
          <w:sz w:val="13"/>
          <w:szCs w:val="13"/>
          <w:color w:val="auto"/>
        </w:rPr>
        <w:t>The discussion and analysis of our financial condition and results of operations is based upon our unaudited condensed consolidated financial statements, which have been prepared in accordance with generally accepted accounting principles in the United States ("U.S. GAAP") and the rules and regulations of the SEC, which apply to interim financial statements. The preparation of those financial statements requires us to make estimates and judgments that affect the reported amounts of assets and liabilities, revenues, expenses and warrants and related disclosure of contingent assets and liabilities at the date of our financial statements. Actual results may differ from these estimates under different assumptions and conditions.</w:t>
      </w:r>
    </w:p>
    <w:p>
      <w:pPr>
        <w:spacing w:after="0" w:line="150" w:lineRule="exact"/>
        <w:rPr>
          <w:sz w:val="20"/>
          <w:szCs w:val="20"/>
          <w:color w:val="auto"/>
        </w:rPr>
      </w:pPr>
    </w:p>
    <w:p>
      <w:pPr>
        <w:jc w:val="both"/>
        <w:ind w:firstLine="480"/>
        <w:spacing w:after="0" w:line="266" w:lineRule="auto"/>
        <w:rPr>
          <w:sz w:val="20"/>
          <w:szCs w:val="20"/>
          <w:color w:val="auto"/>
        </w:rPr>
      </w:pPr>
      <w:r>
        <w:rPr>
          <w:rFonts w:ascii="Times New Roman" w:cs="Times New Roman" w:eastAsia="Times New Roman" w:hAnsi="Times New Roman"/>
          <w:sz w:val="13"/>
          <w:szCs w:val="13"/>
          <w:color w:val="auto"/>
        </w:rPr>
        <w:t xml:space="preserve">Critical accounting policies are those that reflect significant judgments of uncertainties and potentially result in materially different results under different assumptions and conditions. We have described below what we believe are our most critical accounting policies, because they generally involve a comparatively higher degree of judgment in their application. For a detailed description of all our accounting policies, see Note 2. </w:t>
      </w:r>
      <w:r>
        <w:rPr>
          <w:rFonts w:ascii="Times New Roman" w:cs="Times New Roman" w:eastAsia="Times New Roman" w:hAnsi="Times New Roman"/>
          <w:sz w:val="13"/>
          <w:szCs w:val="13"/>
          <w:i w:val="1"/>
          <w:iCs w:val="1"/>
          <w:color w:val="auto"/>
        </w:rPr>
        <w:t>Summary of Significant Accounting Policies</w:t>
      </w:r>
      <w:r>
        <w:rPr>
          <w:rFonts w:ascii="Times New Roman" w:cs="Times New Roman" w:eastAsia="Times New Roman" w:hAnsi="Times New Roman"/>
          <w:sz w:val="13"/>
          <w:szCs w:val="13"/>
          <w:color w:val="auto"/>
        </w:rPr>
        <w:t>, to our condensed consolidated financial statements included herein and the section titled “Critical Accounting Estimates” contained in Part II, Item 7 of our Annual Report on Form 10-K for the year ended December 31, 2023. There have been no material changes to our critical accounting estimates since our Annual Report on Form 10-K for the year ended December 31, 2023.</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Use of Estimates</w:t>
      </w:r>
    </w:p>
    <w:p>
      <w:pPr>
        <w:spacing w:after="0" w:line="283" w:lineRule="exact"/>
        <w:rPr>
          <w:sz w:val="20"/>
          <w:szCs w:val="20"/>
          <w:color w:val="auto"/>
        </w:rPr>
      </w:pPr>
    </w:p>
    <w:p>
      <w:pPr>
        <w:jc w:val="both"/>
        <w:ind w:firstLine="480"/>
        <w:spacing w:after="0" w:line="255" w:lineRule="auto"/>
        <w:rPr>
          <w:sz w:val="20"/>
          <w:szCs w:val="20"/>
          <w:color w:val="auto"/>
        </w:rPr>
      </w:pPr>
      <w:r>
        <w:rPr>
          <w:rFonts w:ascii="Times New Roman" w:cs="Times New Roman" w:eastAsia="Times New Roman" w:hAnsi="Times New Roman"/>
          <w:sz w:val="13"/>
          <w:szCs w:val="13"/>
          <w:color w:val="auto"/>
        </w:rPr>
        <w:t>The preparation of the condensed consolidated financial statements in conformity with U.S. GAAP requires management to make estimates and assumptions that affect the reported amounts of assets and liabilities, disclosure of contingent assets and liabilities at the date of the condensed consolidated financial statements, and the reported amounts of revenues and expenses during the reporting period. Actual results could differ from those estimates. The significant estimates and assumptions of the Company relate to the useful lives of property, plant and equipment, the value of stock-based compensation and the fair value of derivatives including warrant liabilities, earnout liabilities, put option on a forward purchase agreement, interest rate swaps and commodity swap contracts. Actual results could differ from those estimates.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Key Factors and Trends Influencing our Results of Operations</w:t>
      </w:r>
    </w:p>
    <w:p>
      <w:pPr>
        <w:spacing w:after="0" w:line="115" w:lineRule="exact"/>
        <w:rPr>
          <w:sz w:val="20"/>
          <w:szCs w:val="20"/>
          <w:color w:val="auto"/>
        </w:rPr>
      </w:pPr>
    </w:p>
    <w:p>
      <w:pPr>
        <w:jc w:val="both"/>
        <w:ind w:firstLine="240"/>
        <w:spacing w:after="0" w:line="294" w:lineRule="auto"/>
        <w:rPr>
          <w:sz w:val="20"/>
          <w:szCs w:val="20"/>
          <w:color w:val="auto"/>
        </w:rPr>
      </w:pPr>
      <w:r>
        <w:rPr>
          <w:rFonts w:ascii="Times New Roman" w:cs="Times New Roman" w:eastAsia="Times New Roman" w:hAnsi="Times New Roman"/>
          <w:sz w:val="13"/>
          <w:szCs w:val="13"/>
          <w:color w:val="auto"/>
        </w:rPr>
        <w:t>The principal factors affecting our results of operations and financial condition are the markets for RNG, Renewable Power, and associated Environmental Attributes, and access to suitable biogas production resources. Additional factors and trends affecting our business are discussed in "</w:t>
      </w:r>
      <w:r>
        <w:rPr>
          <w:rFonts w:ascii="Times New Roman" w:cs="Times New Roman" w:eastAsia="Times New Roman" w:hAnsi="Times New Roman"/>
          <w:sz w:val="13"/>
          <w:szCs w:val="13"/>
          <w:i w:val="1"/>
          <w:iCs w:val="1"/>
          <w:color w:val="auto"/>
        </w:rPr>
        <w:t>Risk Factors</w:t>
      </w:r>
      <w:r>
        <w:rPr>
          <w:rFonts w:ascii="Times New Roman" w:cs="Times New Roman" w:eastAsia="Times New Roman" w:hAnsi="Times New Roman"/>
          <w:sz w:val="13"/>
          <w:szCs w:val="13"/>
          <w:color w:val="auto"/>
        </w:rPr>
        <w:t>" elsewhere in this report.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Market Demand for RNG</w:t>
      </w:r>
    </w:p>
    <w:p>
      <w:pPr>
        <w:spacing w:after="0" w:line="173"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3"/>
          <w:szCs w:val="13"/>
          <w:color w:val="auto"/>
        </w:rPr>
        <w:t>Demand for our converted biogas and associated Environmental Attributes, including RINs and LCFS credits, is heavily influenced by United States federal and state energy regulations together with commercial interest in renewable energy products. Markets for RINs and LCFS credits arise from regulatory mandates that require refiners and blenders to incorporate renewable content into transportation fuels. The EPA annually sets proposed renewable volume obligations ("RVOs") for D3 (cellulosic biofuel with a 60% greenhouse gas (“GHG”) reduction requirement) RINs in accordance with the mandates established by the Energy Independence and Security Act of 2007. In June 2023, the EPA set RVOs for 2023 through 2025 via a new Set rule. This 3 year RVO is expected to reduce volatility in RIN pricing for the associated period. On the state level, the economics of RNG are enhanced by low-carbon fuel initiatives, particularly well-established programs in California and Oregon (with several other states also actively considering LCFS initiatives similar to those in</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161290</wp:posOffset>
            </wp:positionV>
            <wp:extent cx="7193280"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50" w:name="page51"/>
    <w:bookmarkEnd w:id="50"/>
    <w:p>
      <w:pPr>
        <w:jc w:val="both"/>
        <w:spacing w:after="0" w:line="294" w:lineRule="auto"/>
        <w:rPr>
          <w:sz w:val="20"/>
          <w:szCs w:val="20"/>
          <w:color w:val="auto"/>
        </w:rPr>
      </w:pPr>
      <w:r>
        <w:rPr>
          <w:rFonts w:ascii="Times New Roman" w:cs="Times New Roman" w:eastAsia="Times New Roman" w:hAnsi="Times New Roman"/>
          <w:sz w:val="13"/>
          <w:szCs w:val="13"/>
          <w:color w:val="auto"/>
        </w:rPr>
        <w:t>California, Washington and Oregon). Federal and state regulatory developments could result in significant future changes to market demand for the RINs and LCFS credits we produce. This would have a corresponding impact to our revenue, net income, and cash flow.</w:t>
      </w:r>
    </w:p>
    <w:p>
      <w:pPr>
        <w:spacing w:after="0" w:line="83" w:lineRule="exact"/>
        <w:rPr>
          <w:sz w:val="20"/>
          <w:szCs w:val="20"/>
          <w:color w:val="auto"/>
        </w:rPr>
      </w:pPr>
    </w:p>
    <w:p>
      <w:pPr>
        <w:jc w:val="both"/>
        <w:ind w:firstLine="240"/>
        <w:spacing w:after="0" w:line="182" w:lineRule="exact"/>
        <w:rPr>
          <w:sz w:val="20"/>
          <w:szCs w:val="20"/>
          <w:color w:val="auto"/>
        </w:rPr>
      </w:pPr>
      <w:r>
        <w:rPr>
          <w:rFonts w:ascii="Times New Roman" w:cs="Times New Roman" w:eastAsia="Times New Roman" w:hAnsi="Times New Roman"/>
          <w:sz w:val="13"/>
          <w:szCs w:val="13"/>
          <w:color w:val="auto"/>
        </w:rPr>
        <w:t>Transportation, including heavy-duty trucking, generates approximately 30% of overall CO</w:t>
      </w:r>
      <w:r>
        <w:rPr>
          <w:rFonts w:ascii="MS PGothic" w:cs="MS PGothic" w:eastAsia="MS PGothic" w:hAnsi="MS PGothic"/>
          <w:sz w:val="13"/>
          <w:szCs w:val="13"/>
          <w:color w:val="auto"/>
        </w:rPr>
        <w:t>₂</w:t>
      </w:r>
      <w:r>
        <w:rPr>
          <w:rFonts w:ascii="Times New Roman" w:cs="Times New Roman" w:eastAsia="Times New Roman" w:hAnsi="Times New Roman"/>
          <w:sz w:val="13"/>
          <w:szCs w:val="13"/>
          <w:color w:val="auto"/>
        </w:rPr>
        <w:t xml:space="preserve"> and other climate-harming GHG emissions in the United States, and transitioning this sector to low and negative carbon fuels is a critical step towards reducing overall global GHG emissions. The adoption rate of RNG-powered vehicles by commercial transportation fleets will significantly impact demand for our products.</w:t>
      </w:r>
    </w:p>
    <w:p>
      <w:pPr>
        <w:spacing w:after="0" w:line="9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We are also exposed to the commodity prices of natural gas and diesel, which serve as alternative fuel for RNG and therefore impact the demand for RNG.</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Renewable Power Markets</w:t>
      </w:r>
    </w:p>
    <w:p>
      <w:pPr>
        <w:spacing w:after="0" w:line="173" w:lineRule="exact"/>
        <w:rPr>
          <w:sz w:val="20"/>
          <w:szCs w:val="20"/>
          <w:color w:val="auto"/>
        </w:rPr>
      </w:pPr>
    </w:p>
    <w:p>
      <w:pPr>
        <w:jc w:val="both"/>
        <w:ind w:firstLine="240"/>
        <w:spacing w:after="0" w:line="275" w:lineRule="auto"/>
        <w:rPr>
          <w:sz w:val="20"/>
          <w:szCs w:val="20"/>
          <w:color w:val="auto"/>
        </w:rPr>
      </w:pPr>
      <w:r>
        <w:rPr>
          <w:rFonts w:ascii="Times New Roman" w:cs="Times New Roman" w:eastAsia="Times New Roman" w:hAnsi="Times New Roman"/>
          <w:sz w:val="13"/>
          <w:szCs w:val="13"/>
          <w:color w:val="auto"/>
        </w:rPr>
        <w:t>We also generate revenues from sales of Renewable Power generated by our biogas-to-Renewable Power projects, and associated ISCC Carbon Credits and RECs. ISCC Carbon Credits and RECs exist because of legal and governmental regulatory requirements in Europe and the United States, respectively, and a change in law or in governmental policies concerning Renewable Power, LFG, or ISCC Carbon Credits or RECs could affect the market for, and the pricing of, such power and credits.</w:t>
      </w:r>
    </w:p>
    <w:p>
      <w:pPr>
        <w:spacing w:after="0" w:line="127" w:lineRule="exact"/>
        <w:rPr>
          <w:sz w:val="20"/>
          <w:szCs w:val="20"/>
          <w:color w:val="auto"/>
        </w:rPr>
      </w:pPr>
    </w:p>
    <w:p>
      <w:pPr>
        <w:jc w:val="both"/>
        <w:ind w:firstLine="240"/>
        <w:spacing w:after="0" w:line="275" w:lineRule="auto"/>
        <w:rPr>
          <w:sz w:val="20"/>
          <w:szCs w:val="20"/>
          <w:color w:val="auto"/>
        </w:rPr>
      </w:pPr>
      <w:r>
        <w:rPr>
          <w:rFonts w:ascii="Times New Roman" w:cs="Times New Roman" w:eastAsia="Times New Roman" w:hAnsi="Times New Roman"/>
          <w:sz w:val="13"/>
          <w:szCs w:val="13"/>
          <w:color w:val="auto"/>
        </w:rPr>
        <w:t>We periodically evaluate opportunities to convert existing Renewable Power projects to RNG production. We have been negotiating with several of our landfill and Renewable Power counterparties to enter into arrangements that would enable the LFG resource to produce RNG. Changes in the price we receive for Renewable Power, associated ISCC Carbon Credits and RECs, together with the revenue opportunities and conversion costs associated with converting our LFG sites to RNG production, could have a significant impact on our future profitability.</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Regulatory landscape</w:t>
      </w:r>
    </w:p>
    <w:p>
      <w:pPr>
        <w:spacing w:after="0" w:line="303" w:lineRule="exact"/>
        <w:rPr>
          <w:sz w:val="20"/>
          <w:szCs w:val="20"/>
          <w:color w:val="auto"/>
        </w:rPr>
      </w:pPr>
    </w:p>
    <w:p>
      <w:pPr>
        <w:jc w:val="both"/>
        <w:ind w:firstLine="240"/>
        <w:spacing w:after="0" w:line="266" w:lineRule="auto"/>
        <w:rPr>
          <w:sz w:val="20"/>
          <w:szCs w:val="20"/>
          <w:color w:val="auto"/>
        </w:rPr>
      </w:pPr>
      <w:r>
        <w:rPr>
          <w:rFonts w:ascii="Times New Roman" w:cs="Times New Roman" w:eastAsia="Times New Roman" w:hAnsi="Times New Roman"/>
          <w:sz w:val="13"/>
          <w:szCs w:val="13"/>
          <w:color w:val="auto"/>
        </w:rPr>
        <w:t xml:space="preserve">We operate in an industry that is subject to and currently benefits from environmental regulations. Government policies can increase demand for our products by providing incentives to purchase RNG and Environmental Attributes. These government policies are modified and in flux constantly and any adverse changes to these policies could have a material effect the demand for our products. For more information, see the risk factor in our Annual Report on Form 10-K for the year ended December 31, 2023 titled </w:t>
      </w:r>
      <w:r>
        <w:rPr>
          <w:rFonts w:ascii="Times New Roman" w:cs="Times New Roman" w:eastAsia="Times New Roman" w:hAnsi="Times New Roman"/>
          <w:sz w:val="13"/>
          <w:szCs w:val="13"/>
          <w:i w:val="1"/>
          <w:iCs w:val="1"/>
          <w:color w:val="auto"/>
        </w:rPr>
        <w:t>"The financial performance of our business depends upon tax and other government incentives for</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 xml:space="preserve">the generation of RNG and Renewable Power, any of which could change at any time and such changes may negatively impact our growth strategy." </w:t>
      </w:r>
      <w:r>
        <w:rPr>
          <w:rFonts w:ascii="Times New Roman" w:cs="Times New Roman" w:eastAsia="Times New Roman" w:hAnsi="Times New Roman"/>
          <w:sz w:val="13"/>
          <w:szCs w:val="13"/>
          <w:color w:val="auto"/>
        </w:rPr>
        <w:t>Government regulations have become increasingly stringent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and complying with changes in regulations may result in significant additional operating expenses.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Seasonality</w:t>
      </w:r>
    </w:p>
    <w:p>
      <w:pPr>
        <w:spacing w:after="0" w:line="113" w:lineRule="exact"/>
        <w:rPr>
          <w:sz w:val="20"/>
          <w:szCs w:val="20"/>
          <w:color w:val="auto"/>
        </w:rPr>
      </w:pPr>
    </w:p>
    <w:p>
      <w:pPr>
        <w:jc w:val="both"/>
        <w:ind w:firstLine="480"/>
        <w:spacing w:after="0" w:line="269" w:lineRule="auto"/>
        <w:rPr>
          <w:sz w:val="20"/>
          <w:szCs w:val="20"/>
          <w:color w:val="auto"/>
        </w:rPr>
      </w:pPr>
      <w:r>
        <w:rPr>
          <w:rFonts w:ascii="Times New Roman" w:cs="Times New Roman" w:eastAsia="Times New Roman" w:hAnsi="Times New Roman"/>
          <w:sz w:val="13"/>
          <w:szCs w:val="13"/>
          <w:color w:val="auto"/>
        </w:rPr>
        <w:t>We experience seasonality in our results of operations. Sale of RNG may be impacted by higher consumption by some of our customers during summer months. Additionally, the price of RNG is higher during the fall and winter months due to increase in overall demand for natural gas during the winter months. Revenues generated from our renewable electricity projects in the northeast U.S., all of which sell electricity at market prices, are affected by warmer and colder weather, and therefore a portion of our quarterly operating results and cash flows are affected by pricing changes due to regional temperatures. These seasonal variances are managed in part by certain off-take agreements at fixed prices.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Key Components of Our Results of Operations</w:t>
      </w:r>
    </w:p>
    <w:p>
      <w:pPr>
        <w:spacing w:after="0" w:line="125" w:lineRule="exact"/>
        <w:rPr>
          <w:sz w:val="20"/>
          <w:szCs w:val="20"/>
          <w:color w:val="auto"/>
        </w:rPr>
      </w:pPr>
    </w:p>
    <w:p>
      <w:pPr>
        <w:jc w:val="both"/>
        <w:ind w:firstLine="240"/>
        <w:spacing w:after="0" w:line="260" w:lineRule="auto"/>
        <w:rPr>
          <w:sz w:val="20"/>
          <w:szCs w:val="20"/>
          <w:color w:val="auto"/>
        </w:rPr>
      </w:pPr>
      <w:r>
        <w:rPr>
          <w:rFonts w:ascii="Times New Roman" w:cs="Times New Roman" w:eastAsia="Times New Roman" w:hAnsi="Times New Roman"/>
          <w:sz w:val="13"/>
          <w:szCs w:val="13"/>
          <w:color w:val="auto"/>
        </w:rPr>
        <w:t>We generate revenues from the sale of RNG fuel, Renewable Power, and associated Environmental Attributes, as well as from the construction, fuel supply, and servicing of Fueling Stations for commercial transportation vehicles using natural gas to power their fleets. These revenue sources are presented in our statement of operations under the following captions:</w:t>
      </w:r>
    </w:p>
    <w:p>
      <w:pPr>
        <w:ind w:left="600" w:hanging="360"/>
        <w:spacing w:after="0"/>
        <w:tabs>
          <w:tab w:leader="none" w:pos="60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RNG Fuel. </w:t>
      </w:r>
      <w:r>
        <w:rPr>
          <w:rFonts w:ascii="Times New Roman" w:cs="Times New Roman" w:eastAsia="Times New Roman" w:hAnsi="Times New Roman"/>
          <w:sz w:val="13"/>
          <w:szCs w:val="13"/>
          <w:color w:val="auto"/>
        </w:rPr>
        <w:t>The RNG Fuel segment includes RNG supply as well as the associated generation and sale of commodity natural gas and environmental credits, and consists of:</w:t>
      </w:r>
    </w:p>
    <w:p>
      <w:pPr>
        <w:spacing w:after="0" w:line="176" w:lineRule="exact"/>
        <w:rPr>
          <w:rFonts w:ascii="Times New Roman" w:cs="Times New Roman" w:eastAsia="Times New Roman" w:hAnsi="Times New Roman"/>
          <w:sz w:val="13"/>
          <w:szCs w:val="13"/>
          <w:color w:val="auto"/>
        </w:rPr>
      </w:pPr>
    </w:p>
    <w:p>
      <w:pPr>
        <w:ind w:left="1080" w:hanging="359"/>
        <w:spacing w:after="0"/>
        <w:tabs>
          <w:tab w:leader="none" w:pos="1080" w:val="left"/>
        </w:tabs>
        <w:numPr>
          <w:ilvl w:val="1"/>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RNG Production Facilities – the design, development, construction, maintenance and operation of facilities that convert raw biogas into pipeline quality natural gas; and</w:t>
      </w:r>
    </w:p>
    <w:p>
      <w:pPr>
        <w:spacing w:after="0" w:line="23" w:lineRule="exact"/>
        <w:rPr>
          <w:rFonts w:ascii="Times New Roman" w:cs="Times New Roman" w:eastAsia="Times New Roman" w:hAnsi="Times New Roman"/>
          <w:sz w:val="13"/>
          <w:szCs w:val="13"/>
          <w:color w:val="auto"/>
        </w:rPr>
      </w:pPr>
    </w:p>
    <w:p>
      <w:pPr>
        <w:ind w:left="1080" w:hanging="359"/>
        <w:spacing w:after="0"/>
        <w:tabs>
          <w:tab w:leader="none" w:pos="1080" w:val="left"/>
        </w:tabs>
        <w:numPr>
          <w:ilvl w:val="1"/>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interests in both operating and construction projects.</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161290</wp:posOffset>
            </wp:positionV>
            <wp:extent cx="7193280"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887" w:right="319" w:bottom="1440" w:gutter="0" w:footer="0" w:header="0"/>
        </w:sectPr>
      </w:pPr>
    </w:p>
    <w:bookmarkStart w:id="51" w:name="page52"/>
    <w:bookmarkEnd w:id="51"/>
    <w:p>
      <w:pPr>
        <w:ind w:left="600" w:hanging="360"/>
        <w:spacing w:after="0" w:line="284" w:lineRule="auto"/>
        <w:tabs>
          <w:tab w:leader="none" w:pos="597"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Fuel Station Services. </w:t>
      </w:r>
      <w:r>
        <w:rPr>
          <w:rFonts w:ascii="Times New Roman" w:cs="Times New Roman" w:eastAsia="Times New Roman" w:hAnsi="Times New Roman"/>
          <w:sz w:val="13"/>
          <w:szCs w:val="13"/>
          <w:color w:val="auto"/>
        </w:rPr>
        <w:t>Through our Fuel Station Services segment, we provide construction and maintenance services to third-party owners of vehicle Fueling Stations and performs fuel dispensing</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activities including generation and minting of environmental credits. This segment includes:</w:t>
      </w:r>
    </w:p>
    <w:p>
      <w:pPr>
        <w:spacing w:after="0" w:line="130" w:lineRule="exact"/>
        <w:rPr>
          <w:rFonts w:ascii="Times New Roman" w:cs="Times New Roman" w:eastAsia="Times New Roman" w:hAnsi="Times New Roman"/>
          <w:sz w:val="13"/>
          <w:szCs w:val="13"/>
          <w:color w:val="auto"/>
        </w:rPr>
      </w:pPr>
    </w:p>
    <w:p>
      <w:pPr>
        <w:ind w:left="1080" w:hanging="359"/>
        <w:spacing w:after="0"/>
        <w:tabs>
          <w:tab w:leader="none" w:pos="1080" w:val="left"/>
        </w:tabs>
        <w:numPr>
          <w:ilvl w:val="1"/>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Manufacturing division that builds Compact Fueling Systems and Defueling systems;</w:t>
      </w:r>
    </w:p>
    <w:p>
      <w:pPr>
        <w:spacing w:after="0" w:line="23" w:lineRule="exact"/>
        <w:rPr>
          <w:rFonts w:ascii="Times New Roman" w:cs="Times New Roman" w:eastAsia="Times New Roman" w:hAnsi="Times New Roman"/>
          <w:sz w:val="13"/>
          <w:szCs w:val="13"/>
          <w:color w:val="auto"/>
        </w:rPr>
      </w:pPr>
    </w:p>
    <w:p>
      <w:pPr>
        <w:ind w:left="1080" w:right="180" w:hanging="359"/>
        <w:spacing w:after="0" w:line="242" w:lineRule="auto"/>
        <w:tabs>
          <w:tab w:leader="none" w:pos="1077" w:val="left"/>
        </w:tabs>
        <w:numPr>
          <w:ilvl w:val="1"/>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Design/Build contracts where we serve as general contractor for construction of Fueling Stations, typically structured as Guarantee Maximum Price or fixed priced contracts for customers, generally lasting less than one year;</w:t>
      </w:r>
    </w:p>
    <w:p>
      <w:pPr>
        <w:ind w:left="1080" w:hanging="359"/>
        <w:spacing w:after="0"/>
        <w:tabs>
          <w:tab w:leader="none" w:pos="1080" w:val="left"/>
        </w:tabs>
        <w:numPr>
          <w:ilvl w:val="1"/>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Service and maintenance contracts for RNG/CNG Fueling Stations; and</w:t>
      </w:r>
    </w:p>
    <w:p>
      <w:pPr>
        <w:spacing w:after="0" w:line="9" w:lineRule="exact"/>
        <w:rPr>
          <w:rFonts w:ascii="Times New Roman" w:cs="Times New Roman" w:eastAsia="Times New Roman" w:hAnsi="Times New Roman"/>
          <w:sz w:val="13"/>
          <w:szCs w:val="13"/>
          <w:color w:val="auto"/>
        </w:rPr>
      </w:pPr>
    </w:p>
    <w:p>
      <w:pPr>
        <w:ind w:left="1080" w:right="80" w:hanging="359"/>
        <w:spacing w:after="0" w:line="258" w:lineRule="auto"/>
        <w:tabs>
          <w:tab w:leader="none" w:pos="1077" w:val="left"/>
        </w:tabs>
        <w:numPr>
          <w:ilvl w:val="1"/>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RNG and CNG Fuel Dispensing Stations - This includes both the dispensing (or sale) of RNG, CNG, and environmental credit generation and monetization. We operate Fueling Stations that dispense both CNG and RNG fuel for vehicles.</w:t>
      </w:r>
    </w:p>
    <w:p>
      <w:pPr>
        <w:spacing w:after="0" w:line="142" w:lineRule="exact"/>
        <w:rPr>
          <w:rFonts w:ascii="Times New Roman" w:cs="Times New Roman" w:eastAsia="Times New Roman" w:hAnsi="Times New Roman"/>
          <w:sz w:val="13"/>
          <w:szCs w:val="13"/>
          <w:color w:val="auto"/>
        </w:rPr>
      </w:pPr>
    </w:p>
    <w:p>
      <w:pPr>
        <w:ind w:left="600" w:hanging="360"/>
        <w:spacing w:after="0" w:line="300" w:lineRule="auto"/>
        <w:tabs>
          <w:tab w:leader="none" w:pos="597"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Renewable Power. </w:t>
      </w:r>
      <w:r>
        <w:rPr>
          <w:rFonts w:ascii="Times New Roman" w:cs="Times New Roman" w:eastAsia="Times New Roman" w:hAnsi="Times New Roman"/>
          <w:sz w:val="13"/>
          <w:szCs w:val="13"/>
          <w:color w:val="auto"/>
        </w:rPr>
        <w:t>The Renewable Power segment generates Renewable Power and associated Environmental Attributes such as ISCC Carbon Credits and RECs through combustion of biogas from</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landfills which is then sold to public utilities throughout the United States.</w:t>
      </w:r>
    </w:p>
    <w:p>
      <w:pPr>
        <w:spacing w:after="0" w:line="6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Our costs of sales associated with each revenue category are as follows:</w:t>
      </w:r>
    </w:p>
    <w:p>
      <w:pPr>
        <w:spacing w:after="0" w:line="117" w:lineRule="exact"/>
        <w:rPr>
          <w:sz w:val="20"/>
          <w:szCs w:val="20"/>
          <w:color w:val="auto"/>
        </w:rPr>
      </w:pPr>
    </w:p>
    <w:p>
      <w:pPr>
        <w:ind w:left="600" w:hanging="360"/>
        <w:spacing w:after="0" w:line="300" w:lineRule="auto"/>
        <w:tabs>
          <w:tab w:leader="none" w:pos="597"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RNG Fuel. </w:t>
      </w:r>
      <w:r>
        <w:rPr>
          <w:rFonts w:ascii="Times New Roman" w:cs="Times New Roman" w:eastAsia="Times New Roman" w:hAnsi="Times New Roman"/>
          <w:sz w:val="13"/>
          <w:szCs w:val="13"/>
          <w:color w:val="auto"/>
        </w:rPr>
        <w:t>Includes royalty payments to biogas site owners for the biogas we use; service provider costs; salaries and other indirect expenses related to the production process, utilities, transportation,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storage, and insurance; and depreciation of production facilities.</w:t>
      </w:r>
    </w:p>
    <w:p>
      <w:pPr>
        <w:spacing w:after="0" w:line="46" w:lineRule="exact"/>
        <w:rPr>
          <w:rFonts w:ascii="Times New Roman" w:cs="Times New Roman" w:eastAsia="Times New Roman" w:hAnsi="Times New Roman"/>
          <w:sz w:val="13"/>
          <w:szCs w:val="13"/>
          <w:color w:val="auto"/>
        </w:rPr>
      </w:pPr>
    </w:p>
    <w:p>
      <w:pPr>
        <w:ind w:left="600" w:hanging="360"/>
        <w:spacing w:after="0"/>
        <w:tabs>
          <w:tab w:leader="none" w:pos="60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Fuel Station Services. </w:t>
      </w:r>
      <w:r>
        <w:rPr>
          <w:rFonts w:ascii="Times New Roman" w:cs="Times New Roman" w:eastAsia="Times New Roman" w:hAnsi="Times New Roman"/>
          <w:sz w:val="13"/>
          <w:szCs w:val="13"/>
          <w:color w:val="auto"/>
        </w:rPr>
        <w:t>Includes equipment supplier costs; service provider costs; and salaries and other indirect expenses.</w:t>
      </w:r>
    </w:p>
    <w:p>
      <w:pPr>
        <w:spacing w:after="0" w:line="120" w:lineRule="exact"/>
        <w:rPr>
          <w:rFonts w:ascii="Times New Roman" w:cs="Times New Roman" w:eastAsia="Times New Roman" w:hAnsi="Times New Roman"/>
          <w:sz w:val="13"/>
          <w:szCs w:val="13"/>
          <w:color w:val="auto"/>
        </w:rPr>
      </w:pPr>
    </w:p>
    <w:p>
      <w:pPr>
        <w:ind w:left="600" w:hanging="360"/>
        <w:spacing w:after="0" w:line="300" w:lineRule="auto"/>
        <w:tabs>
          <w:tab w:leader="none" w:pos="597"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Renewable Power. </w:t>
      </w:r>
      <w:r>
        <w:rPr>
          <w:rFonts w:ascii="Times New Roman" w:cs="Times New Roman" w:eastAsia="Times New Roman" w:hAnsi="Times New Roman"/>
          <w:sz w:val="13"/>
          <w:szCs w:val="13"/>
          <w:color w:val="auto"/>
        </w:rPr>
        <w:t>Includes royalty payments, land usage costs; service provider costs; salaries and other indirect expenses related to the production process; utilities; and depreciation of production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facilities.</w:t>
      </w:r>
    </w:p>
    <w:p>
      <w:pPr>
        <w:spacing w:after="0" w:line="61" w:lineRule="exact"/>
        <w:rPr>
          <w:sz w:val="20"/>
          <w:szCs w:val="20"/>
          <w:color w:val="auto"/>
        </w:rPr>
      </w:pPr>
    </w:p>
    <w:p>
      <w:pPr>
        <w:jc w:val="both"/>
        <w:ind w:firstLine="240"/>
        <w:spacing w:after="0" w:line="275" w:lineRule="auto"/>
        <w:rPr>
          <w:sz w:val="20"/>
          <w:szCs w:val="20"/>
          <w:color w:val="auto"/>
        </w:rPr>
      </w:pPr>
      <w:r>
        <w:rPr>
          <w:rFonts w:ascii="Times New Roman" w:cs="Times New Roman" w:eastAsia="Times New Roman" w:hAnsi="Times New Roman"/>
          <w:sz w:val="13"/>
          <w:szCs w:val="13"/>
          <w:color w:val="auto"/>
        </w:rPr>
        <w:t>Project development and start up costs includes certain development costs such as legal, consulting fees for joint venture structuring, royalties to the landfill owner, fines, settlements, site lease expenses and certification costs on our RNG projects under construction. Additionally, the Company also incurs certain expenses on new RNG projects that went operational for the first two years such as virtual pipeline costs (incurred until a physical interconnect pipeline is built) and ramp up costs incurred during the certification period.</w:t>
      </w:r>
    </w:p>
    <w:p>
      <w:pPr>
        <w:spacing w:after="0" w:line="6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Selling, general, and administrative expense consists of costs involving corporate overhead functions, including the cost of services provided to us by an affiliate, and marketing costs.</w:t>
      </w:r>
    </w:p>
    <w:p>
      <w:pPr>
        <w:spacing w:after="0" w:line="121" w:lineRule="exact"/>
        <w:rPr>
          <w:sz w:val="20"/>
          <w:szCs w:val="20"/>
          <w:color w:val="auto"/>
        </w:rPr>
      </w:pPr>
    </w:p>
    <w:p>
      <w:pPr>
        <w:jc w:val="both"/>
        <w:ind w:firstLine="240"/>
        <w:spacing w:after="0" w:line="294" w:lineRule="auto"/>
        <w:rPr>
          <w:sz w:val="20"/>
          <w:szCs w:val="20"/>
          <w:color w:val="auto"/>
        </w:rPr>
      </w:pPr>
      <w:r>
        <w:rPr>
          <w:rFonts w:ascii="Times New Roman" w:cs="Times New Roman" w:eastAsia="Times New Roman" w:hAnsi="Times New Roman"/>
          <w:sz w:val="13"/>
          <w:szCs w:val="13"/>
          <w:color w:val="auto"/>
        </w:rPr>
        <w:t>Depreciation and amortization primarily relate to depreciation associated with property, plant, and equipment and amortization of acquired intangibles arising from PPAs and interconnection contracts. We are in the process of expanding our RNG and Renewable Power production capacity and expect depreciation costs to increase as new projects are placed into service.</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Concentration of customers and associated credit risk</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The following table summarizes the percentage of consolidated accounts receivable, net by customers that equal or exceed 10% of the consolidated accounts receivable, net as of March 31, 2024 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December 31, 2023. No other single customer accounted for 10% or greater of our consolidated accounts receivables in these periods:</w:t>
      </w:r>
    </w:p>
    <w:p>
      <w:pPr>
        <w:spacing w:after="0" w:line="141" w:lineRule="exact"/>
        <w:rPr>
          <w:sz w:val="20"/>
          <w:szCs w:val="20"/>
          <w:color w:val="auto"/>
        </w:rPr>
      </w:pPr>
    </w:p>
    <w:tbl>
      <w:tblPr>
        <w:tblLayout w:type="fixed"/>
        <w:tblInd w:w="480" w:type="dxa"/>
        <w:tblCellMar>
          <w:top w:w="0" w:type="dxa"/>
          <w:left w:w="0" w:type="dxa"/>
          <w:bottom w:w="0" w:type="dxa"/>
          <w:right w:w="0" w:type="dxa"/>
        </w:tblCellMar>
      </w:tblPr>
      <w:tr>
        <w:trPr>
          <w:trHeight w:val="147"/>
        </w:trPr>
        <w:tc>
          <w:tcPr>
            <w:tcW w:w="5580" w:type="dxa"/>
            <w:vAlign w:val="bottom"/>
            <w:shd w:val="clear" w:color="auto" w:fill="CCEEFF"/>
          </w:tcPr>
          <w:p>
            <w:pPr>
              <w:spacing w:after="0"/>
              <w:rPr>
                <w:sz w:val="12"/>
                <w:szCs w:val="12"/>
                <w:color w:val="auto"/>
              </w:rPr>
            </w:pPr>
          </w:p>
        </w:tc>
        <w:tc>
          <w:tcPr>
            <w:tcW w:w="1660" w:type="dxa"/>
            <w:vAlign w:val="bottom"/>
            <w:shd w:val="clear" w:color="auto" w:fill="CCEEFF"/>
          </w:tcPr>
          <w:p>
            <w:pPr>
              <w:jc w:val="center"/>
              <w:ind w:left="520"/>
              <w:spacing w:after="0"/>
              <w:rPr>
                <w:sz w:val="20"/>
                <w:szCs w:val="20"/>
                <w:color w:val="auto"/>
              </w:rPr>
            </w:pPr>
            <w:r>
              <w:rPr>
                <w:rFonts w:ascii="Times New Roman" w:cs="Times New Roman" w:eastAsia="Times New Roman" w:hAnsi="Times New Roman"/>
                <w:sz w:val="12"/>
                <w:szCs w:val="12"/>
                <w:b w:val="1"/>
                <w:bCs w:val="1"/>
                <w:color w:val="auto"/>
              </w:rPr>
              <w:t>As of</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As of</w:t>
            </w:r>
          </w:p>
        </w:tc>
      </w:tr>
      <w:tr>
        <w:trPr>
          <w:trHeight w:val="150"/>
        </w:trPr>
        <w:tc>
          <w:tcPr>
            <w:tcW w:w="5580" w:type="dxa"/>
            <w:vAlign w:val="bottom"/>
            <w:shd w:val="clear" w:color="auto" w:fill="CCEEFF"/>
          </w:tcPr>
          <w:p>
            <w:pPr>
              <w:spacing w:after="0"/>
              <w:rPr>
                <w:sz w:val="13"/>
                <w:szCs w:val="13"/>
                <w:color w:val="auto"/>
              </w:rPr>
            </w:pPr>
          </w:p>
        </w:tc>
        <w:tc>
          <w:tcPr>
            <w:tcW w:w="1660" w:type="dxa"/>
            <w:vAlign w:val="bottom"/>
            <w:shd w:val="clear" w:color="auto" w:fill="CCEEFF"/>
          </w:tcPr>
          <w:p>
            <w:pPr>
              <w:jc w:val="center"/>
              <w:ind w:left="520"/>
              <w:spacing w:after="0"/>
              <w:rPr>
                <w:sz w:val="20"/>
                <w:szCs w:val="20"/>
                <w:color w:val="auto"/>
              </w:rPr>
            </w:pPr>
            <w:r>
              <w:rPr>
                <w:rFonts w:ascii="Times New Roman" w:cs="Times New Roman" w:eastAsia="Times New Roman" w:hAnsi="Times New Roman"/>
                <w:sz w:val="12"/>
                <w:szCs w:val="12"/>
                <w:b w:val="1"/>
                <w:bCs w:val="1"/>
                <w:color w:val="auto"/>
                <w:w w:val="98"/>
              </w:rPr>
              <w:t>March 31,</w:t>
            </w: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December 31,</w:t>
            </w:r>
          </w:p>
        </w:tc>
      </w:tr>
      <w:tr>
        <w:trPr>
          <w:trHeight w:val="173"/>
        </w:trPr>
        <w:tc>
          <w:tcPr>
            <w:tcW w:w="7240" w:type="dxa"/>
            <w:vAlign w:val="bottom"/>
            <w:gridSpan w:val="2"/>
            <w:shd w:val="clear" w:color="auto" w:fill="CCEEFF"/>
          </w:tcPr>
          <w:p>
            <w:pPr>
              <w:jc w:val="center"/>
              <w:ind w:left="6095"/>
              <w:spacing w:after="0"/>
              <w:rPr>
                <w:sz w:val="20"/>
                <w:szCs w:val="20"/>
                <w:color w:val="auto"/>
              </w:rPr>
            </w:pPr>
            <w:r>
              <w:rPr>
                <w:rFonts w:ascii="Times New Roman" w:cs="Times New Roman" w:eastAsia="Times New Roman" w:hAnsi="Times New Roman"/>
                <w:sz w:val="12"/>
                <w:szCs w:val="12"/>
                <w:b w:val="1"/>
                <w:bCs w:val="1"/>
                <w:color w:val="auto"/>
                <w:w w:val="99"/>
              </w:rPr>
              <w:t>2024</w:t>
            </w: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2023</w:t>
            </w:r>
          </w:p>
        </w:tc>
      </w:tr>
      <w:tr>
        <w:trPr>
          <w:trHeight w:val="160"/>
        </w:trPr>
        <w:tc>
          <w:tcPr>
            <w:tcW w:w="5580" w:type="dxa"/>
            <w:vAlign w:val="bottom"/>
          </w:tcPr>
          <w:p>
            <w:pPr>
              <w:ind w:left="20"/>
              <w:spacing w:after="0" w:line="160" w:lineRule="exact"/>
              <w:rPr>
                <w:sz w:val="20"/>
                <w:szCs w:val="20"/>
                <w:color w:val="auto"/>
              </w:rPr>
            </w:pPr>
            <w:r>
              <w:rPr>
                <w:rFonts w:ascii="Times New Roman" w:cs="Times New Roman" w:eastAsia="Times New Roman" w:hAnsi="Times New Roman"/>
                <w:sz w:val="13"/>
                <w:szCs w:val="13"/>
                <w:color w:val="auto"/>
              </w:rPr>
              <w:t xml:space="preserve">Customer A </w:t>
            </w:r>
            <w:r>
              <w:rPr>
                <w:rFonts w:ascii="Times New Roman" w:cs="Times New Roman" w:eastAsia="Times New Roman" w:hAnsi="Times New Roman"/>
                <w:sz w:val="17"/>
                <w:szCs w:val="17"/>
                <w:color w:val="auto"/>
                <w:vertAlign w:val="superscript"/>
              </w:rPr>
              <w:t>(1)</w:t>
            </w:r>
          </w:p>
        </w:tc>
        <w:tc>
          <w:tcPr>
            <w:tcW w:w="166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40 %</w:t>
            </w:r>
          </w:p>
        </w:tc>
        <w:tc>
          <w:tcPr>
            <w:tcW w:w="80" w:type="dxa"/>
            <w:vAlign w:val="bottom"/>
          </w:tcPr>
          <w:p>
            <w:pPr>
              <w:spacing w:after="0"/>
              <w:rPr>
                <w:sz w:val="13"/>
                <w:szCs w:val="13"/>
                <w:color w:val="auto"/>
              </w:rPr>
            </w:pPr>
          </w:p>
        </w:tc>
        <w:tc>
          <w:tcPr>
            <w:tcW w:w="2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40 %</w:t>
            </w:r>
          </w:p>
        </w:tc>
      </w:tr>
      <w:tr>
        <w:trPr>
          <w:trHeight w:val="170"/>
        </w:trPr>
        <w:tc>
          <w:tcPr>
            <w:tcW w:w="7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Customer B</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 %</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14 %</w:t>
            </w:r>
          </w:p>
        </w:tc>
      </w:tr>
      <w:tr>
        <w:trPr>
          <w:trHeight w:val="173"/>
        </w:trPr>
        <w:tc>
          <w:tcPr>
            <w:tcW w:w="72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Customer C</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18 %</w:t>
            </w:r>
          </w:p>
        </w:tc>
        <w:tc>
          <w:tcPr>
            <w:tcW w:w="80" w:type="dxa"/>
            <w:vAlign w:val="bottom"/>
          </w:tcPr>
          <w:p>
            <w:pPr>
              <w:spacing w:after="0"/>
              <w:rPr>
                <w:sz w:val="15"/>
                <w:szCs w:val="15"/>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r>
    </w:tbl>
    <w:p>
      <w:pPr>
        <w:spacing w:after="0" w:line="155" w:lineRule="exact"/>
        <w:rPr>
          <w:sz w:val="20"/>
          <w:szCs w:val="20"/>
          <w:color w:val="auto"/>
        </w:rPr>
      </w:pPr>
    </w:p>
    <w:p>
      <w:pPr>
        <w:ind w:left="600" w:hanging="120"/>
        <w:spacing w:after="0"/>
        <w:tabs>
          <w:tab w:leader="none" w:pos="600" w:val="left"/>
        </w:tabs>
        <w:numPr>
          <w:ilvl w:val="0"/>
          <w:numId w:val="32"/>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2"/>
          <w:szCs w:val="12"/>
          <w:color w:val="auto"/>
        </w:rPr>
        <w:t>Relates to sales of Environmental Attributes under Purchase and Sale agreement with NextEra.</w:t>
      </w:r>
    </w:p>
    <w:p>
      <w:pPr>
        <w:spacing w:after="0" w:line="98" w:lineRule="exact"/>
        <w:rPr>
          <w:sz w:val="20"/>
          <w:szCs w:val="20"/>
          <w:color w:val="auto"/>
        </w:rPr>
      </w:pPr>
    </w:p>
    <w:p>
      <w:pPr>
        <w:ind w:firstLine="480"/>
        <w:spacing w:after="0" w:line="294" w:lineRule="auto"/>
        <w:rPr>
          <w:sz w:val="20"/>
          <w:szCs w:val="20"/>
          <w:color w:val="auto"/>
        </w:rPr>
      </w:pPr>
      <w:r>
        <w:rPr>
          <w:rFonts w:ascii="Times New Roman" w:cs="Times New Roman" w:eastAsia="Times New Roman" w:hAnsi="Times New Roman"/>
          <w:sz w:val="13"/>
          <w:szCs w:val="13"/>
          <w:color w:val="auto"/>
        </w:rPr>
        <w:t>The following table summarizes the percentage of consolidated revenues from customers that equal 10% or greater of the consolidated revenues in the period. No other single customer accounted for more than 10% of consolidated revenues in these periods:</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161290</wp:posOffset>
            </wp:positionV>
            <wp:extent cx="7193280"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713" w:right="319" w:bottom="1440" w:gutter="0" w:footer="0" w:header="0"/>
        </w:sectPr>
      </w:pPr>
    </w:p>
    <w:bookmarkStart w:id="52" w:name="page53"/>
    <w:bookmarkEnd w:id="52"/>
    <w:p>
      <w:pPr>
        <w:ind w:left="7440"/>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-90170</wp:posOffset>
            </wp:positionV>
            <wp:extent cx="6436995" cy="1079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436995" cy="107950"/>
                    </a:xfrm>
                    <a:prstGeom prst="rect">
                      <a:avLst/>
                    </a:prstGeom>
                    <a:noFill/>
                  </pic:spPr>
                </pic:pic>
              </a:graphicData>
            </a:graphic>
          </wp:anchor>
        </w:drawing>
      </w:r>
    </w:p>
    <w:p>
      <w:pPr>
        <w:spacing w:after="0" w:line="7" w:lineRule="exact"/>
        <w:rPr>
          <w:sz w:val="20"/>
          <w:szCs w:val="20"/>
          <w:color w:val="auto"/>
        </w:rPr>
      </w:pPr>
    </w:p>
    <w:tbl>
      <w:tblPr>
        <w:tblLayout w:type="fixed"/>
        <w:tblInd w:w="480" w:type="dxa"/>
        <w:tblCellMar>
          <w:top w:w="0" w:type="dxa"/>
          <w:left w:w="0" w:type="dxa"/>
          <w:bottom w:w="0" w:type="dxa"/>
          <w:right w:w="0" w:type="dxa"/>
        </w:tblCellMar>
      </w:tblPr>
      <w:tr>
        <w:trPr>
          <w:trHeight w:val="160"/>
        </w:trPr>
        <w:tc>
          <w:tcPr>
            <w:tcW w:w="5600" w:type="dxa"/>
            <w:vAlign w:val="bottom"/>
            <w:tcBorders>
              <w:bottom w:val="single" w:sz="8" w:color="CCEEFF"/>
            </w:tcBorders>
          </w:tcPr>
          <w:p>
            <w:pPr>
              <w:spacing w:after="0"/>
              <w:rPr>
                <w:sz w:val="13"/>
                <w:szCs w:val="13"/>
                <w:color w:val="auto"/>
              </w:rPr>
            </w:pPr>
          </w:p>
        </w:tc>
        <w:tc>
          <w:tcPr>
            <w:tcW w:w="1580" w:type="dxa"/>
            <w:vAlign w:val="bottom"/>
            <w:tcBorders>
              <w:top w:val="single" w:sz="8" w:color="auto"/>
              <w:bottom w:val="single" w:sz="8" w:color="auto"/>
            </w:tcBorders>
          </w:tcPr>
          <w:p>
            <w:pPr>
              <w:jc w:val="right"/>
              <w:ind w:right="273"/>
              <w:spacing w:after="0"/>
              <w:rPr>
                <w:sz w:val="20"/>
                <w:szCs w:val="20"/>
                <w:color w:val="auto"/>
              </w:rPr>
            </w:pPr>
            <w:r>
              <w:rPr>
                <w:rFonts w:ascii="Times New Roman" w:cs="Times New Roman" w:eastAsia="Times New Roman" w:hAnsi="Times New Roman"/>
                <w:sz w:val="13"/>
                <w:szCs w:val="13"/>
                <w:b w:val="1"/>
                <w:bCs w:val="1"/>
                <w:color w:val="auto"/>
              </w:rPr>
              <w:t>2024</w:t>
            </w:r>
          </w:p>
        </w:tc>
        <w:tc>
          <w:tcPr>
            <w:tcW w:w="64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CCEEFF"/>
            </w:tcBorders>
          </w:tcPr>
          <w:p>
            <w:pPr>
              <w:spacing w:after="0"/>
              <w:rPr>
                <w:sz w:val="13"/>
                <w:szCs w:val="13"/>
                <w:color w:val="auto"/>
              </w:rPr>
            </w:pPr>
          </w:p>
        </w:tc>
        <w:tc>
          <w:tcPr>
            <w:tcW w:w="2240" w:type="dxa"/>
            <w:vAlign w:val="bottom"/>
            <w:tcBorders>
              <w:top w:val="single" w:sz="8" w:color="auto"/>
              <w:bottom w:val="single" w:sz="8" w:color="auto"/>
            </w:tcBorders>
          </w:tcPr>
          <w:p>
            <w:pPr>
              <w:jc w:val="right"/>
              <w:ind w:right="913"/>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6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Customer A</w:t>
            </w:r>
          </w:p>
        </w:tc>
        <w:tc>
          <w:tcPr>
            <w:tcW w:w="15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40 %</w:t>
            </w:r>
          </w:p>
        </w:tc>
        <w:tc>
          <w:tcPr>
            <w:tcW w:w="80" w:type="dxa"/>
            <w:vAlign w:val="bottom"/>
            <w:shd w:val="clear" w:color="auto" w:fill="CCEEFF"/>
          </w:tcPr>
          <w:p>
            <w:pPr>
              <w:spacing w:after="0"/>
              <w:rPr>
                <w:sz w:val="13"/>
                <w:szCs w:val="13"/>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18 %</w:t>
            </w:r>
          </w:p>
        </w:tc>
      </w:tr>
      <w:tr>
        <w:trPr>
          <w:trHeight w:val="170"/>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Customer B</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15 %</w:t>
            </w:r>
          </w:p>
        </w:tc>
        <w:tc>
          <w:tcPr>
            <w:tcW w:w="80" w:type="dxa"/>
            <w:vAlign w:val="bottom"/>
          </w:tcPr>
          <w:p>
            <w:pPr>
              <w:spacing w:after="0"/>
              <w:rPr>
                <w:sz w:val="14"/>
                <w:szCs w:val="14"/>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14 %</w:t>
            </w:r>
          </w:p>
        </w:tc>
      </w:tr>
      <w:tr>
        <w:trPr>
          <w:trHeight w:val="170"/>
        </w:trPr>
        <w:tc>
          <w:tcPr>
            <w:tcW w:w="7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Customer C</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 %</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12 %</w:t>
            </w:r>
          </w:p>
        </w:tc>
      </w:tr>
    </w:tbl>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Results of Operations for the three months ended March 31, 2024 and 2023:</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Operational data</w:t>
      </w:r>
    </w:p>
    <w:p>
      <w:pPr>
        <w:spacing w:after="0" w:line="12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 following table summarizes the operational data achieved for the three months ended March 31, 2024 and 2023: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Landfill RNG Facility Capacity and Utilization Summary</w:t>
      </w:r>
    </w:p>
    <w:p>
      <w:pPr>
        <w:spacing w:after="0" w:line="211"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-90170</wp:posOffset>
            </wp:positionV>
            <wp:extent cx="5229860" cy="1079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229860" cy="10795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5540" w:type="dxa"/>
            <w:vAlign w:val="bottom"/>
            <w:tcBorders>
              <w:bottom w:val="single" w:sz="8" w:color="CCEEFF"/>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rPr>
              <w:t>2024</w:t>
            </w:r>
          </w:p>
        </w:tc>
        <w:tc>
          <w:tcPr>
            <w:tcW w:w="4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CCEEFF"/>
            </w:tcBorders>
          </w:tcPr>
          <w:p>
            <w:pPr>
              <w:spacing w:after="0"/>
              <w:rPr>
                <w:sz w:val="13"/>
                <w:szCs w:val="13"/>
                <w:color w:val="auto"/>
              </w:rPr>
            </w:pPr>
          </w:p>
        </w:tc>
        <w:tc>
          <w:tcPr>
            <w:tcW w:w="1300" w:type="dxa"/>
            <w:vAlign w:val="bottom"/>
            <w:tcBorders>
              <w:top w:val="single" w:sz="8" w:color="auto"/>
              <w:bottom w:val="single" w:sz="8" w:color="auto"/>
            </w:tcBorders>
          </w:tcPr>
          <w:p>
            <w:pPr>
              <w:jc w:val="right"/>
              <w:ind w:right="453"/>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50"/>
        </w:trPr>
        <w:tc>
          <w:tcPr>
            <w:tcW w:w="5540" w:type="dxa"/>
            <w:vAlign w:val="bottom"/>
            <w:shd w:val="clear" w:color="auto" w:fill="CCEEFF"/>
          </w:tcPr>
          <w:p>
            <w:pPr>
              <w:ind w:left="20"/>
              <w:spacing w:after="0" w:line="150" w:lineRule="exact"/>
              <w:rPr>
                <w:sz w:val="20"/>
                <w:szCs w:val="20"/>
                <w:color w:val="auto"/>
              </w:rPr>
            </w:pPr>
            <w:r>
              <w:rPr>
                <w:rFonts w:ascii="Times New Roman" w:cs="Times New Roman" w:eastAsia="Times New Roman" w:hAnsi="Times New Roman"/>
                <w:sz w:val="13"/>
                <w:szCs w:val="13"/>
                <w:b w:val="1"/>
                <w:bCs w:val="1"/>
                <w:color w:val="auto"/>
              </w:rPr>
              <w:t>Landfill RNG Facility Capacity and Utilization</w:t>
            </w:r>
            <w:r>
              <w:rPr>
                <w:rFonts w:ascii="Times New Roman" w:cs="Times New Roman" w:eastAsia="Times New Roman" w:hAnsi="Times New Roman"/>
                <w:sz w:val="17"/>
                <w:szCs w:val="17"/>
                <w:b w:val="1"/>
                <w:bCs w:val="1"/>
                <w:color w:val="auto"/>
                <w:vertAlign w:val="superscript"/>
              </w:rPr>
              <w:t>(1)(2)(3)(4)</w:t>
            </w:r>
          </w:p>
        </w:tc>
        <w:tc>
          <w:tcPr>
            <w:tcW w:w="8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r>
      <w:tr>
        <w:trPr>
          <w:trHeight w:val="170"/>
        </w:trPr>
        <w:tc>
          <w:tcPr>
            <w:tcW w:w="64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Design Capacity (Million MMBtus)</w:t>
            </w:r>
          </w:p>
        </w:tc>
        <w:tc>
          <w:tcPr>
            <w:tcW w:w="42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tcPr>
          <w:p>
            <w:pPr>
              <w:spacing w:after="0"/>
              <w:rPr>
                <w:sz w:val="14"/>
                <w:szCs w:val="14"/>
                <w:color w:val="auto"/>
              </w:rPr>
            </w:pPr>
          </w:p>
        </w:tc>
        <w:tc>
          <w:tcPr>
            <w:tcW w:w="130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0.9</w:t>
            </w:r>
          </w:p>
        </w:tc>
      </w:tr>
      <w:tr>
        <w:trPr>
          <w:trHeight w:val="170"/>
        </w:trPr>
        <w:tc>
          <w:tcPr>
            <w:tcW w:w="6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Volume of Inlet Gas (Million MMBtus)</w:t>
            </w:r>
          </w:p>
        </w:tc>
        <w:tc>
          <w:tcPr>
            <w:tcW w:w="4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0.7</w:t>
            </w:r>
          </w:p>
        </w:tc>
      </w:tr>
      <w:tr>
        <w:trPr>
          <w:trHeight w:val="170"/>
        </w:trPr>
        <w:tc>
          <w:tcPr>
            <w:tcW w:w="64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Inlet Design Capacity Utilization %</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80 %</w:t>
            </w:r>
          </w:p>
        </w:tc>
        <w:tc>
          <w:tcPr>
            <w:tcW w:w="1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75 %</w:t>
            </w:r>
          </w:p>
        </w:tc>
      </w:tr>
      <w:tr>
        <w:trPr>
          <w:trHeight w:val="170"/>
        </w:trPr>
        <w:tc>
          <w:tcPr>
            <w:tcW w:w="6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RNG Fuel volume produced (Million MMBtus)</w:t>
            </w:r>
          </w:p>
        </w:tc>
        <w:tc>
          <w:tcPr>
            <w:tcW w:w="4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0.8</w:t>
            </w: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0.6</w:t>
            </w:r>
          </w:p>
        </w:tc>
      </w:tr>
      <w:tr>
        <w:trPr>
          <w:trHeight w:val="229"/>
        </w:trPr>
        <w:tc>
          <w:tcPr>
            <w:tcW w:w="64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 xml:space="preserve">Utilization of Inlet Gas % </w:t>
            </w:r>
            <w:r>
              <w:rPr>
                <w:rFonts w:ascii="Times New Roman" w:cs="Times New Roman" w:eastAsia="Times New Roman" w:hAnsi="Times New Roman"/>
                <w:sz w:val="17"/>
                <w:szCs w:val="17"/>
                <w:color w:val="auto"/>
                <w:vertAlign w:val="superscript"/>
              </w:rPr>
              <w:t>(5)</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86 %</w:t>
            </w:r>
          </w:p>
        </w:tc>
      </w:tr>
    </w:tbl>
    <w:p>
      <w:pPr>
        <w:spacing w:after="0" w:line="182" w:lineRule="exact"/>
        <w:rPr>
          <w:sz w:val="20"/>
          <w:szCs w:val="20"/>
          <w:color w:val="auto"/>
        </w:rPr>
      </w:pPr>
    </w:p>
    <w:p>
      <w:pPr>
        <w:jc w:val="both"/>
        <w:spacing w:after="0" w:line="227" w:lineRule="auto"/>
        <w:tabs>
          <w:tab w:leader="none" w:pos="125" w:val="left"/>
        </w:tabs>
        <w:numPr>
          <w:ilvl w:val="0"/>
          <w:numId w:val="3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Design Capacity for RNG facilities is measured as the volume of feedstock biogas that the facility is capable of accepting at the inlet and processing during the associated period. Design Capacity is presented as OPAL’s ownership share (i.e., net of joint venture partners’ ownership) of the facility and is calculated based on the number of days in the period. New facilities that come online during a quarter are pro-rated for the number of days in commercial operation.</w:t>
      </w:r>
    </w:p>
    <w:p>
      <w:pPr>
        <w:spacing w:after="0" w:line="175" w:lineRule="exact"/>
        <w:rPr>
          <w:rFonts w:ascii="Times New Roman" w:cs="Times New Roman" w:eastAsia="Times New Roman" w:hAnsi="Times New Roman"/>
          <w:sz w:val="16"/>
          <w:szCs w:val="16"/>
          <w:color w:val="auto"/>
          <w:vertAlign w:val="superscript"/>
        </w:rPr>
      </w:pPr>
    </w:p>
    <w:p>
      <w:pPr>
        <w:jc w:val="both"/>
        <w:spacing w:after="0" w:line="263" w:lineRule="auto"/>
        <w:tabs>
          <w:tab w:leader="none" w:pos="120" w:val="left"/>
        </w:tabs>
        <w:numPr>
          <w:ilvl w:val="0"/>
          <w:numId w:val="33"/>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Inlet Design Capacity Utilization is measured as the Volume of Inlet Gas for a period, divided by the total Design Capacity for such period. The Volume of Inlet Gas varies over time depending on, among other factors, (i) the quantity and quality of waste deposited at the landfill, (ii) waste management practices by the landfill, and (iii) the construction, operations and maintenance of the landfill gas collection system used to recover the landfill gas. The Design Capacity for each facility will typically be correlated to the amount of landfill gas expected to be generated by the landfill during the term of the related gas rights agreement. The Company expects Inlet Design Capacity Utilization to be in the range of 75-85% on an aggregate basis over the next several years. Typically, newer facilities perform at the lower end of this range and demonstrate increasing utilization as they mature and the biogas resource increases at open landfills.</w:t>
      </w:r>
    </w:p>
    <w:p>
      <w:pPr>
        <w:spacing w:after="0" w:line="308" w:lineRule="exact"/>
        <w:rPr>
          <w:rFonts w:ascii="Times New Roman" w:cs="Times New Roman" w:eastAsia="Times New Roman" w:hAnsi="Times New Roman"/>
          <w:sz w:val="14"/>
          <w:szCs w:val="14"/>
          <w:color w:val="auto"/>
          <w:vertAlign w:val="superscript"/>
        </w:rPr>
      </w:pPr>
    </w:p>
    <w:p>
      <w:pPr>
        <w:spacing w:after="0" w:line="254" w:lineRule="auto"/>
        <w:tabs>
          <w:tab w:leader="none" w:pos="112" w:val="left"/>
        </w:tabs>
        <w:numPr>
          <w:ilvl w:val="0"/>
          <w:numId w:val="33"/>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Utilization of Inlet Gas is measured as RNG Fuel Volume Produced divided by the Volume of Inlet Gas. Utilization of Inlet Gas varies over time depending on availability and efficiency of the facility and the quality of landfill gas (i.e., concentrations of methane, oxygen, nitrogen, and other gases). The Company generally expects Utilization of Inlet Gas to be in the range of 80% to 90%.</w:t>
      </w:r>
    </w:p>
    <w:p>
      <w:pPr>
        <w:spacing w:after="0" w:line="150" w:lineRule="exact"/>
        <w:rPr>
          <w:rFonts w:ascii="Times New Roman" w:cs="Times New Roman" w:eastAsia="Times New Roman" w:hAnsi="Times New Roman"/>
          <w:sz w:val="14"/>
          <w:szCs w:val="14"/>
          <w:color w:val="auto"/>
          <w:vertAlign w:val="superscript"/>
        </w:rPr>
      </w:pPr>
    </w:p>
    <w:p>
      <w:pPr>
        <w:ind w:left="120" w:hanging="120"/>
        <w:spacing w:after="0"/>
        <w:tabs>
          <w:tab w:leader="none" w:pos="120" w:val="left"/>
        </w:tabs>
        <w:numPr>
          <w:ilvl w:val="0"/>
          <w:numId w:val="33"/>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Data not available for the Company's dairy projects, i.e., Sunoma and Biotown.</w:t>
      </w:r>
    </w:p>
    <w:p>
      <w:pPr>
        <w:spacing w:after="0" w:line="171" w:lineRule="exact"/>
        <w:rPr>
          <w:rFonts w:ascii="Times New Roman" w:cs="Times New Roman" w:eastAsia="Times New Roman" w:hAnsi="Times New Roman"/>
          <w:sz w:val="14"/>
          <w:szCs w:val="14"/>
          <w:color w:val="auto"/>
          <w:vertAlign w:val="superscript"/>
        </w:rPr>
      </w:pPr>
    </w:p>
    <w:p>
      <w:pPr>
        <w:ind w:left="120" w:hanging="120"/>
        <w:spacing w:after="0"/>
        <w:tabs>
          <w:tab w:leader="none" w:pos="120" w:val="left"/>
        </w:tabs>
        <w:numPr>
          <w:ilvl w:val="0"/>
          <w:numId w:val="33"/>
        </w:numPr>
        <w:rPr>
          <w:rFonts w:ascii="Times New Roman" w:cs="Times New Roman" w:eastAsia="Times New Roman" w:hAnsi="Times New Roman"/>
          <w:sz w:val="8"/>
          <w:szCs w:val="8"/>
          <w:color w:val="auto"/>
        </w:rPr>
      </w:pPr>
      <w:r>
        <w:rPr>
          <w:rFonts w:ascii="Times New Roman" w:cs="Times New Roman" w:eastAsia="Times New Roman" w:hAnsi="Times New Roman"/>
          <w:sz w:val="12"/>
          <w:szCs w:val="12"/>
          <w:color w:val="auto"/>
        </w:rPr>
        <w:t xml:space="preserve">Utilization of Inlet Gas % is lower for the three months ended </w:t>
      </w:r>
      <w:r>
        <w:rPr>
          <w:rFonts w:ascii="Times New Roman" w:cs="Times New Roman" w:eastAsia="Times New Roman" w:hAnsi="Times New Roman"/>
          <w:sz w:val="13"/>
          <w:szCs w:val="13"/>
          <w:color w:val="auto"/>
        </w:rPr>
        <w:t>March 31, 2024 primarily due to Emerald RNG project which is in the start up phase as it commenced operations in fourth quarter of 2023.</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161290</wp:posOffset>
            </wp:positionV>
            <wp:extent cx="7193280"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863" w:right="319" w:bottom="1440" w:gutter="0" w:footer="0" w:header="0"/>
        </w:sectPr>
      </w:pPr>
    </w:p>
    <w:bookmarkStart w:id="53" w:name="page54"/>
    <w:bookmarkEnd w:id="53"/>
    <w:p>
      <w:pPr>
        <w:ind w:left="8820"/>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-90170</wp:posOffset>
            </wp:positionV>
            <wp:extent cx="7021830" cy="1079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021830" cy="10795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8420" w:type="dxa"/>
            <w:vAlign w:val="bottom"/>
            <w:tcBorders>
              <w:bottom w:val="single" w:sz="8" w:color="CCEEFF"/>
            </w:tcBorders>
          </w:tcPr>
          <w:p>
            <w:pPr>
              <w:spacing w:after="0"/>
              <w:rPr>
                <w:sz w:val="13"/>
                <w:szCs w:val="13"/>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48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CCEEFF"/>
            </w:tcBorders>
          </w:tcPr>
          <w:p>
            <w:pPr>
              <w:spacing w:after="0"/>
              <w:rPr>
                <w:sz w:val="13"/>
                <w:szCs w:val="13"/>
                <w:color w:val="auto"/>
              </w:rPr>
            </w:pPr>
          </w:p>
        </w:tc>
        <w:tc>
          <w:tcPr>
            <w:tcW w:w="126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50"/>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Renewable Power</w:t>
            </w:r>
          </w:p>
        </w:tc>
        <w:tc>
          <w:tcPr>
            <w:tcW w:w="8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r>
      <w:tr>
        <w:trPr>
          <w:trHeight w:val="170"/>
        </w:trPr>
        <w:tc>
          <w:tcPr>
            <w:tcW w:w="9240" w:type="dxa"/>
            <w:vAlign w:val="bottom"/>
            <w:gridSpan w:val="2"/>
          </w:tcPr>
          <w:p>
            <w:pPr>
              <w:ind w:left="20"/>
              <w:spacing w:after="0" w:line="170" w:lineRule="exact"/>
              <w:rPr>
                <w:sz w:val="20"/>
                <w:szCs w:val="20"/>
                <w:color w:val="auto"/>
              </w:rPr>
            </w:pPr>
            <w:r>
              <w:rPr>
                <w:rFonts w:ascii="Times New Roman" w:cs="Times New Roman" w:eastAsia="Times New Roman" w:hAnsi="Times New Roman"/>
                <w:sz w:val="13"/>
                <w:szCs w:val="13"/>
                <w:color w:val="auto"/>
              </w:rPr>
              <w:t>Nameplate Capacity (MW per hour)</w:t>
            </w:r>
            <w:r>
              <w:rPr>
                <w:rFonts w:ascii="Times New Roman" w:cs="Times New Roman" w:eastAsia="Times New Roman" w:hAnsi="Times New Roman"/>
                <w:sz w:val="17"/>
                <w:szCs w:val="17"/>
                <w:color w:val="auto"/>
                <w:vertAlign w:val="superscript"/>
              </w:rPr>
              <w:t>(1)</w:t>
            </w:r>
          </w:p>
        </w:tc>
        <w:tc>
          <w:tcPr>
            <w:tcW w:w="48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105.8</w:t>
            </w:r>
          </w:p>
        </w:tc>
        <w:tc>
          <w:tcPr>
            <w:tcW w:w="80" w:type="dxa"/>
            <w:vAlign w:val="bottom"/>
          </w:tcPr>
          <w:p>
            <w:pPr>
              <w:spacing w:after="0"/>
              <w:rPr>
                <w:sz w:val="14"/>
                <w:szCs w:val="14"/>
                <w:color w:val="auto"/>
              </w:rPr>
            </w:pPr>
          </w:p>
        </w:tc>
        <w:tc>
          <w:tcPr>
            <w:tcW w:w="126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112.5</w:t>
            </w:r>
          </w:p>
        </w:tc>
      </w:tr>
      <w:tr>
        <w:trPr>
          <w:trHeight w:val="170"/>
        </w:trPr>
        <w:tc>
          <w:tcPr>
            <w:tcW w:w="9240" w:type="dxa"/>
            <w:vAlign w:val="bottom"/>
            <w:gridSpan w:val="2"/>
            <w:shd w:val="clear" w:color="auto" w:fill="CCEEFF"/>
          </w:tcPr>
          <w:p>
            <w:pPr>
              <w:ind w:left="20"/>
              <w:spacing w:after="0" w:line="170" w:lineRule="exact"/>
              <w:rPr>
                <w:sz w:val="20"/>
                <w:szCs w:val="20"/>
                <w:color w:val="auto"/>
              </w:rPr>
            </w:pPr>
            <w:r>
              <w:rPr>
                <w:rFonts w:ascii="Times New Roman" w:cs="Times New Roman" w:eastAsia="Times New Roman" w:hAnsi="Times New Roman"/>
                <w:sz w:val="13"/>
                <w:szCs w:val="13"/>
                <w:color w:val="auto"/>
              </w:rPr>
              <w:t xml:space="preserve">Nameplate Capacity for the period (Millions MWh) </w:t>
            </w:r>
            <w:r>
              <w:rPr>
                <w:rFonts w:ascii="Times New Roman" w:cs="Times New Roman" w:eastAsia="Times New Roman" w:hAnsi="Times New Roman"/>
                <w:sz w:val="17"/>
                <w:szCs w:val="17"/>
                <w:color w:val="auto"/>
                <w:vertAlign w:val="superscript"/>
              </w:rPr>
              <w:t>(1)</w:t>
            </w:r>
          </w:p>
        </w:tc>
        <w:tc>
          <w:tcPr>
            <w:tcW w:w="4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0.23</w:t>
            </w: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0.24</w:t>
            </w:r>
          </w:p>
        </w:tc>
      </w:tr>
      <w:tr>
        <w:trPr>
          <w:trHeight w:val="170"/>
        </w:trPr>
        <w:tc>
          <w:tcPr>
            <w:tcW w:w="92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Renewable Power produced ( Millions MWh)</w:t>
            </w:r>
          </w:p>
        </w:tc>
        <w:tc>
          <w:tcPr>
            <w:tcW w:w="48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0.08</w:t>
            </w:r>
          </w:p>
        </w:tc>
        <w:tc>
          <w:tcPr>
            <w:tcW w:w="80" w:type="dxa"/>
            <w:vAlign w:val="bottom"/>
          </w:tcPr>
          <w:p>
            <w:pPr>
              <w:spacing w:after="0"/>
              <w:rPr>
                <w:sz w:val="14"/>
                <w:szCs w:val="14"/>
                <w:color w:val="auto"/>
              </w:rPr>
            </w:pPr>
          </w:p>
        </w:tc>
        <w:tc>
          <w:tcPr>
            <w:tcW w:w="126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0.12</w:t>
            </w:r>
          </w:p>
        </w:tc>
      </w:tr>
      <w:tr>
        <w:trPr>
          <w:trHeight w:val="170"/>
        </w:trPr>
        <w:tc>
          <w:tcPr>
            <w:tcW w:w="9240" w:type="dxa"/>
            <w:vAlign w:val="bottom"/>
            <w:gridSpan w:val="2"/>
            <w:shd w:val="clear" w:color="auto" w:fill="CCEEFF"/>
          </w:tcPr>
          <w:p>
            <w:pPr>
              <w:ind w:left="20"/>
              <w:spacing w:after="0" w:line="170" w:lineRule="exact"/>
              <w:rPr>
                <w:sz w:val="20"/>
                <w:szCs w:val="20"/>
                <w:color w:val="auto"/>
              </w:rPr>
            </w:pPr>
            <w:r>
              <w:rPr>
                <w:rFonts w:ascii="Times New Roman" w:cs="Times New Roman" w:eastAsia="Times New Roman" w:hAnsi="Times New Roman"/>
                <w:sz w:val="13"/>
                <w:szCs w:val="13"/>
                <w:color w:val="auto"/>
              </w:rPr>
              <w:t xml:space="preserve">Design Capacity Utilization (%) </w:t>
            </w:r>
            <w:r>
              <w:rPr>
                <w:rFonts w:ascii="Times New Roman" w:cs="Times New Roman" w:eastAsia="Times New Roman" w:hAnsi="Times New Roman"/>
                <w:sz w:val="17"/>
                <w:szCs w:val="17"/>
                <w:color w:val="auto"/>
                <w:vertAlign w:val="superscript"/>
              </w:rPr>
              <w:t>(2)</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37 %</w:t>
            </w: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50 %</w:t>
            </w:r>
          </w:p>
        </w:tc>
      </w:tr>
    </w:tbl>
    <w:p>
      <w:pPr>
        <w:spacing w:after="0" w:line="161" w:lineRule="exact"/>
        <w:rPr>
          <w:sz w:val="20"/>
          <w:szCs w:val="20"/>
          <w:color w:val="auto"/>
        </w:rPr>
      </w:pPr>
    </w:p>
    <w:p>
      <w:pPr>
        <w:spacing w:after="0" w:line="273" w:lineRule="auto"/>
        <w:tabs>
          <w:tab w:leader="none" w:pos="122" w:val="left"/>
        </w:tabs>
        <w:numPr>
          <w:ilvl w:val="0"/>
          <w:numId w:val="34"/>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Nameplate Capacity for Renewable Power facilities is the manufacturer’s expected capacity at ISO conditions for each facility and may not reflect actual production from the projects, which depends on many variables including, but not limited to, (i) quantity and quality of the biogas, (ii) operational up-time of the facility, including dispatch and maintenance downtime and (iii) actual efficiency of the facility.</w:t>
      </w:r>
    </w:p>
    <w:p>
      <w:pPr>
        <w:spacing w:after="0" w:line="143" w:lineRule="exact"/>
        <w:rPr>
          <w:rFonts w:ascii="Times New Roman" w:cs="Times New Roman" w:eastAsia="Times New Roman" w:hAnsi="Times New Roman"/>
          <w:sz w:val="14"/>
          <w:szCs w:val="14"/>
          <w:color w:val="auto"/>
          <w:vertAlign w:val="superscript"/>
        </w:rPr>
      </w:pPr>
    </w:p>
    <w:p>
      <w:pPr>
        <w:jc w:val="both"/>
        <w:spacing w:after="0" w:line="266" w:lineRule="auto"/>
        <w:tabs>
          <w:tab w:leader="none" w:pos="123" w:val="left"/>
        </w:tabs>
        <w:numPr>
          <w:ilvl w:val="0"/>
          <w:numId w:val="34"/>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Nameplate Capacity Utilization for Renewable Power facilities is measured as Renewable Power Produced divided by Design Capacity for the period. Given (i) built-in un-utilized capacity from historical designs, (ii) availability (a function of higher maintenance requirements compared to RNG facilities) and (iii) commencement of operations of the Emerald RNG facility, which will result in low levels of dispatch for the Arbor Hills facility (which will operate on a standby basis but remain in the operating portfolio), the Company’s Design Capacity Utilization is expected to remain below 50%.</w:t>
      </w:r>
    </w:p>
    <w:p>
      <w:pPr>
        <w:spacing w:after="0" w:line="104" w:lineRule="exact"/>
        <w:rPr>
          <w:sz w:val="20"/>
          <w:szCs w:val="20"/>
          <w:color w:val="auto"/>
        </w:rPr>
      </w:pPr>
    </w:p>
    <w:p>
      <w:pPr>
        <w:ind w:left="8680"/>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152400</wp:posOffset>
            </wp:positionH>
            <wp:positionV relativeFrom="paragraph">
              <wp:posOffset>-90170</wp:posOffset>
            </wp:positionV>
            <wp:extent cx="6901180" cy="1079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01180" cy="107950"/>
                    </a:xfrm>
                    <a:prstGeom prst="rect">
                      <a:avLst/>
                    </a:prstGeom>
                    <a:noFill/>
                  </pic:spPr>
                </pic:pic>
              </a:graphicData>
            </a:graphic>
          </wp:anchor>
        </w:drawing>
      </w:r>
    </w:p>
    <w:p>
      <w:pPr>
        <w:spacing w:after="0" w:line="7" w:lineRule="exact"/>
        <w:rPr>
          <w:sz w:val="20"/>
          <w:szCs w:val="20"/>
          <w:color w:val="auto"/>
        </w:rPr>
      </w:pPr>
    </w:p>
    <w:tbl>
      <w:tblPr>
        <w:tblLayout w:type="fixed"/>
        <w:tblInd w:w="240" w:type="dxa"/>
        <w:tblCellMar>
          <w:top w:w="0" w:type="dxa"/>
          <w:left w:w="0" w:type="dxa"/>
          <w:bottom w:w="0" w:type="dxa"/>
          <w:right w:w="0" w:type="dxa"/>
        </w:tblCellMar>
      </w:tblPr>
      <w:tr>
        <w:trPr>
          <w:trHeight w:val="160"/>
        </w:trPr>
        <w:tc>
          <w:tcPr>
            <w:tcW w:w="7860" w:type="dxa"/>
            <w:vAlign w:val="bottom"/>
            <w:tcBorders>
              <w:bottom w:val="single" w:sz="8" w:color="CCEEFF"/>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rPr>
              <w:t>2024</w:t>
            </w:r>
          </w:p>
        </w:tc>
        <w:tc>
          <w:tcPr>
            <w:tcW w:w="42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CCEEFF"/>
            </w:tcBorders>
          </w:tcPr>
          <w:p>
            <w:pPr>
              <w:spacing w:after="0"/>
              <w:rPr>
                <w:sz w:val="13"/>
                <w:szCs w:val="13"/>
                <w:color w:val="auto"/>
              </w:rPr>
            </w:pPr>
          </w:p>
        </w:tc>
        <w:tc>
          <w:tcPr>
            <w:tcW w:w="1520" w:type="dxa"/>
            <w:vAlign w:val="bottom"/>
            <w:tcBorders>
              <w:top w:val="single" w:sz="8" w:color="auto"/>
              <w:bottom w:val="single" w:sz="8" w:color="auto"/>
            </w:tcBorders>
          </w:tcPr>
          <w:p>
            <w:pPr>
              <w:jc w:val="right"/>
              <w:ind w:right="553"/>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80"/>
        </w:trPr>
        <w:tc>
          <w:tcPr>
            <w:tcW w:w="78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r>
      <w:tr>
        <w:trPr>
          <w:trHeight w:val="170"/>
        </w:trPr>
        <w:tc>
          <w:tcPr>
            <w:tcW w:w="88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RNG Fuel volume produced (Million MMBtus)</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0.8</w:t>
            </w:r>
          </w:p>
        </w:tc>
        <w:tc>
          <w:tcPr>
            <w:tcW w:w="8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0.6</w:t>
            </w:r>
          </w:p>
        </w:tc>
      </w:tr>
      <w:tr>
        <w:trPr>
          <w:trHeight w:val="170"/>
        </w:trPr>
        <w:tc>
          <w:tcPr>
            <w:tcW w:w="8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RNG Fuel volume sold (Million GGEs)</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w:t>
            </w:r>
          </w:p>
        </w:tc>
        <w:tc>
          <w:tcPr>
            <w:tcW w:w="8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w:t>
            </w:r>
          </w:p>
        </w:tc>
      </w:tr>
      <w:tr>
        <w:trPr>
          <w:trHeight w:val="173"/>
        </w:trPr>
        <w:tc>
          <w:tcPr>
            <w:tcW w:w="88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Total volume delivered (Million GGEs)</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35.0</w:t>
            </w:r>
          </w:p>
        </w:tc>
        <w:tc>
          <w:tcPr>
            <w:tcW w:w="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32.4</w:t>
            </w: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RNG projects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Below is a table setting forth the RNG projects in operation and construction in our portfolio:</w:t>
      </w: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167640</wp:posOffset>
            </wp:positionV>
            <wp:extent cx="7193280"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753" w:right="31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149"/>
        </w:trPr>
        <w:tc>
          <w:tcPr>
            <w:tcW w:w="4520" w:type="dxa"/>
            <w:vAlign w:val="bottom"/>
            <w:shd w:val="clear" w:color="auto" w:fill="CCEEFF"/>
          </w:tcPr>
          <w:p>
            <w:pPr>
              <w:spacing w:after="0"/>
              <w:rPr>
                <w:sz w:val="12"/>
                <w:szCs w:val="12"/>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rPr>
              <w:t>OPAL's Share of</w:t>
            </w:r>
          </w:p>
        </w:tc>
        <w:tc>
          <w:tcPr>
            <w:tcW w:w="11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4520" w:type="dxa"/>
            <w:vAlign w:val="bottom"/>
            <w:shd w:val="clear" w:color="auto" w:fill="CCEEFF"/>
          </w:tcPr>
          <w:p>
            <w:pPr>
              <w:spacing w:after="0"/>
              <w:rPr>
                <w:sz w:val="11"/>
                <w:szCs w:val="11"/>
                <w:color w:val="auto"/>
              </w:rPr>
            </w:pPr>
          </w:p>
        </w:tc>
        <w:tc>
          <w:tcPr>
            <w:tcW w:w="1180" w:type="dxa"/>
            <w:vAlign w:val="bottom"/>
            <w:shd w:val="clear" w:color="auto" w:fill="CCEEFF"/>
          </w:tcPr>
          <w:p>
            <w:pPr>
              <w:jc w:val="center"/>
              <w:spacing w:after="0" w:line="134" w:lineRule="exact"/>
              <w:rPr>
                <w:sz w:val="20"/>
                <w:szCs w:val="20"/>
                <w:color w:val="auto"/>
              </w:rPr>
            </w:pPr>
            <w:r>
              <w:rPr>
                <w:rFonts w:ascii="Times New Roman" w:cs="Times New Roman" w:eastAsia="Times New Roman" w:hAnsi="Times New Roman"/>
                <w:sz w:val="13"/>
                <w:szCs w:val="13"/>
                <w:b w:val="1"/>
                <w:bCs w:val="1"/>
                <w:color w:val="auto"/>
              </w:rPr>
              <w:t>Design capacity</w:t>
            </w:r>
          </w:p>
        </w:tc>
        <w:tc>
          <w:tcPr>
            <w:tcW w:w="11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600" w:type="dxa"/>
            <w:vAlign w:val="bottom"/>
            <w:vMerge w:val="restart"/>
            <w:shd w:val="clear" w:color="auto" w:fill="CCEEFF"/>
          </w:tcPr>
          <w:p>
            <w:pPr>
              <w:jc w:val="center"/>
              <w:ind w:left="34"/>
              <w:spacing w:after="0"/>
              <w:rPr>
                <w:sz w:val="20"/>
                <w:szCs w:val="20"/>
                <w:color w:val="auto"/>
              </w:rPr>
            </w:pPr>
            <w:r>
              <w:rPr>
                <w:rFonts w:ascii="Times New Roman" w:cs="Times New Roman" w:eastAsia="Times New Roman" w:hAnsi="Times New Roman"/>
                <w:sz w:val="13"/>
                <w:szCs w:val="13"/>
                <w:b w:val="1"/>
                <w:bCs w:val="1"/>
                <w:color w:val="auto"/>
              </w:rPr>
              <w:t>Expected Commercial</w:t>
            </w:r>
          </w:p>
        </w:tc>
        <w:tc>
          <w:tcPr>
            <w:tcW w:w="0" w:type="dxa"/>
            <w:vAlign w:val="bottom"/>
          </w:tcPr>
          <w:p>
            <w:pPr>
              <w:spacing w:after="0"/>
              <w:rPr>
                <w:sz w:val="1"/>
                <w:szCs w:val="1"/>
                <w:color w:val="auto"/>
              </w:rPr>
            </w:pPr>
          </w:p>
        </w:tc>
      </w:tr>
      <w:tr>
        <w:trPr>
          <w:trHeight w:val="137"/>
        </w:trPr>
        <w:tc>
          <w:tcPr>
            <w:tcW w:w="4520" w:type="dxa"/>
            <w:vAlign w:val="bottom"/>
            <w:shd w:val="clear" w:color="auto" w:fill="CCEEFF"/>
          </w:tcPr>
          <w:p>
            <w:pPr>
              <w:spacing w:after="0"/>
              <w:rPr>
                <w:sz w:val="11"/>
                <w:szCs w:val="11"/>
                <w:color w:val="auto"/>
              </w:rPr>
            </w:pPr>
          </w:p>
        </w:tc>
        <w:tc>
          <w:tcPr>
            <w:tcW w:w="1180" w:type="dxa"/>
            <w:vAlign w:val="bottom"/>
            <w:shd w:val="clear" w:color="auto" w:fill="CCEEFF"/>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rPr>
              <w:t>(MMBtus per year)</w:t>
            </w:r>
          </w:p>
        </w:tc>
        <w:tc>
          <w:tcPr>
            <w:tcW w:w="1180" w:type="dxa"/>
            <w:vAlign w:val="bottom"/>
            <w:vMerge w:val="restart"/>
            <w:shd w:val="clear" w:color="auto" w:fill="CCEEFF"/>
          </w:tcPr>
          <w:p>
            <w:pPr>
              <w:jc w:val="center"/>
              <w:ind w:right="53"/>
              <w:spacing w:after="0"/>
              <w:rPr>
                <w:sz w:val="20"/>
                <w:szCs w:val="20"/>
                <w:color w:val="auto"/>
              </w:rPr>
            </w:pPr>
            <w:r>
              <w:rPr>
                <w:rFonts w:ascii="Times New Roman" w:cs="Times New Roman" w:eastAsia="Times New Roman" w:hAnsi="Times New Roman"/>
                <w:sz w:val="13"/>
                <w:szCs w:val="13"/>
                <w:b w:val="1"/>
                <w:bCs w:val="1"/>
                <w:color w:val="auto"/>
              </w:rPr>
              <w:t>Source of bio gas</w:t>
            </w:r>
          </w:p>
        </w:tc>
        <w:tc>
          <w:tcPr>
            <w:tcW w:w="116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 xml:space="preserve">Ownership </w:t>
            </w:r>
            <w:r>
              <w:rPr>
                <w:rFonts w:ascii="Times New Roman" w:cs="Times New Roman" w:eastAsia="Times New Roman" w:hAnsi="Times New Roman"/>
                <w:sz w:val="17"/>
                <w:szCs w:val="17"/>
                <w:b w:val="1"/>
                <w:bCs w:val="1"/>
                <w:color w:val="auto"/>
                <w:vertAlign w:val="superscript"/>
              </w:rPr>
              <w:t>(2)</w:t>
            </w:r>
          </w:p>
        </w:tc>
        <w:tc>
          <w:tcPr>
            <w:tcW w:w="160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4520" w:type="dxa"/>
            <w:vAlign w:val="bottom"/>
            <w:shd w:val="clear" w:color="auto" w:fill="CCEEFF"/>
          </w:tcPr>
          <w:p>
            <w:pPr>
              <w:spacing w:after="0"/>
              <w:rPr>
                <w:sz w:val="11"/>
                <w:szCs w:val="11"/>
                <w:color w:val="auto"/>
              </w:rPr>
            </w:pPr>
          </w:p>
        </w:tc>
        <w:tc>
          <w:tcPr>
            <w:tcW w:w="11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9"/>
                <w:szCs w:val="9"/>
                <w:b w:val="1"/>
                <w:bCs w:val="1"/>
                <w:color w:val="auto"/>
                <w:w w:val="94"/>
              </w:rPr>
              <w:t>(1)</w:t>
            </w:r>
          </w:p>
        </w:tc>
        <w:tc>
          <w:tcPr>
            <w:tcW w:w="1180" w:type="dxa"/>
            <w:vAlign w:val="bottom"/>
            <w:tcBorders>
              <w:bottom w:val="single" w:sz="8" w:color="auto"/>
            </w:tcBorders>
            <w:vMerge w:val="continue"/>
            <w:shd w:val="clear" w:color="auto" w:fill="CCEEFF"/>
          </w:tcPr>
          <w:p>
            <w:pPr>
              <w:spacing w:after="0"/>
              <w:rPr>
                <w:sz w:val="11"/>
                <w:szCs w:val="11"/>
                <w:color w:val="auto"/>
              </w:rPr>
            </w:pPr>
          </w:p>
        </w:tc>
        <w:tc>
          <w:tcPr>
            <w:tcW w:w="1160" w:type="dxa"/>
            <w:vAlign w:val="bottom"/>
            <w:tcBorders>
              <w:bottom w:val="single" w:sz="8" w:color="auto"/>
            </w:tcBorders>
            <w:vMerge w:val="continue"/>
            <w:shd w:val="clear" w:color="auto" w:fill="CCEEFF"/>
          </w:tcPr>
          <w:p>
            <w:pPr>
              <w:spacing w:after="0"/>
              <w:rPr>
                <w:sz w:val="11"/>
                <w:szCs w:val="11"/>
                <w:color w:val="auto"/>
              </w:rPr>
            </w:pPr>
          </w:p>
        </w:tc>
        <w:tc>
          <w:tcPr>
            <w:tcW w:w="1600" w:type="dxa"/>
            <w:vAlign w:val="bottom"/>
            <w:tcBorders>
              <w:bottom w:val="single" w:sz="8" w:color="auto"/>
            </w:tcBorders>
            <w:shd w:val="clear" w:color="auto" w:fill="CCEEFF"/>
          </w:tcPr>
          <w:p>
            <w:pPr>
              <w:jc w:val="center"/>
              <w:ind w:left="34"/>
              <w:spacing w:after="0" w:line="131" w:lineRule="exact"/>
              <w:rPr>
                <w:sz w:val="20"/>
                <w:szCs w:val="20"/>
                <w:color w:val="auto"/>
              </w:rPr>
            </w:pPr>
            <w:r>
              <w:rPr>
                <w:rFonts w:ascii="Times New Roman" w:cs="Times New Roman" w:eastAsia="Times New Roman" w:hAnsi="Times New Roman"/>
                <w:sz w:val="12"/>
                <w:szCs w:val="12"/>
                <w:b w:val="1"/>
                <w:bCs w:val="1"/>
                <w:color w:val="auto"/>
              </w:rPr>
              <w:t xml:space="preserve">Operation Date </w:t>
            </w:r>
            <w:r>
              <w:rPr>
                <w:rFonts w:ascii="Times New Roman" w:cs="Times New Roman" w:eastAsia="Times New Roman" w:hAnsi="Times New Roman"/>
                <w:sz w:val="15"/>
                <w:szCs w:val="15"/>
                <w:b w:val="1"/>
                <w:bCs w:val="1"/>
                <w:color w:val="auto"/>
                <w:vertAlign w:val="superscript"/>
              </w:rPr>
              <w:t>(5)</w:t>
            </w:r>
          </w:p>
        </w:tc>
        <w:tc>
          <w:tcPr>
            <w:tcW w:w="0" w:type="dxa"/>
            <w:vAlign w:val="bottom"/>
          </w:tcPr>
          <w:p>
            <w:pPr>
              <w:spacing w:after="0"/>
              <w:rPr>
                <w:sz w:val="1"/>
                <w:szCs w:val="1"/>
                <w:color w:val="auto"/>
              </w:rPr>
            </w:pPr>
          </w:p>
        </w:tc>
      </w:tr>
      <w:tr>
        <w:trPr>
          <w:trHeight w:val="150"/>
        </w:trPr>
        <w:tc>
          <w:tcPr>
            <w:tcW w:w="45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RNG projects in operation:</w:t>
            </w:r>
          </w:p>
        </w:tc>
        <w:tc>
          <w:tcPr>
            <w:tcW w:w="1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Greentree</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1,061,712</w:t>
            </w:r>
          </w:p>
        </w:tc>
        <w:tc>
          <w:tcPr>
            <w:tcW w:w="1180" w:type="dxa"/>
            <w:vAlign w:val="bottom"/>
            <w:shd w:val="clear" w:color="auto" w:fill="CCEEFF"/>
          </w:tcPr>
          <w:p>
            <w:pPr>
              <w:jc w:val="center"/>
              <w:ind w:right="53"/>
              <w:spacing w:after="0"/>
              <w:rPr>
                <w:sz w:val="20"/>
                <w:szCs w:val="20"/>
                <w:color w:val="auto"/>
              </w:rPr>
            </w:pPr>
            <w:r>
              <w:rPr>
                <w:rFonts w:ascii="Times New Roman" w:cs="Times New Roman" w:eastAsia="Times New Roman" w:hAnsi="Times New Roman"/>
                <w:sz w:val="13"/>
                <w:szCs w:val="13"/>
                <w:color w:val="auto"/>
              </w:rPr>
              <w:t>LFG</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100%</w:t>
            </w:r>
          </w:p>
        </w:tc>
        <w:tc>
          <w:tcPr>
            <w:tcW w:w="1600" w:type="dxa"/>
            <w:vAlign w:val="bottom"/>
            <w:shd w:val="clear" w:color="auto" w:fill="CCEEFF"/>
          </w:tcPr>
          <w:p>
            <w:pPr>
              <w:jc w:val="center"/>
              <w:ind w:left="14"/>
              <w:spacing w:after="0"/>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r>
        <w:trPr>
          <w:trHeight w:val="170"/>
        </w:trPr>
        <w:tc>
          <w:tcPr>
            <w:tcW w:w="4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Imperial</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1,061,712</w:t>
            </w:r>
          </w:p>
        </w:tc>
        <w:tc>
          <w:tcPr>
            <w:tcW w:w="1180" w:type="dxa"/>
            <w:vAlign w:val="bottom"/>
          </w:tcPr>
          <w:p>
            <w:pPr>
              <w:jc w:val="center"/>
              <w:ind w:right="53"/>
              <w:spacing w:after="0"/>
              <w:rPr>
                <w:sz w:val="20"/>
                <w:szCs w:val="20"/>
                <w:color w:val="auto"/>
              </w:rPr>
            </w:pPr>
            <w:r>
              <w:rPr>
                <w:rFonts w:ascii="Times New Roman" w:cs="Times New Roman" w:eastAsia="Times New Roman" w:hAnsi="Times New Roman"/>
                <w:sz w:val="13"/>
                <w:szCs w:val="13"/>
                <w:color w:val="auto"/>
              </w:rPr>
              <w:t>LFG</w:t>
            </w: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100%</w:t>
            </w:r>
          </w:p>
        </w:tc>
        <w:tc>
          <w:tcPr>
            <w:tcW w:w="1600" w:type="dxa"/>
            <w:vAlign w:val="bottom"/>
          </w:tcPr>
          <w:p>
            <w:pPr>
              <w:jc w:val="center"/>
              <w:ind w:left="14"/>
              <w:spacing w:after="0"/>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r>
        <w:trPr>
          <w:trHeight w:val="170"/>
        </w:trPr>
        <w:tc>
          <w:tcPr>
            <w:tcW w:w="4520" w:type="dxa"/>
            <w:vAlign w:val="bottom"/>
            <w:shd w:val="clear" w:color="auto" w:fill="CCEEFF"/>
          </w:tcPr>
          <w:p>
            <w:pPr>
              <w:ind w:left="20"/>
              <w:spacing w:after="0" w:line="170" w:lineRule="exact"/>
              <w:rPr>
                <w:sz w:val="20"/>
                <w:szCs w:val="20"/>
                <w:color w:val="auto"/>
              </w:rPr>
            </w:pPr>
            <w:r>
              <w:rPr>
                <w:rFonts w:ascii="Times New Roman" w:cs="Times New Roman" w:eastAsia="Times New Roman" w:hAnsi="Times New Roman"/>
                <w:sz w:val="13"/>
                <w:szCs w:val="13"/>
                <w:color w:val="auto"/>
              </w:rPr>
              <w:t xml:space="preserve">Emerald </w:t>
            </w:r>
            <w:r>
              <w:rPr>
                <w:rFonts w:ascii="Times New Roman" w:cs="Times New Roman" w:eastAsia="Times New Roman" w:hAnsi="Times New Roman"/>
                <w:sz w:val="17"/>
                <w:szCs w:val="17"/>
                <w:color w:val="auto"/>
                <w:vertAlign w:val="superscript"/>
              </w:rPr>
              <w:t>(2)</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1,327,140</w:t>
            </w:r>
          </w:p>
        </w:tc>
        <w:tc>
          <w:tcPr>
            <w:tcW w:w="1180" w:type="dxa"/>
            <w:vAlign w:val="bottom"/>
            <w:shd w:val="clear" w:color="auto" w:fill="CCEEFF"/>
          </w:tcPr>
          <w:p>
            <w:pPr>
              <w:jc w:val="center"/>
              <w:ind w:right="53"/>
              <w:spacing w:after="0"/>
              <w:rPr>
                <w:sz w:val="20"/>
                <w:szCs w:val="20"/>
                <w:color w:val="auto"/>
              </w:rPr>
            </w:pPr>
            <w:r>
              <w:rPr>
                <w:rFonts w:ascii="Times New Roman" w:cs="Times New Roman" w:eastAsia="Times New Roman" w:hAnsi="Times New Roman"/>
                <w:sz w:val="13"/>
                <w:szCs w:val="13"/>
                <w:color w:val="auto"/>
              </w:rPr>
              <w:t>LFG</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50%</w:t>
            </w:r>
          </w:p>
        </w:tc>
        <w:tc>
          <w:tcPr>
            <w:tcW w:w="1600" w:type="dxa"/>
            <w:vAlign w:val="bottom"/>
            <w:shd w:val="clear" w:color="auto" w:fill="CCEEFF"/>
          </w:tcPr>
          <w:p>
            <w:pPr>
              <w:jc w:val="center"/>
              <w:ind w:left="14"/>
              <w:spacing w:after="0"/>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r>
        <w:trPr>
          <w:trHeight w:val="170"/>
        </w:trPr>
        <w:tc>
          <w:tcPr>
            <w:tcW w:w="4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New River</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663,570</w:t>
            </w:r>
          </w:p>
        </w:tc>
        <w:tc>
          <w:tcPr>
            <w:tcW w:w="1180" w:type="dxa"/>
            <w:vAlign w:val="bottom"/>
          </w:tcPr>
          <w:p>
            <w:pPr>
              <w:jc w:val="center"/>
              <w:ind w:right="53"/>
              <w:spacing w:after="0"/>
              <w:rPr>
                <w:sz w:val="20"/>
                <w:szCs w:val="20"/>
                <w:color w:val="auto"/>
              </w:rPr>
            </w:pPr>
            <w:r>
              <w:rPr>
                <w:rFonts w:ascii="Times New Roman" w:cs="Times New Roman" w:eastAsia="Times New Roman" w:hAnsi="Times New Roman"/>
                <w:sz w:val="13"/>
                <w:szCs w:val="13"/>
                <w:color w:val="auto"/>
              </w:rPr>
              <w:t>LFG</w:t>
            </w: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100%</w:t>
            </w:r>
          </w:p>
        </w:tc>
        <w:tc>
          <w:tcPr>
            <w:tcW w:w="1600" w:type="dxa"/>
            <w:vAlign w:val="bottom"/>
          </w:tcPr>
          <w:p>
            <w:pPr>
              <w:jc w:val="center"/>
              <w:ind w:left="14"/>
              <w:spacing w:after="0"/>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r>
        <w:trPr>
          <w:trHeight w:val="170"/>
        </w:trPr>
        <w:tc>
          <w:tcPr>
            <w:tcW w:w="4520" w:type="dxa"/>
            <w:vAlign w:val="bottom"/>
            <w:shd w:val="clear" w:color="auto" w:fill="CCEEFF"/>
          </w:tcPr>
          <w:p>
            <w:pPr>
              <w:ind w:left="20"/>
              <w:spacing w:after="0" w:line="170" w:lineRule="exact"/>
              <w:rPr>
                <w:sz w:val="20"/>
                <w:szCs w:val="20"/>
                <w:color w:val="auto"/>
              </w:rPr>
            </w:pPr>
            <w:r>
              <w:rPr>
                <w:rFonts w:ascii="Times New Roman" w:cs="Times New Roman" w:eastAsia="Times New Roman" w:hAnsi="Times New Roman"/>
                <w:sz w:val="13"/>
                <w:szCs w:val="13"/>
                <w:color w:val="auto"/>
              </w:rPr>
              <w:t xml:space="preserve">Noble Road </w:t>
            </w:r>
            <w:r>
              <w:rPr>
                <w:rFonts w:ascii="Times New Roman" w:cs="Times New Roman" w:eastAsia="Times New Roman" w:hAnsi="Times New Roman"/>
                <w:sz w:val="17"/>
                <w:szCs w:val="17"/>
                <w:color w:val="auto"/>
                <w:vertAlign w:val="superscript"/>
              </w:rPr>
              <w:t>(2)</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464,499</w:t>
            </w:r>
          </w:p>
        </w:tc>
        <w:tc>
          <w:tcPr>
            <w:tcW w:w="1180" w:type="dxa"/>
            <w:vAlign w:val="bottom"/>
            <w:shd w:val="clear" w:color="auto" w:fill="CCEEFF"/>
          </w:tcPr>
          <w:p>
            <w:pPr>
              <w:jc w:val="center"/>
              <w:ind w:right="53"/>
              <w:spacing w:after="0"/>
              <w:rPr>
                <w:sz w:val="20"/>
                <w:szCs w:val="20"/>
                <w:color w:val="auto"/>
              </w:rPr>
            </w:pPr>
            <w:r>
              <w:rPr>
                <w:rFonts w:ascii="Times New Roman" w:cs="Times New Roman" w:eastAsia="Times New Roman" w:hAnsi="Times New Roman"/>
                <w:sz w:val="13"/>
                <w:szCs w:val="13"/>
                <w:color w:val="auto"/>
              </w:rPr>
              <w:t>LFG</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50%</w:t>
            </w:r>
          </w:p>
        </w:tc>
        <w:tc>
          <w:tcPr>
            <w:tcW w:w="1600" w:type="dxa"/>
            <w:vAlign w:val="bottom"/>
            <w:shd w:val="clear" w:color="auto" w:fill="CCEEFF"/>
          </w:tcPr>
          <w:p>
            <w:pPr>
              <w:jc w:val="center"/>
              <w:ind w:left="14"/>
              <w:spacing w:after="0"/>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r>
        <w:trPr>
          <w:trHeight w:val="170"/>
        </w:trPr>
        <w:tc>
          <w:tcPr>
            <w:tcW w:w="4520" w:type="dxa"/>
            <w:vAlign w:val="bottom"/>
          </w:tcPr>
          <w:p>
            <w:pPr>
              <w:ind w:left="20"/>
              <w:spacing w:after="0" w:line="170" w:lineRule="exact"/>
              <w:rPr>
                <w:sz w:val="20"/>
                <w:szCs w:val="20"/>
                <w:color w:val="auto"/>
              </w:rPr>
            </w:pPr>
            <w:r>
              <w:rPr>
                <w:rFonts w:ascii="Times New Roman" w:cs="Times New Roman" w:eastAsia="Times New Roman" w:hAnsi="Times New Roman"/>
                <w:sz w:val="13"/>
                <w:szCs w:val="13"/>
                <w:color w:val="auto"/>
              </w:rPr>
              <w:t xml:space="preserve">Pine Bend </w:t>
            </w:r>
            <w:r>
              <w:rPr>
                <w:rFonts w:ascii="Times New Roman" w:cs="Times New Roman" w:eastAsia="Times New Roman" w:hAnsi="Times New Roman"/>
                <w:sz w:val="17"/>
                <w:szCs w:val="17"/>
                <w:color w:val="auto"/>
                <w:vertAlign w:val="superscript"/>
              </w:rPr>
              <w:t>(2)</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424,685</w:t>
            </w:r>
          </w:p>
        </w:tc>
        <w:tc>
          <w:tcPr>
            <w:tcW w:w="1180" w:type="dxa"/>
            <w:vAlign w:val="bottom"/>
          </w:tcPr>
          <w:p>
            <w:pPr>
              <w:jc w:val="center"/>
              <w:ind w:right="53"/>
              <w:spacing w:after="0"/>
              <w:rPr>
                <w:sz w:val="20"/>
                <w:szCs w:val="20"/>
                <w:color w:val="auto"/>
              </w:rPr>
            </w:pPr>
            <w:r>
              <w:rPr>
                <w:rFonts w:ascii="Times New Roman" w:cs="Times New Roman" w:eastAsia="Times New Roman" w:hAnsi="Times New Roman"/>
                <w:sz w:val="13"/>
                <w:szCs w:val="13"/>
                <w:color w:val="auto"/>
              </w:rPr>
              <w:t>LFG</w:t>
            </w: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50%</w:t>
            </w:r>
          </w:p>
        </w:tc>
        <w:tc>
          <w:tcPr>
            <w:tcW w:w="1600" w:type="dxa"/>
            <w:vAlign w:val="bottom"/>
          </w:tcPr>
          <w:p>
            <w:pPr>
              <w:jc w:val="center"/>
              <w:ind w:left="14"/>
              <w:spacing w:after="0"/>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r>
        <w:trPr>
          <w:trHeight w:val="170"/>
        </w:trPr>
        <w:tc>
          <w:tcPr>
            <w:tcW w:w="4520" w:type="dxa"/>
            <w:vAlign w:val="bottom"/>
            <w:shd w:val="clear" w:color="auto" w:fill="CCEEFF"/>
          </w:tcPr>
          <w:p>
            <w:pPr>
              <w:ind w:left="20"/>
              <w:spacing w:after="0" w:line="170" w:lineRule="exact"/>
              <w:rPr>
                <w:sz w:val="20"/>
                <w:szCs w:val="20"/>
                <w:color w:val="auto"/>
              </w:rPr>
            </w:pPr>
            <w:r>
              <w:rPr>
                <w:rFonts w:ascii="Times New Roman" w:cs="Times New Roman" w:eastAsia="Times New Roman" w:hAnsi="Times New Roman"/>
                <w:sz w:val="13"/>
                <w:szCs w:val="13"/>
                <w:color w:val="auto"/>
              </w:rPr>
              <w:t xml:space="preserve">Biotown </w:t>
            </w:r>
            <w:r>
              <w:rPr>
                <w:rFonts w:ascii="Times New Roman" w:cs="Times New Roman" w:eastAsia="Times New Roman" w:hAnsi="Times New Roman"/>
                <w:sz w:val="17"/>
                <w:szCs w:val="17"/>
                <w:color w:val="auto"/>
                <w:vertAlign w:val="superscript"/>
              </w:rPr>
              <w:t>(2)</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48,573</w:t>
            </w:r>
          </w:p>
        </w:tc>
        <w:tc>
          <w:tcPr>
            <w:tcW w:w="1180" w:type="dxa"/>
            <w:vAlign w:val="bottom"/>
            <w:shd w:val="clear" w:color="auto" w:fill="CCEEFF"/>
          </w:tcPr>
          <w:p>
            <w:pPr>
              <w:jc w:val="center"/>
              <w:ind w:right="53"/>
              <w:spacing w:after="0"/>
              <w:rPr>
                <w:sz w:val="20"/>
                <w:szCs w:val="20"/>
                <w:color w:val="auto"/>
              </w:rPr>
            </w:pPr>
            <w:r>
              <w:rPr>
                <w:rFonts w:ascii="Times New Roman" w:cs="Times New Roman" w:eastAsia="Times New Roman" w:hAnsi="Times New Roman"/>
                <w:sz w:val="13"/>
                <w:szCs w:val="13"/>
                <w:color w:val="auto"/>
              </w:rPr>
              <w:t>Dairy</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10%</w:t>
            </w:r>
          </w:p>
        </w:tc>
        <w:tc>
          <w:tcPr>
            <w:tcW w:w="1600" w:type="dxa"/>
            <w:vAlign w:val="bottom"/>
            <w:shd w:val="clear" w:color="auto" w:fill="CCEEFF"/>
          </w:tcPr>
          <w:p>
            <w:pPr>
              <w:jc w:val="center"/>
              <w:ind w:left="14"/>
              <w:spacing w:after="0"/>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r>
        <w:trPr>
          <w:trHeight w:val="170"/>
        </w:trPr>
        <w:tc>
          <w:tcPr>
            <w:tcW w:w="4520" w:type="dxa"/>
            <w:vAlign w:val="bottom"/>
            <w:tcBorders>
              <w:bottom w:val="single" w:sz="8" w:color="CCEEFF"/>
            </w:tcBorders>
          </w:tcPr>
          <w:p>
            <w:pPr>
              <w:ind w:left="20"/>
              <w:spacing w:after="0" w:line="170" w:lineRule="exact"/>
              <w:rPr>
                <w:sz w:val="20"/>
                <w:szCs w:val="20"/>
                <w:color w:val="auto"/>
              </w:rPr>
            </w:pPr>
            <w:r>
              <w:rPr>
                <w:rFonts w:ascii="Times New Roman" w:cs="Times New Roman" w:eastAsia="Times New Roman" w:hAnsi="Times New Roman"/>
                <w:sz w:val="13"/>
                <w:szCs w:val="13"/>
                <w:color w:val="auto"/>
              </w:rPr>
              <w:t xml:space="preserve">Sunoma </w:t>
            </w:r>
            <w:r>
              <w:rPr>
                <w:rFonts w:ascii="Times New Roman" w:cs="Times New Roman" w:eastAsia="Times New Roman" w:hAnsi="Times New Roman"/>
                <w:sz w:val="17"/>
                <w:szCs w:val="17"/>
                <w:color w:val="auto"/>
                <w:vertAlign w:val="superscript"/>
              </w:rPr>
              <w:t>(3)</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192,350</w:t>
            </w:r>
          </w:p>
        </w:tc>
        <w:tc>
          <w:tcPr>
            <w:tcW w:w="1180" w:type="dxa"/>
            <w:vAlign w:val="bottom"/>
            <w:tcBorders>
              <w:bottom w:val="single" w:sz="8" w:color="CCEEFF"/>
            </w:tcBorders>
          </w:tcPr>
          <w:p>
            <w:pPr>
              <w:jc w:val="center"/>
              <w:ind w:right="53"/>
              <w:spacing w:after="0"/>
              <w:rPr>
                <w:sz w:val="20"/>
                <w:szCs w:val="20"/>
                <w:color w:val="auto"/>
              </w:rPr>
            </w:pPr>
            <w:r>
              <w:rPr>
                <w:rFonts w:ascii="Times New Roman" w:cs="Times New Roman" w:eastAsia="Times New Roman" w:hAnsi="Times New Roman"/>
                <w:sz w:val="13"/>
                <w:szCs w:val="13"/>
                <w:color w:val="auto"/>
              </w:rPr>
              <w:t>Dairy</w:t>
            </w:r>
          </w:p>
        </w:tc>
        <w:tc>
          <w:tcPr>
            <w:tcW w:w="11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3"/>
                <w:szCs w:val="13"/>
                <w:color w:val="auto"/>
              </w:rPr>
              <w:t>90%</w:t>
            </w:r>
          </w:p>
        </w:tc>
        <w:tc>
          <w:tcPr>
            <w:tcW w:w="1600" w:type="dxa"/>
            <w:vAlign w:val="bottom"/>
            <w:tcBorders>
              <w:bottom w:val="single" w:sz="8" w:color="CCEEFF"/>
            </w:tcBorders>
          </w:tcPr>
          <w:p>
            <w:pPr>
              <w:jc w:val="center"/>
              <w:ind w:left="14"/>
              <w:spacing w:after="0"/>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r>
        <w:trPr>
          <w:trHeight w:val="16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Sub total</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5,244,241</w:t>
            </w:r>
          </w:p>
        </w:tc>
        <w:tc>
          <w:tcPr>
            <w:tcW w:w="11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5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RNG projects in construction:</w:t>
            </w:r>
          </w:p>
        </w:tc>
        <w:tc>
          <w:tcPr>
            <w:tcW w:w="11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520" w:type="dxa"/>
            <w:vAlign w:val="bottom"/>
          </w:tcPr>
          <w:p>
            <w:pPr>
              <w:ind w:left="20"/>
              <w:spacing w:after="0" w:line="170" w:lineRule="exact"/>
              <w:rPr>
                <w:sz w:val="20"/>
                <w:szCs w:val="20"/>
                <w:color w:val="auto"/>
              </w:rPr>
            </w:pPr>
            <w:r>
              <w:rPr>
                <w:rFonts w:ascii="Times New Roman" w:cs="Times New Roman" w:eastAsia="Times New Roman" w:hAnsi="Times New Roman"/>
                <w:sz w:val="13"/>
                <w:szCs w:val="13"/>
                <w:color w:val="auto"/>
              </w:rPr>
              <w:t xml:space="preserve">Prince William </w:t>
            </w:r>
            <w:r>
              <w:rPr>
                <w:rFonts w:ascii="Times New Roman" w:cs="Times New Roman" w:eastAsia="Times New Roman" w:hAnsi="Times New Roman"/>
                <w:sz w:val="17"/>
                <w:szCs w:val="17"/>
                <w:color w:val="auto"/>
                <w:vertAlign w:val="superscript"/>
              </w:rPr>
              <w:t>(4)</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1,725,282</w:t>
            </w:r>
          </w:p>
        </w:tc>
        <w:tc>
          <w:tcPr>
            <w:tcW w:w="1180" w:type="dxa"/>
            <w:vAlign w:val="bottom"/>
          </w:tcPr>
          <w:p>
            <w:pPr>
              <w:jc w:val="center"/>
              <w:ind w:right="53"/>
              <w:spacing w:after="0"/>
              <w:rPr>
                <w:sz w:val="20"/>
                <w:szCs w:val="20"/>
                <w:color w:val="auto"/>
              </w:rPr>
            </w:pPr>
            <w:r>
              <w:rPr>
                <w:rFonts w:ascii="Times New Roman" w:cs="Times New Roman" w:eastAsia="Times New Roman" w:hAnsi="Times New Roman"/>
                <w:sz w:val="13"/>
                <w:szCs w:val="13"/>
                <w:color w:val="auto"/>
              </w:rPr>
              <w:t>LFG</w:t>
            </w: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100%</w:t>
            </w:r>
          </w:p>
        </w:tc>
        <w:tc>
          <w:tcPr>
            <w:tcW w:w="1600" w:type="dxa"/>
            <w:vAlign w:val="bottom"/>
          </w:tcPr>
          <w:p>
            <w:pPr>
              <w:jc w:val="center"/>
              <w:ind w:left="14"/>
              <w:spacing w:after="0"/>
              <w:rPr>
                <w:sz w:val="20"/>
                <w:szCs w:val="20"/>
                <w:color w:val="auto"/>
              </w:rPr>
            </w:pPr>
            <w:r>
              <w:rPr>
                <w:rFonts w:ascii="Times New Roman" w:cs="Times New Roman" w:eastAsia="Times New Roman" w:hAnsi="Times New Roman"/>
                <w:sz w:val="13"/>
                <w:szCs w:val="13"/>
                <w:color w:val="auto"/>
              </w:rPr>
              <w:t>May 2024</w:t>
            </w:r>
          </w:p>
        </w:tc>
        <w:tc>
          <w:tcPr>
            <w:tcW w:w="0" w:type="dxa"/>
            <w:vAlign w:val="bottom"/>
          </w:tcPr>
          <w:p>
            <w:pPr>
              <w:spacing w:after="0"/>
              <w:rPr>
                <w:sz w:val="1"/>
                <w:szCs w:val="1"/>
                <w:color w:val="auto"/>
              </w:rPr>
            </w:pPr>
          </w:p>
        </w:tc>
      </w:tr>
      <w:tr>
        <w:trPr>
          <w:trHeight w:val="170"/>
        </w:trPr>
        <w:tc>
          <w:tcPr>
            <w:tcW w:w="4520" w:type="dxa"/>
            <w:vAlign w:val="bottom"/>
            <w:shd w:val="clear" w:color="auto" w:fill="CCEEFF"/>
          </w:tcPr>
          <w:p>
            <w:pPr>
              <w:ind w:left="20"/>
              <w:spacing w:after="0" w:line="170" w:lineRule="exact"/>
              <w:rPr>
                <w:sz w:val="20"/>
                <w:szCs w:val="20"/>
                <w:color w:val="auto"/>
              </w:rPr>
            </w:pPr>
            <w:r>
              <w:rPr>
                <w:rFonts w:ascii="Times New Roman" w:cs="Times New Roman" w:eastAsia="Times New Roman" w:hAnsi="Times New Roman"/>
                <w:sz w:val="13"/>
                <w:szCs w:val="13"/>
                <w:color w:val="auto"/>
              </w:rPr>
              <w:t xml:space="preserve">Hilltop </w:t>
            </w:r>
            <w:r>
              <w:rPr>
                <w:rFonts w:ascii="Times New Roman" w:cs="Times New Roman" w:eastAsia="Times New Roman" w:hAnsi="Times New Roman"/>
                <w:sz w:val="17"/>
                <w:szCs w:val="17"/>
                <w:color w:val="auto"/>
                <w:vertAlign w:val="superscript"/>
              </w:rPr>
              <w:t>(6)</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255,500</w:t>
            </w:r>
          </w:p>
        </w:tc>
        <w:tc>
          <w:tcPr>
            <w:tcW w:w="1180" w:type="dxa"/>
            <w:vAlign w:val="bottom"/>
            <w:shd w:val="clear" w:color="auto" w:fill="CCEEFF"/>
          </w:tcPr>
          <w:p>
            <w:pPr>
              <w:jc w:val="center"/>
              <w:ind w:right="53"/>
              <w:spacing w:after="0"/>
              <w:rPr>
                <w:sz w:val="20"/>
                <w:szCs w:val="20"/>
                <w:color w:val="auto"/>
              </w:rPr>
            </w:pPr>
            <w:r>
              <w:rPr>
                <w:rFonts w:ascii="Times New Roman" w:cs="Times New Roman" w:eastAsia="Times New Roman" w:hAnsi="Times New Roman"/>
                <w:sz w:val="13"/>
                <w:szCs w:val="13"/>
                <w:color w:val="auto"/>
              </w:rPr>
              <w:t>Dairy</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100%</w:t>
            </w:r>
          </w:p>
        </w:tc>
        <w:tc>
          <w:tcPr>
            <w:tcW w:w="1600" w:type="dxa"/>
            <w:vAlign w:val="bottom"/>
            <w:shd w:val="clear" w:color="auto" w:fill="CCEEFF"/>
          </w:tcPr>
          <w:p>
            <w:pPr>
              <w:jc w:val="center"/>
              <w:ind w:left="14"/>
              <w:spacing w:after="0"/>
              <w:rPr>
                <w:sz w:val="20"/>
                <w:szCs w:val="20"/>
                <w:color w:val="auto"/>
              </w:rPr>
            </w:pPr>
            <w:r>
              <w:rPr>
                <w:rFonts w:ascii="Times New Roman" w:cs="Times New Roman" w:eastAsia="Times New Roman" w:hAnsi="Times New Roman"/>
                <w:sz w:val="13"/>
                <w:szCs w:val="13"/>
                <w:color w:val="auto"/>
              </w:rPr>
              <w:t>Not Determined</w:t>
            </w:r>
          </w:p>
        </w:tc>
        <w:tc>
          <w:tcPr>
            <w:tcW w:w="0" w:type="dxa"/>
            <w:vAlign w:val="bottom"/>
          </w:tcPr>
          <w:p>
            <w:pPr>
              <w:spacing w:after="0"/>
              <w:rPr>
                <w:sz w:val="1"/>
                <w:szCs w:val="1"/>
                <w:color w:val="auto"/>
              </w:rPr>
            </w:pPr>
          </w:p>
        </w:tc>
      </w:tr>
      <w:tr>
        <w:trPr>
          <w:trHeight w:val="170"/>
        </w:trPr>
        <w:tc>
          <w:tcPr>
            <w:tcW w:w="4520" w:type="dxa"/>
            <w:vAlign w:val="bottom"/>
          </w:tcPr>
          <w:p>
            <w:pPr>
              <w:ind w:left="20"/>
              <w:spacing w:after="0" w:line="170" w:lineRule="exact"/>
              <w:rPr>
                <w:sz w:val="20"/>
                <w:szCs w:val="20"/>
                <w:color w:val="auto"/>
              </w:rPr>
            </w:pPr>
            <w:r>
              <w:rPr>
                <w:rFonts w:ascii="Times New Roman" w:cs="Times New Roman" w:eastAsia="Times New Roman" w:hAnsi="Times New Roman"/>
                <w:sz w:val="13"/>
                <w:szCs w:val="13"/>
                <w:color w:val="auto"/>
              </w:rPr>
              <w:t xml:space="preserve">Vander Schaaf </w:t>
            </w:r>
            <w:r>
              <w:rPr>
                <w:rFonts w:ascii="Times New Roman" w:cs="Times New Roman" w:eastAsia="Times New Roman" w:hAnsi="Times New Roman"/>
                <w:sz w:val="17"/>
                <w:szCs w:val="17"/>
                <w:color w:val="auto"/>
                <w:vertAlign w:val="superscript"/>
              </w:rPr>
              <w:t>(6)</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255,500</w:t>
            </w:r>
          </w:p>
        </w:tc>
        <w:tc>
          <w:tcPr>
            <w:tcW w:w="1180" w:type="dxa"/>
            <w:vAlign w:val="bottom"/>
          </w:tcPr>
          <w:p>
            <w:pPr>
              <w:jc w:val="center"/>
              <w:ind w:right="53"/>
              <w:spacing w:after="0"/>
              <w:rPr>
                <w:sz w:val="20"/>
                <w:szCs w:val="20"/>
                <w:color w:val="auto"/>
              </w:rPr>
            </w:pPr>
            <w:r>
              <w:rPr>
                <w:rFonts w:ascii="Times New Roman" w:cs="Times New Roman" w:eastAsia="Times New Roman" w:hAnsi="Times New Roman"/>
                <w:sz w:val="13"/>
                <w:szCs w:val="13"/>
                <w:color w:val="auto"/>
              </w:rPr>
              <w:t>Dairy</w:t>
            </w: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100%</w:t>
            </w:r>
          </w:p>
        </w:tc>
        <w:tc>
          <w:tcPr>
            <w:tcW w:w="1600" w:type="dxa"/>
            <w:vAlign w:val="bottom"/>
          </w:tcPr>
          <w:p>
            <w:pPr>
              <w:jc w:val="center"/>
              <w:ind w:left="14"/>
              <w:spacing w:after="0"/>
              <w:rPr>
                <w:sz w:val="20"/>
                <w:szCs w:val="20"/>
                <w:color w:val="auto"/>
              </w:rPr>
            </w:pPr>
            <w:r>
              <w:rPr>
                <w:rFonts w:ascii="Times New Roman" w:cs="Times New Roman" w:eastAsia="Times New Roman" w:hAnsi="Times New Roman"/>
                <w:sz w:val="13"/>
                <w:szCs w:val="13"/>
                <w:color w:val="auto"/>
              </w:rPr>
              <w:t>Not Determined</w:t>
            </w:r>
          </w:p>
        </w:tc>
        <w:tc>
          <w:tcPr>
            <w:tcW w:w="0" w:type="dxa"/>
            <w:vAlign w:val="bottom"/>
          </w:tcPr>
          <w:p>
            <w:pPr>
              <w:spacing w:after="0"/>
              <w:rPr>
                <w:sz w:val="1"/>
                <w:szCs w:val="1"/>
                <w:color w:val="auto"/>
              </w:rPr>
            </w:pPr>
          </w:p>
        </w:tc>
      </w:tr>
      <w:tr>
        <w:trPr>
          <w:trHeight w:val="17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Polk County</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1,060,000</w:t>
            </w:r>
          </w:p>
        </w:tc>
        <w:tc>
          <w:tcPr>
            <w:tcW w:w="1180" w:type="dxa"/>
            <w:vAlign w:val="bottom"/>
            <w:shd w:val="clear" w:color="auto" w:fill="CCEEFF"/>
          </w:tcPr>
          <w:p>
            <w:pPr>
              <w:jc w:val="center"/>
              <w:ind w:right="53"/>
              <w:spacing w:after="0"/>
              <w:rPr>
                <w:sz w:val="20"/>
                <w:szCs w:val="20"/>
                <w:color w:val="auto"/>
              </w:rPr>
            </w:pPr>
            <w:r>
              <w:rPr>
                <w:rFonts w:ascii="Times New Roman" w:cs="Times New Roman" w:eastAsia="Times New Roman" w:hAnsi="Times New Roman"/>
                <w:sz w:val="13"/>
                <w:szCs w:val="13"/>
                <w:color w:val="auto"/>
              </w:rPr>
              <w:t>LFG</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100%</w:t>
            </w:r>
          </w:p>
        </w:tc>
        <w:tc>
          <w:tcPr>
            <w:tcW w:w="1600" w:type="dxa"/>
            <w:vAlign w:val="bottom"/>
            <w:shd w:val="clear" w:color="auto" w:fill="CCEEFF"/>
          </w:tcPr>
          <w:p>
            <w:pPr>
              <w:jc w:val="center"/>
              <w:ind w:left="14"/>
              <w:spacing w:after="0"/>
              <w:rPr>
                <w:sz w:val="20"/>
                <w:szCs w:val="20"/>
                <w:color w:val="auto"/>
              </w:rPr>
            </w:pPr>
            <w:r>
              <w:rPr>
                <w:rFonts w:ascii="Times New Roman" w:cs="Times New Roman" w:eastAsia="Times New Roman" w:hAnsi="Times New Roman"/>
                <w:sz w:val="13"/>
                <w:szCs w:val="13"/>
                <w:color w:val="auto"/>
              </w:rPr>
              <w:t>Fourth quarter 2024</w:t>
            </w:r>
          </w:p>
        </w:tc>
        <w:tc>
          <w:tcPr>
            <w:tcW w:w="0" w:type="dxa"/>
            <w:vAlign w:val="bottom"/>
          </w:tcPr>
          <w:p>
            <w:pPr>
              <w:spacing w:after="0"/>
              <w:rPr>
                <w:sz w:val="1"/>
                <w:szCs w:val="1"/>
                <w:color w:val="auto"/>
              </w:rPr>
            </w:pPr>
          </w:p>
        </w:tc>
      </w:tr>
      <w:tr>
        <w:trPr>
          <w:trHeight w:val="170"/>
        </w:trPr>
        <w:tc>
          <w:tcPr>
            <w:tcW w:w="4520" w:type="dxa"/>
            <w:vAlign w:val="bottom"/>
          </w:tcPr>
          <w:p>
            <w:pPr>
              <w:ind w:left="20"/>
              <w:spacing w:after="0" w:line="170" w:lineRule="exact"/>
              <w:rPr>
                <w:sz w:val="20"/>
                <w:szCs w:val="20"/>
                <w:color w:val="auto"/>
              </w:rPr>
            </w:pPr>
            <w:r>
              <w:rPr>
                <w:rFonts w:ascii="Times New Roman" w:cs="Times New Roman" w:eastAsia="Times New Roman" w:hAnsi="Times New Roman"/>
                <w:sz w:val="13"/>
                <w:szCs w:val="13"/>
                <w:color w:val="auto"/>
              </w:rPr>
              <w:t xml:space="preserve">Sapphire </w:t>
            </w:r>
            <w:r>
              <w:rPr>
                <w:rFonts w:ascii="Times New Roman" w:cs="Times New Roman" w:eastAsia="Times New Roman" w:hAnsi="Times New Roman"/>
                <w:sz w:val="17"/>
                <w:szCs w:val="17"/>
                <w:color w:val="auto"/>
                <w:vertAlign w:val="superscript"/>
              </w:rPr>
              <w:t>(2)</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796,284</w:t>
            </w:r>
          </w:p>
        </w:tc>
        <w:tc>
          <w:tcPr>
            <w:tcW w:w="1180" w:type="dxa"/>
            <w:vAlign w:val="bottom"/>
          </w:tcPr>
          <w:p>
            <w:pPr>
              <w:jc w:val="center"/>
              <w:ind w:right="53"/>
              <w:spacing w:after="0"/>
              <w:rPr>
                <w:sz w:val="20"/>
                <w:szCs w:val="20"/>
                <w:color w:val="auto"/>
              </w:rPr>
            </w:pPr>
            <w:r>
              <w:rPr>
                <w:rFonts w:ascii="Times New Roman" w:cs="Times New Roman" w:eastAsia="Times New Roman" w:hAnsi="Times New Roman"/>
                <w:sz w:val="13"/>
                <w:szCs w:val="13"/>
                <w:color w:val="auto"/>
              </w:rPr>
              <w:t>LFG</w:t>
            </w: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50%</w:t>
            </w:r>
          </w:p>
        </w:tc>
        <w:tc>
          <w:tcPr>
            <w:tcW w:w="1600" w:type="dxa"/>
            <w:vAlign w:val="bottom"/>
          </w:tcPr>
          <w:p>
            <w:pPr>
              <w:jc w:val="center"/>
              <w:ind w:left="14"/>
              <w:spacing w:after="0"/>
              <w:rPr>
                <w:sz w:val="20"/>
                <w:szCs w:val="20"/>
                <w:color w:val="auto"/>
              </w:rPr>
            </w:pPr>
            <w:r>
              <w:rPr>
                <w:rFonts w:ascii="Times New Roman" w:cs="Times New Roman" w:eastAsia="Times New Roman" w:hAnsi="Times New Roman"/>
                <w:sz w:val="13"/>
                <w:szCs w:val="13"/>
                <w:color w:val="auto"/>
              </w:rPr>
              <w:t>Third quarter 2024</w:t>
            </w:r>
          </w:p>
        </w:tc>
        <w:tc>
          <w:tcPr>
            <w:tcW w:w="0" w:type="dxa"/>
            <w:vAlign w:val="bottom"/>
          </w:tcPr>
          <w:p>
            <w:pPr>
              <w:spacing w:after="0"/>
              <w:rPr>
                <w:sz w:val="1"/>
                <w:szCs w:val="1"/>
                <w:color w:val="auto"/>
              </w:rPr>
            </w:pPr>
          </w:p>
        </w:tc>
      </w:tr>
      <w:tr>
        <w:trPr>
          <w:trHeight w:val="170"/>
        </w:trPr>
        <w:tc>
          <w:tcPr>
            <w:tcW w:w="4520" w:type="dxa"/>
            <w:vAlign w:val="bottom"/>
            <w:shd w:val="clear" w:color="auto" w:fill="CCEEFF"/>
          </w:tcPr>
          <w:p>
            <w:pPr>
              <w:ind w:left="20"/>
              <w:spacing w:after="0" w:line="170" w:lineRule="exact"/>
              <w:rPr>
                <w:sz w:val="20"/>
                <w:szCs w:val="20"/>
                <w:color w:val="auto"/>
              </w:rPr>
            </w:pPr>
            <w:r>
              <w:rPr>
                <w:rFonts w:ascii="Times New Roman" w:cs="Times New Roman" w:eastAsia="Times New Roman" w:hAnsi="Times New Roman"/>
                <w:sz w:val="13"/>
                <w:szCs w:val="13"/>
                <w:color w:val="auto"/>
              </w:rPr>
              <w:t xml:space="preserve">Atlantic </w:t>
            </w:r>
            <w:r>
              <w:rPr>
                <w:rFonts w:ascii="Times New Roman" w:cs="Times New Roman" w:eastAsia="Times New Roman" w:hAnsi="Times New Roman"/>
                <w:sz w:val="17"/>
                <w:szCs w:val="17"/>
                <w:color w:val="auto"/>
                <w:vertAlign w:val="superscript"/>
              </w:rPr>
              <w:t>(2)</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331,785</w:t>
            </w:r>
          </w:p>
        </w:tc>
        <w:tc>
          <w:tcPr>
            <w:tcW w:w="1180" w:type="dxa"/>
            <w:vAlign w:val="bottom"/>
            <w:shd w:val="clear" w:color="auto" w:fill="CCEEFF"/>
          </w:tcPr>
          <w:p>
            <w:pPr>
              <w:jc w:val="center"/>
              <w:ind w:right="53"/>
              <w:spacing w:after="0"/>
              <w:rPr>
                <w:sz w:val="20"/>
                <w:szCs w:val="20"/>
                <w:color w:val="auto"/>
              </w:rPr>
            </w:pPr>
            <w:r>
              <w:rPr>
                <w:rFonts w:ascii="Times New Roman" w:cs="Times New Roman" w:eastAsia="Times New Roman" w:hAnsi="Times New Roman"/>
                <w:sz w:val="13"/>
                <w:szCs w:val="13"/>
                <w:color w:val="auto"/>
              </w:rPr>
              <w:t>LFG</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50%</w:t>
            </w:r>
          </w:p>
        </w:tc>
        <w:tc>
          <w:tcPr>
            <w:tcW w:w="1600" w:type="dxa"/>
            <w:vAlign w:val="bottom"/>
            <w:shd w:val="clear" w:color="auto" w:fill="CCEEFF"/>
          </w:tcPr>
          <w:p>
            <w:pPr>
              <w:jc w:val="center"/>
              <w:ind w:left="14"/>
              <w:spacing w:after="0"/>
              <w:rPr>
                <w:sz w:val="20"/>
                <w:szCs w:val="20"/>
                <w:color w:val="auto"/>
              </w:rPr>
            </w:pPr>
            <w:r>
              <w:rPr>
                <w:rFonts w:ascii="Times New Roman" w:cs="Times New Roman" w:eastAsia="Times New Roman" w:hAnsi="Times New Roman"/>
                <w:sz w:val="13"/>
                <w:szCs w:val="13"/>
                <w:color w:val="auto"/>
              </w:rPr>
              <w:t>Mid 2025</w:t>
            </w:r>
          </w:p>
        </w:tc>
        <w:tc>
          <w:tcPr>
            <w:tcW w:w="0" w:type="dxa"/>
            <w:vAlign w:val="bottom"/>
          </w:tcPr>
          <w:p>
            <w:pPr>
              <w:spacing w:after="0"/>
              <w:rPr>
                <w:sz w:val="1"/>
                <w:szCs w:val="1"/>
                <w:color w:val="auto"/>
              </w:rPr>
            </w:pPr>
          </w:p>
        </w:tc>
      </w:tr>
      <w:tr>
        <w:trPr>
          <w:trHeight w:val="160"/>
        </w:trPr>
        <w:tc>
          <w:tcPr>
            <w:tcW w:w="4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Sub total</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4,424,351</w:t>
            </w:r>
          </w:p>
        </w:tc>
        <w:tc>
          <w:tcPr>
            <w:tcW w:w="1180" w:type="dxa"/>
            <w:vAlign w:val="bottom"/>
            <w:tcBorders>
              <w:bottom w:val="single" w:sz="8" w:color="CCEEFF"/>
            </w:tcBorders>
          </w:tcPr>
          <w:p>
            <w:pPr>
              <w:spacing w:after="0"/>
              <w:rPr>
                <w:sz w:val="13"/>
                <w:szCs w:val="13"/>
                <w:color w:val="auto"/>
              </w:rPr>
            </w:pPr>
          </w:p>
        </w:tc>
        <w:tc>
          <w:tcPr>
            <w:tcW w:w="1160" w:type="dxa"/>
            <w:vAlign w:val="bottom"/>
            <w:tcBorders>
              <w:bottom w:val="single" w:sz="8" w:color="CCEEFF"/>
            </w:tcBorders>
          </w:tcPr>
          <w:p>
            <w:pPr>
              <w:spacing w:after="0"/>
              <w:rPr>
                <w:sz w:val="13"/>
                <w:szCs w:val="13"/>
                <w:color w:val="auto"/>
              </w:rPr>
            </w:pPr>
          </w:p>
        </w:tc>
        <w:tc>
          <w:tcPr>
            <w:tcW w:w="16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520" w:type="dxa"/>
            <w:vAlign w:val="bottom"/>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45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9,668,592</w:t>
            </w:r>
          </w:p>
        </w:tc>
        <w:tc>
          <w:tcPr>
            <w:tcW w:w="1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p>
      <w:pPr>
        <w:jc w:val="both"/>
        <w:spacing w:after="0" w:line="239" w:lineRule="auto"/>
        <w:tabs>
          <w:tab w:leader="none" w:pos="134" w:val="left"/>
        </w:tabs>
        <w:numPr>
          <w:ilvl w:val="0"/>
          <w:numId w:val="35"/>
        </w:numPr>
        <w:rPr>
          <w:rFonts w:ascii="Times New Roman" w:cs="Times New Roman" w:eastAsia="Times New Roman" w:hAnsi="Times New Roman"/>
          <w:sz w:val="17"/>
          <w:szCs w:val="17"/>
          <w:b w:val="1"/>
          <w:bCs w:val="1"/>
          <w:color w:val="auto"/>
          <w:vertAlign w:val="superscript"/>
        </w:rPr>
      </w:pPr>
      <w:r>
        <w:rPr>
          <w:rFonts w:ascii="Times New Roman" w:cs="Times New Roman" w:eastAsia="Times New Roman" w:hAnsi="Times New Roman"/>
          <w:sz w:val="13"/>
          <w:szCs w:val="13"/>
          <w:color w:val="auto"/>
        </w:rPr>
        <w:t>Reflects the Company’s ownership share of design capacity for projects that are not 100% owned by the Company (i.e., net of joint venture partners’ ownership). Design capacity is measured as the volume of feedstock biogas that the plant is capable of accepting at the inlet and processing and may not reflect actual production of RNG from the projects, which will depend on many variables including, but not limited to, (i) quantity and quality of the biogas, (ii) operational up-time of the facility and (iii) actual efficiency of the facility.</w:t>
      </w:r>
    </w:p>
    <w:p>
      <w:pPr>
        <w:spacing w:after="0" w:line="148" w:lineRule="exact"/>
        <w:rPr>
          <w:rFonts w:ascii="Times New Roman" w:cs="Times New Roman" w:eastAsia="Times New Roman" w:hAnsi="Times New Roman"/>
          <w:sz w:val="17"/>
          <w:szCs w:val="17"/>
          <w:b w:val="1"/>
          <w:bCs w:val="1"/>
          <w:color w:val="auto"/>
          <w:vertAlign w:val="superscript"/>
        </w:rPr>
      </w:pPr>
    </w:p>
    <w:p>
      <w:pPr>
        <w:ind w:left="120" w:hanging="120"/>
        <w:spacing w:after="0"/>
        <w:tabs>
          <w:tab w:leader="none" w:pos="120" w:val="left"/>
        </w:tabs>
        <w:numPr>
          <w:ilvl w:val="0"/>
          <w:numId w:val="35"/>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2"/>
          <w:szCs w:val="12"/>
          <w:color w:val="auto"/>
        </w:rPr>
        <w:t>We record our ownership interests in these projects as equity method investments in our consolidated financial statements.</w:t>
      </w:r>
    </w:p>
    <w:p>
      <w:pPr>
        <w:spacing w:after="0" w:line="147" w:lineRule="exact"/>
        <w:rPr>
          <w:rFonts w:ascii="Times New Roman" w:cs="Times New Roman" w:eastAsia="Times New Roman" w:hAnsi="Times New Roman"/>
          <w:sz w:val="15"/>
          <w:szCs w:val="15"/>
          <w:color w:val="auto"/>
          <w:vertAlign w:val="superscript"/>
        </w:rPr>
      </w:pPr>
    </w:p>
    <w:p>
      <w:pPr>
        <w:spacing w:after="0" w:line="279" w:lineRule="auto"/>
        <w:tabs>
          <w:tab w:leader="none" w:pos="123" w:val="left"/>
        </w:tabs>
        <w:numPr>
          <w:ilvl w:val="0"/>
          <w:numId w:val="35"/>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2"/>
          <w:szCs w:val="12"/>
          <w:color w:val="auto"/>
        </w:rPr>
        <w:t>This project has provisions that will adjust or “flip” the percentage of distributions to be made to us over time, typically triggered by achievement of hurdle rates that are calculated as internal rates of return on capital invested in the project.</w:t>
      </w:r>
    </w:p>
    <w:p>
      <w:pPr>
        <w:spacing w:after="0" w:line="119" w:lineRule="exact"/>
        <w:rPr>
          <w:rFonts w:ascii="Times New Roman" w:cs="Times New Roman" w:eastAsia="Times New Roman" w:hAnsi="Times New Roman"/>
          <w:sz w:val="15"/>
          <w:szCs w:val="15"/>
          <w:color w:val="auto"/>
          <w:vertAlign w:val="superscript"/>
        </w:rPr>
      </w:pPr>
    </w:p>
    <w:p>
      <w:pPr>
        <w:ind w:left="120" w:hanging="120"/>
        <w:spacing w:after="0"/>
        <w:tabs>
          <w:tab w:leader="none" w:pos="120" w:val="left"/>
        </w:tabs>
        <w:numPr>
          <w:ilvl w:val="0"/>
          <w:numId w:val="35"/>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2"/>
          <w:szCs w:val="12"/>
          <w:color w:val="auto"/>
        </w:rPr>
        <w:t>Prince William completed construction and commenced the start-up phase of operations in April 2024.</w:t>
      </w:r>
    </w:p>
    <w:p>
      <w:pPr>
        <w:spacing w:after="0" w:line="147" w:lineRule="exact"/>
        <w:rPr>
          <w:rFonts w:ascii="Times New Roman" w:cs="Times New Roman" w:eastAsia="Times New Roman" w:hAnsi="Times New Roman"/>
          <w:sz w:val="15"/>
          <w:szCs w:val="15"/>
          <w:color w:val="auto"/>
          <w:vertAlign w:val="superscript"/>
        </w:rPr>
      </w:pPr>
    </w:p>
    <w:p>
      <w:pPr>
        <w:spacing w:after="0" w:line="279" w:lineRule="auto"/>
        <w:tabs>
          <w:tab w:leader="none" w:pos="123" w:val="left"/>
        </w:tabs>
        <w:numPr>
          <w:ilvl w:val="0"/>
          <w:numId w:val="35"/>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2"/>
          <w:szCs w:val="12"/>
          <w:color w:val="auto"/>
        </w:rPr>
        <w:t>Expected Commercial Operation Date (“COD”) for commencement of the RNG projects in construction is based on the Company’s estimate as of the date of this report. CODs are estimates and are subject to change as a result of, among other factors out of the Company’s control: (i) regulatory/permitting approval timing, (ii) disruption in supply chains and (iii) construction timing.</w:t>
      </w:r>
    </w:p>
    <w:p>
      <w:pPr>
        <w:spacing w:after="0" w:line="117" w:lineRule="exact"/>
        <w:rPr>
          <w:rFonts w:ascii="Times New Roman" w:cs="Times New Roman" w:eastAsia="Times New Roman" w:hAnsi="Times New Roman"/>
          <w:sz w:val="15"/>
          <w:szCs w:val="15"/>
          <w:color w:val="auto"/>
          <w:vertAlign w:val="superscript"/>
        </w:rPr>
      </w:pPr>
    </w:p>
    <w:p>
      <w:pPr>
        <w:ind w:left="120" w:hanging="120"/>
        <w:spacing w:after="0"/>
        <w:tabs>
          <w:tab w:leader="none" w:pos="120" w:val="left"/>
        </w:tabs>
        <w:numPr>
          <w:ilvl w:val="0"/>
          <w:numId w:val="35"/>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2"/>
          <w:szCs w:val="12"/>
          <w:color w:val="auto"/>
        </w:rPr>
        <w:t xml:space="preserve">Please see Part II, Item 1: Legal Proceedings and Note 17 - </w:t>
      </w:r>
      <w:r>
        <w:rPr>
          <w:rFonts w:ascii="Times New Roman" w:cs="Times New Roman" w:eastAsia="Times New Roman" w:hAnsi="Times New Roman"/>
          <w:sz w:val="12"/>
          <w:szCs w:val="12"/>
          <w:i w:val="1"/>
          <w:iCs w:val="1"/>
          <w:color w:val="auto"/>
        </w:rPr>
        <w:t>Commitments and Contingencies</w:t>
      </w:r>
      <w:r>
        <w:rPr>
          <w:rFonts w:ascii="Times New Roman" w:cs="Times New Roman" w:eastAsia="Times New Roman" w:hAnsi="Times New Roman"/>
          <w:sz w:val="12"/>
          <w:szCs w:val="12"/>
          <w:color w:val="auto"/>
        </w:rPr>
        <w:t xml:space="preserve"> to the financial statements.</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167640</wp:posOffset>
            </wp:positionV>
            <wp:extent cx="7193280"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901" w:right="3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3"/>
          <w:szCs w:val="13"/>
          <w:b w:val="1"/>
          <w:bCs w:val="1"/>
          <w:color w:val="auto"/>
        </w:rPr>
        <w:t>Renewable Power Projects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Below is a table setting forth the Renewable Power projects in operation in our portfolio:</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280" w:type="dxa"/>
            <w:vAlign w:val="bottom"/>
            <w:shd w:val="clear" w:color="auto" w:fill="CCEEFF"/>
          </w:tcPr>
          <w:p>
            <w:pPr>
              <w:spacing w:after="0"/>
              <w:rPr>
                <w:sz w:val="15"/>
                <w:szCs w:val="15"/>
                <w:color w:val="auto"/>
              </w:rPr>
            </w:pPr>
          </w:p>
        </w:tc>
        <w:tc>
          <w:tcPr>
            <w:tcW w:w="18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rPr>
              <w:t>Nameplate capacity (MW per</w:t>
            </w: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rPr>
              <w:t>Current RNG conversion candidate</w:t>
            </w:r>
          </w:p>
        </w:tc>
      </w:tr>
      <w:tr>
        <w:trPr>
          <w:trHeight w:val="130"/>
        </w:trPr>
        <w:tc>
          <w:tcPr>
            <w:tcW w:w="6280" w:type="dxa"/>
            <w:vAlign w:val="bottom"/>
            <w:shd w:val="clear" w:color="auto" w:fill="CCEEFF"/>
          </w:tcPr>
          <w:p>
            <w:pPr>
              <w:spacing w:after="0"/>
              <w:rPr>
                <w:sz w:val="11"/>
                <w:szCs w:val="11"/>
                <w:color w:val="auto"/>
              </w:rPr>
            </w:pPr>
          </w:p>
        </w:tc>
        <w:tc>
          <w:tcPr>
            <w:tcW w:w="1860" w:type="dxa"/>
            <w:vAlign w:val="bottom"/>
            <w:tcBorders>
              <w:bottom w:val="single" w:sz="8" w:color="auto"/>
            </w:tcBorders>
            <w:shd w:val="clear" w:color="auto" w:fill="CCEEFF"/>
          </w:tcPr>
          <w:p>
            <w:pPr>
              <w:jc w:val="right"/>
              <w:ind w:right="634"/>
              <w:spacing w:after="0" w:line="131" w:lineRule="exact"/>
              <w:rPr>
                <w:sz w:val="20"/>
                <w:szCs w:val="20"/>
                <w:color w:val="auto"/>
              </w:rPr>
            </w:pPr>
            <w:r>
              <w:rPr>
                <w:rFonts w:ascii="Times New Roman" w:cs="Times New Roman" w:eastAsia="Times New Roman" w:hAnsi="Times New Roman"/>
                <w:sz w:val="12"/>
                <w:szCs w:val="12"/>
                <w:b w:val="1"/>
                <w:bCs w:val="1"/>
                <w:color w:val="auto"/>
              </w:rPr>
              <w:t xml:space="preserve">hour) </w:t>
            </w:r>
            <w:r>
              <w:rPr>
                <w:rFonts w:ascii="Times New Roman" w:cs="Times New Roman" w:eastAsia="Times New Roman" w:hAnsi="Times New Roman"/>
                <w:sz w:val="15"/>
                <w:szCs w:val="15"/>
                <w:b w:val="1"/>
                <w:bCs w:val="1"/>
                <w:color w:val="auto"/>
                <w:vertAlign w:val="superscript"/>
              </w:rPr>
              <w:t>(1)</w:t>
            </w:r>
          </w:p>
        </w:tc>
        <w:tc>
          <w:tcPr>
            <w:tcW w:w="21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9"/>
                <w:szCs w:val="9"/>
                <w:b w:val="1"/>
                <w:bCs w:val="1"/>
                <w:color w:val="auto"/>
                <w:w w:val="94"/>
              </w:rPr>
              <w:t>(2)</w:t>
            </w:r>
          </w:p>
        </w:tc>
      </w:tr>
      <w:tr>
        <w:trPr>
          <w:trHeight w:val="150"/>
        </w:trPr>
        <w:tc>
          <w:tcPr>
            <w:tcW w:w="62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Renewable Power Projects in operation:</w:t>
            </w:r>
          </w:p>
        </w:tc>
        <w:tc>
          <w:tcPr>
            <w:tcW w:w="1860" w:type="dxa"/>
            <w:vAlign w:val="bottom"/>
          </w:tcPr>
          <w:p>
            <w:pPr>
              <w:spacing w:after="0"/>
              <w:rPr>
                <w:sz w:val="13"/>
                <w:szCs w:val="13"/>
                <w:color w:val="auto"/>
              </w:rPr>
            </w:pPr>
          </w:p>
        </w:tc>
        <w:tc>
          <w:tcPr>
            <w:tcW w:w="2120" w:type="dxa"/>
            <w:vAlign w:val="bottom"/>
          </w:tcPr>
          <w:p>
            <w:pPr>
              <w:spacing w:after="0"/>
              <w:rPr>
                <w:sz w:val="13"/>
                <w:szCs w:val="13"/>
                <w:color w:val="auto"/>
              </w:rPr>
            </w:pPr>
          </w:p>
        </w:tc>
      </w:tr>
      <w:tr>
        <w:trPr>
          <w:trHeight w:val="17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Sycamore</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Yes</w:t>
            </w:r>
          </w:p>
        </w:tc>
      </w:tr>
      <w:tr>
        <w:trPr>
          <w:trHeight w:val="170"/>
        </w:trPr>
        <w:tc>
          <w:tcPr>
            <w:tcW w:w="6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Lopez</w:t>
            </w:r>
          </w:p>
        </w:tc>
        <w:tc>
          <w:tcPr>
            <w:tcW w:w="1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21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Miramar Energy</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Yes</w:t>
            </w:r>
          </w:p>
        </w:tc>
      </w:tr>
      <w:tr>
        <w:trPr>
          <w:trHeight w:val="170"/>
        </w:trPr>
        <w:tc>
          <w:tcPr>
            <w:tcW w:w="6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San Marcos</w:t>
            </w:r>
          </w:p>
        </w:tc>
        <w:tc>
          <w:tcPr>
            <w:tcW w:w="1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21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Santa Cruz</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6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San Diego - Miramar</w:t>
            </w:r>
          </w:p>
        </w:tc>
        <w:tc>
          <w:tcPr>
            <w:tcW w:w="1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21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Yes</w:t>
            </w:r>
          </w:p>
        </w:tc>
      </w:tr>
      <w:tr>
        <w:trPr>
          <w:trHeight w:val="17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West Covina</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6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Port Charlotte</w:t>
            </w:r>
          </w:p>
        </w:tc>
        <w:tc>
          <w:tcPr>
            <w:tcW w:w="1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21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Taunton</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6280" w:type="dxa"/>
            <w:vAlign w:val="bottom"/>
          </w:tcPr>
          <w:p>
            <w:pPr>
              <w:ind w:left="20"/>
              <w:spacing w:after="0" w:line="170" w:lineRule="exact"/>
              <w:rPr>
                <w:sz w:val="20"/>
                <w:szCs w:val="20"/>
                <w:color w:val="auto"/>
              </w:rPr>
            </w:pPr>
            <w:r>
              <w:rPr>
                <w:rFonts w:ascii="Times New Roman" w:cs="Times New Roman" w:eastAsia="Times New Roman" w:hAnsi="Times New Roman"/>
                <w:sz w:val="13"/>
                <w:szCs w:val="13"/>
                <w:color w:val="auto"/>
              </w:rPr>
              <w:t xml:space="preserve">Arbor Hills </w:t>
            </w:r>
            <w:r>
              <w:rPr>
                <w:rFonts w:ascii="Times New Roman" w:cs="Times New Roman" w:eastAsia="Times New Roman" w:hAnsi="Times New Roman"/>
                <w:sz w:val="17"/>
                <w:szCs w:val="17"/>
                <w:color w:val="auto"/>
                <w:vertAlign w:val="superscript"/>
              </w:rPr>
              <w:t>(3)</w:t>
            </w:r>
          </w:p>
        </w:tc>
        <w:tc>
          <w:tcPr>
            <w:tcW w:w="1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28.9</w:t>
            </w:r>
          </w:p>
        </w:tc>
        <w:tc>
          <w:tcPr>
            <w:tcW w:w="21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N/A</w:t>
            </w:r>
          </w:p>
        </w:tc>
      </w:tr>
      <w:tr>
        <w:trPr>
          <w:trHeight w:val="17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C&amp;C</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Yes</w:t>
            </w:r>
          </w:p>
        </w:tc>
      </w:tr>
      <w:tr>
        <w:trPr>
          <w:trHeight w:val="170"/>
        </w:trPr>
        <w:tc>
          <w:tcPr>
            <w:tcW w:w="6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Albany</w:t>
            </w:r>
          </w:p>
        </w:tc>
        <w:tc>
          <w:tcPr>
            <w:tcW w:w="1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21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Concord and CMS</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w:t>
            </w: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Yes</w:t>
            </w:r>
          </w:p>
        </w:tc>
      </w:tr>
      <w:tr>
        <w:trPr>
          <w:trHeight w:val="170"/>
        </w:trPr>
        <w:tc>
          <w:tcPr>
            <w:tcW w:w="6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Pioneer</w:t>
            </w:r>
          </w:p>
        </w:tc>
        <w:tc>
          <w:tcPr>
            <w:tcW w:w="1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21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Old Dominion</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Yes</w:t>
            </w:r>
          </w:p>
        </w:tc>
      </w:tr>
      <w:tr>
        <w:trPr>
          <w:trHeight w:val="160"/>
        </w:trPr>
        <w:tc>
          <w:tcPr>
            <w:tcW w:w="62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105.8</w:t>
            </w:r>
          </w:p>
        </w:tc>
        <w:tc>
          <w:tcPr>
            <w:tcW w:w="2120" w:type="dxa"/>
            <w:vAlign w:val="bottom"/>
          </w:tcPr>
          <w:p>
            <w:pPr>
              <w:spacing w:after="0"/>
              <w:rPr>
                <w:sz w:val="13"/>
                <w:szCs w:val="13"/>
                <w:color w:val="auto"/>
              </w:rPr>
            </w:pPr>
          </w:p>
        </w:tc>
      </w:tr>
      <w:tr>
        <w:trPr>
          <w:trHeight w:val="20"/>
        </w:trPr>
        <w:tc>
          <w:tcPr>
            <w:tcW w:w="628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CCEEFF"/>
            </w:tcBorders>
          </w:tcPr>
          <w:p>
            <w:pPr>
              <w:spacing w:after="0" w:line="20" w:lineRule="exact"/>
              <w:rPr>
                <w:sz w:val="1"/>
                <w:szCs w:val="1"/>
                <w:color w:val="auto"/>
              </w:rPr>
            </w:pPr>
          </w:p>
        </w:tc>
      </w:tr>
      <w:tr>
        <w:trPr>
          <w:trHeight w:val="130"/>
        </w:trPr>
        <w:tc>
          <w:tcPr>
            <w:tcW w:w="6280" w:type="dxa"/>
            <w:vAlign w:val="bottom"/>
            <w:shd w:val="clear" w:color="auto" w:fill="CCEEFF"/>
          </w:tcPr>
          <w:p>
            <w:pPr>
              <w:ind w:left="20"/>
              <w:spacing w:after="0" w:line="130" w:lineRule="exact"/>
              <w:rPr>
                <w:sz w:val="20"/>
                <w:szCs w:val="20"/>
                <w:color w:val="auto"/>
              </w:rPr>
            </w:pPr>
            <w:r>
              <w:rPr>
                <w:rFonts w:ascii="Times New Roman" w:cs="Times New Roman" w:eastAsia="Times New Roman" w:hAnsi="Times New Roman"/>
                <w:sz w:val="13"/>
                <w:szCs w:val="13"/>
                <w:b w:val="1"/>
                <w:bCs w:val="1"/>
                <w:color w:val="auto"/>
              </w:rPr>
              <w:t>Renewable Power projects in construction:</w:t>
            </w:r>
          </w:p>
        </w:tc>
        <w:tc>
          <w:tcPr>
            <w:tcW w:w="1860" w:type="dxa"/>
            <w:vAlign w:val="bottom"/>
            <w:shd w:val="clear" w:color="auto" w:fill="CCEEFF"/>
          </w:tcPr>
          <w:p>
            <w:pPr>
              <w:spacing w:after="0"/>
              <w:rPr>
                <w:sz w:val="11"/>
                <w:szCs w:val="11"/>
                <w:color w:val="auto"/>
              </w:rPr>
            </w:pPr>
          </w:p>
        </w:tc>
        <w:tc>
          <w:tcPr>
            <w:tcW w:w="2120" w:type="dxa"/>
            <w:vAlign w:val="bottom"/>
            <w:shd w:val="clear" w:color="auto" w:fill="CCEEFF"/>
          </w:tcPr>
          <w:p>
            <w:pPr>
              <w:spacing w:after="0"/>
              <w:rPr>
                <w:sz w:val="11"/>
                <w:szCs w:val="11"/>
                <w:color w:val="auto"/>
              </w:rPr>
            </w:pPr>
          </w:p>
        </w:tc>
      </w:tr>
      <w:tr>
        <w:trPr>
          <w:trHeight w:val="170"/>
        </w:trPr>
        <w:tc>
          <w:tcPr>
            <w:tcW w:w="6280" w:type="dxa"/>
            <w:vAlign w:val="bottom"/>
          </w:tcPr>
          <w:p>
            <w:pPr>
              <w:ind w:left="20"/>
              <w:spacing w:after="0" w:line="170" w:lineRule="exact"/>
              <w:rPr>
                <w:sz w:val="20"/>
                <w:szCs w:val="20"/>
                <w:color w:val="auto"/>
              </w:rPr>
            </w:pPr>
            <w:r>
              <w:rPr>
                <w:rFonts w:ascii="Times New Roman" w:cs="Times New Roman" w:eastAsia="Times New Roman" w:hAnsi="Times New Roman"/>
                <w:sz w:val="13"/>
                <w:szCs w:val="13"/>
                <w:color w:val="auto"/>
              </w:rPr>
              <w:t xml:space="preserve">Fall River </w:t>
            </w:r>
            <w:r>
              <w:rPr>
                <w:rFonts w:ascii="Times New Roman" w:cs="Times New Roman" w:eastAsia="Times New Roman" w:hAnsi="Times New Roman"/>
                <w:sz w:val="17"/>
                <w:szCs w:val="17"/>
                <w:color w:val="auto"/>
                <w:vertAlign w:val="superscript"/>
              </w:rPr>
              <w:t>(4)</w:t>
            </w:r>
          </w:p>
        </w:tc>
        <w:tc>
          <w:tcPr>
            <w:tcW w:w="1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21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r>
      <w:tr>
        <w:trPr>
          <w:trHeight w:val="200"/>
        </w:trPr>
        <w:tc>
          <w:tcPr>
            <w:tcW w:w="628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r>
    </w:tbl>
    <w:p>
      <w:pPr>
        <w:spacing w:after="0" w:line="217" w:lineRule="exact"/>
        <w:rPr>
          <w:sz w:val="20"/>
          <w:szCs w:val="20"/>
          <w:color w:val="auto"/>
        </w:rPr>
      </w:pPr>
    </w:p>
    <w:p>
      <w:pPr>
        <w:spacing w:after="0" w:line="231" w:lineRule="auto"/>
        <w:tabs>
          <w:tab w:leader="none" w:pos="144" w:val="left"/>
        </w:tabs>
        <w:numPr>
          <w:ilvl w:val="0"/>
          <w:numId w:val="3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Nameplate capacity is the manufacturer’s expected capacity at ISO conditions for each facility and may not reflect actual production from the projects, which depends on many variables including, but not limited to, (i) quantity and quality of the biogas, (ii) operational up-time of the facility and (iii) actual productivity of the facility.</w:t>
      </w:r>
    </w:p>
    <w:p>
      <w:pPr>
        <w:spacing w:after="0" w:line="168" w:lineRule="exact"/>
        <w:rPr>
          <w:rFonts w:ascii="Times New Roman" w:cs="Times New Roman" w:eastAsia="Times New Roman" w:hAnsi="Times New Roman"/>
          <w:sz w:val="17"/>
          <w:szCs w:val="17"/>
          <w:color w:val="auto"/>
          <w:vertAlign w:val="superscript"/>
        </w:rPr>
      </w:pPr>
    </w:p>
    <w:p>
      <w:pPr>
        <w:jc w:val="both"/>
        <w:spacing w:after="0" w:line="244" w:lineRule="auto"/>
        <w:tabs>
          <w:tab w:leader="none" w:pos="133" w:val="left"/>
        </w:tabs>
        <w:numPr>
          <w:ilvl w:val="0"/>
          <w:numId w:val="3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We have determined that some of our Renewable Power Projects are currently RNG conversion candidates. The Company identifies suitable RNG conversion candidates based on highest return of capital which is driven by certain factors including, but not limited to (i) the quantity and quality of LFG, (ii) the proximity to pipeline interconnect and (iii) the ability to enter into contracts, including site leases and gas rights agreements, with host sites. The Company may change its decision to convert a Renewable Power Project into an RNG project in the future. The Company believes disclosing Renewable Power conversion candidates provides visibility into the effect of those conversions on the existing Renewable Power portfolio.</w:t>
      </w:r>
    </w:p>
    <w:p>
      <w:pPr>
        <w:spacing w:after="0" w:line="143" w:lineRule="exact"/>
        <w:rPr>
          <w:rFonts w:ascii="Times New Roman" w:cs="Times New Roman" w:eastAsia="Times New Roman" w:hAnsi="Times New Roman"/>
          <w:sz w:val="17"/>
          <w:szCs w:val="17"/>
          <w:color w:val="auto"/>
          <w:vertAlign w:val="superscript"/>
        </w:rPr>
      </w:pPr>
    </w:p>
    <w:p>
      <w:pPr>
        <w:ind w:left="140" w:hanging="140"/>
        <w:spacing w:after="0"/>
        <w:tabs>
          <w:tab w:leader="none" w:pos="140" w:val="left"/>
        </w:tabs>
        <w:numPr>
          <w:ilvl w:val="0"/>
          <w:numId w:val="3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Although the RNG conversion is completed, it is currently contemplated that the Arbor Hills Renewable Power plant will continue limited operations on a stand-by, emergency basis through March of 2031.</w:t>
      </w:r>
    </w:p>
    <w:p>
      <w:pPr>
        <w:spacing w:after="0" w:line="157" w:lineRule="exact"/>
        <w:rPr>
          <w:rFonts w:ascii="Times New Roman" w:cs="Times New Roman" w:eastAsia="Times New Roman" w:hAnsi="Times New Roman"/>
          <w:sz w:val="17"/>
          <w:szCs w:val="17"/>
          <w:color w:val="auto"/>
          <w:vertAlign w:val="superscript"/>
        </w:rPr>
      </w:pPr>
    </w:p>
    <w:p>
      <w:pPr>
        <w:ind w:left="120" w:hanging="120"/>
        <w:spacing w:after="0"/>
        <w:tabs>
          <w:tab w:leader="none" w:pos="120" w:val="left"/>
        </w:tabs>
        <w:numPr>
          <w:ilvl w:val="0"/>
          <w:numId w:val="36"/>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2"/>
          <w:szCs w:val="12"/>
          <w:color w:val="auto"/>
        </w:rPr>
        <w:t>It is expected to complete construction in fourth quarter of 2024.</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Comparison of the Three Months Ended March 31, 2024, and 2023</w:t>
      </w:r>
    </w:p>
    <w:p>
      <w:pPr>
        <w:spacing w:after="0" w:line="12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 following table presents the period-over-period change for each line item in the Company's statement of operations for the three months ended March 31, 2024 and 2023.</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161290</wp:posOffset>
            </wp:positionV>
            <wp:extent cx="7193280"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883" w:right="31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173"/>
        </w:trPr>
        <w:tc>
          <w:tcPr>
            <w:tcW w:w="6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00" w:type="dxa"/>
            <w:vAlign w:val="bottom"/>
            <w:gridSpan w:val="5"/>
          </w:tcPr>
          <w:p>
            <w:pPr>
              <w:ind w:left="100"/>
              <w:spacing w:after="0"/>
              <w:rPr>
                <w:sz w:val="20"/>
                <w:szCs w:val="20"/>
                <w:color w:val="auto"/>
              </w:rPr>
            </w:pPr>
            <w:r>
              <w:rPr>
                <w:rFonts w:ascii="Times New Roman" w:cs="Times New Roman" w:eastAsia="Times New Roman" w:hAnsi="Times New Roman"/>
                <w:sz w:val="12"/>
                <w:szCs w:val="12"/>
                <w:b w:val="1"/>
                <w:bCs w:val="1"/>
                <w:color w:val="auto"/>
              </w:rPr>
              <w:t>Three Months Ended March 31,</w:t>
            </w:r>
          </w:p>
        </w:tc>
        <w:tc>
          <w:tcPr>
            <w:tcW w:w="240" w:type="dxa"/>
            <w:vAlign w:val="bottom"/>
          </w:tcPr>
          <w:p>
            <w:pPr>
              <w:spacing w:after="0"/>
              <w:rPr>
                <w:sz w:val="15"/>
                <w:szCs w:val="15"/>
                <w:color w:val="auto"/>
              </w:rPr>
            </w:pPr>
          </w:p>
        </w:tc>
        <w:tc>
          <w:tcPr>
            <w:tcW w:w="880" w:type="dxa"/>
            <w:vAlign w:val="bottom"/>
          </w:tcPr>
          <w:p>
            <w:pPr>
              <w:jc w:val="right"/>
              <w:ind w:right="460"/>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 Favorable/(Unfavorable)</w:t>
            </w:r>
          </w:p>
        </w:tc>
      </w:tr>
      <w:tr>
        <w:trPr>
          <w:trHeight w:val="149"/>
        </w:trPr>
        <w:tc>
          <w:tcPr>
            <w:tcW w:w="624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(in thousands)</w:t>
            </w:r>
          </w:p>
        </w:tc>
        <w:tc>
          <w:tcPr>
            <w:tcW w:w="1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2024</w:t>
            </w: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2023</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1520" w:type="dxa"/>
            <w:vAlign w:val="bottom"/>
          </w:tcPr>
          <w:p>
            <w:pPr>
              <w:jc w:val="right"/>
              <w:ind w:right="500"/>
              <w:spacing w:after="0"/>
              <w:rPr>
                <w:sz w:val="20"/>
                <w:szCs w:val="20"/>
                <w:color w:val="auto"/>
              </w:rPr>
            </w:pPr>
            <w:r>
              <w:rPr>
                <w:rFonts w:ascii="Times New Roman" w:cs="Times New Roman" w:eastAsia="Times New Roman" w:hAnsi="Times New Roman"/>
                <w:sz w:val="12"/>
                <w:szCs w:val="12"/>
                <w:b w:val="1"/>
                <w:bCs w:val="1"/>
                <w:color w:val="auto"/>
              </w:rPr>
              <w:t>Change</w:t>
            </w:r>
          </w:p>
        </w:tc>
      </w:tr>
      <w:tr>
        <w:trPr>
          <w:trHeight w:val="21"/>
        </w:trPr>
        <w:tc>
          <w:tcPr>
            <w:tcW w:w="6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50"/>
        </w:trPr>
        <w:tc>
          <w:tcPr>
            <w:tcW w:w="6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Revenues:</w:t>
            </w:r>
          </w:p>
        </w:tc>
        <w:tc>
          <w:tcPr>
            <w:tcW w:w="1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520" w:type="dxa"/>
            <w:vAlign w:val="bottom"/>
            <w:tcBorders>
              <w:bottom w:val="single" w:sz="8" w:color="CCEEFF"/>
            </w:tcBorders>
            <w:shd w:val="clear" w:color="auto" w:fill="CCEEFF"/>
          </w:tcPr>
          <w:p>
            <w:pPr>
              <w:spacing w:after="0"/>
              <w:rPr>
                <w:sz w:val="13"/>
                <w:szCs w:val="13"/>
                <w:color w:val="auto"/>
              </w:rPr>
            </w:pPr>
          </w:p>
        </w:tc>
      </w:tr>
      <w:tr>
        <w:trPr>
          <w:trHeight w:val="156"/>
        </w:trPr>
        <w:tc>
          <w:tcPr>
            <w:tcW w:w="6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RNG fuel</w:t>
            </w:r>
          </w:p>
        </w:tc>
        <w:tc>
          <w:tcPr>
            <w:tcW w:w="1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17,727</w:t>
            </w:r>
          </w:p>
        </w:tc>
        <w:tc>
          <w:tcPr>
            <w:tcW w:w="100" w:type="dxa"/>
            <w:vAlign w:val="bottom"/>
          </w:tcPr>
          <w:p>
            <w:pPr>
              <w:spacing w:after="0"/>
              <w:rPr>
                <w:sz w:val="13"/>
                <w:szCs w:val="13"/>
                <w:color w:val="auto"/>
              </w:rPr>
            </w:pPr>
          </w:p>
        </w:tc>
        <w:tc>
          <w:tcPr>
            <w:tcW w:w="20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6,749</w:t>
            </w:r>
          </w:p>
        </w:tc>
        <w:tc>
          <w:tcPr>
            <w:tcW w:w="100" w:type="dxa"/>
            <w:vAlign w:val="bottom"/>
          </w:tcPr>
          <w:p>
            <w:pPr>
              <w:spacing w:after="0"/>
              <w:rPr>
                <w:sz w:val="13"/>
                <w:szCs w:val="13"/>
                <w:color w:val="auto"/>
              </w:rPr>
            </w:pPr>
          </w:p>
        </w:tc>
        <w:tc>
          <w:tcPr>
            <w:tcW w:w="2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10,978</w:t>
            </w:r>
          </w:p>
        </w:tc>
        <w:tc>
          <w:tcPr>
            <w:tcW w:w="10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163 %</w:t>
            </w:r>
          </w:p>
        </w:tc>
      </w:tr>
      <w:tr>
        <w:trPr>
          <w:trHeight w:val="24"/>
        </w:trPr>
        <w:tc>
          <w:tcPr>
            <w:tcW w:w="6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160"/>
        </w:trPr>
        <w:tc>
          <w:tcPr>
            <w:tcW w:w="6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Fuel Station Services</w:t>
            </w:r>
          </w:p>
        </w:tc>
        <w:tc>
          <w:tcPr>
            <w:tcW w:w="16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37,142</w:t>
            </w:r>
          </w:p>
        </w:tc>
        <w:tc>
          <w:tcPr>
            <w:tcW w:w="1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20,828</w:t>
            </w: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16,314</w:t>
            </w:r>
          </w:p>
        </w:tc>
        <w:tc>
          <w:tcPr>
            <w:tcW w:w="100" w:type="dxa"/>
            <w:vAlign w:val="bottom"/>
            <w:tcBorders>
              <w:bottom w:val="single" w:sz="8" w:color="CCEEFF"/>
            </w:tcBorders>
            <w:shd w:val="clear" w:color="auto" w:fill="CCEEFF"/>
          </w:tcPr>
          <w:p>
            <w:pPr>
              <w:spacing w:after="0"/>
              <w:rPr>
                <w:sz w:val="13"/>
                <w:szCs w:val="1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78 %</w:t>
            </w:r>
          </w:p>
        </w:tc>
      </w:tr>
      <w:tr>
        <w:trPr>
          <w:trHeight w:val="156"/>
        </w:trPr>
        <w:tc>
          <w:tcPr>
            <w:tcW w:w="6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Renewable Power</w:t>
            </w:r>
          </w:p>
        </w:tc>
        <w:tc>
          <w:tcPr>
            <w:tcW w:w="1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10,083</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15,380</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(5,297)</w:t>
            </w:r>
          </w:p>
        </w:tc>
        <w:tc>
          <w:tcPr>
            <w:tcW w:w="10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w:t>
            </w:r>
          </w:p>
        </w:tc>
      </w:tr>
      <w:tr>
        <w:trPr>
          <w:trHeight w:val="24"/>
        </w:trPr>
        <w:tc>
          <w:tcPr>
            <w:tcW w:w="6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170"/>
        </w:trPr>
        <w:tc>
          <w:tcPr>
            <w:tcW w:w="6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Total revenues</w:t>
            </w:r>
          </w:p>
        </w:tc>
        <w:tc>
          <w:tcPr>
            <w:tcW w:w="16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64,952</w:t>
            </w: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42,957</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21,995</w:t>
            </w:r>
          </w:p>
        </w:tc>
        <w:tc>
          <w:tcPr>
            <w:tcW w:w="100" w:type="dxa"/>
            <w:vAlign w:val="bottom"/>
            <w:tcBorders>
              <w:bottom w:val="single" w:sz="8" w:color="CCEEFF"/>
            </w:tcBorders>
            <w:shd w:val="clear" w:color="auto" w:fill="CCEEFF"/>
          </w:tcPr>
          <w:p>
            <w:pPr>
              <w:spacing w:after="0"/>
              <w:rPr>
                <w:sz w:val="14"/>
                <w:szCs w:val="14"/>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51 %</w:t>
            </w:r>
          </w:p>
        </w:tc>
      </w:tr>
      <w:tr>
        <w:trPr>
          <w:trHeight w:val="139"/>
        </w:trPr>
        <w:tc>
          <w:tcPr>
            <w:tcW w:w="624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Operating expenses:</w:t>
            </w:r>
          </w:p>
        </w:tc>
        <w:tc>
          <w:tcPr>
            <w:tcW w:w="1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Borders>
              <w:top w:val="single" w:sz="8" w:color="auto"/>
            </w:tcBorders>
          </w:tcPr>
          <w:p>
            <w:pPr>
              <w:spacing w:after="0"/>
              <w:rPr>
                <w:sz w:val="12"/>
                <w:szCs w:val="12"/>
                <w:color w:val="auto"/>
              </w:rPr>
            </w:pPr>
          </w:p>
        </w:tc>
      </w:tr>
      <w:tr>
        <w:trPr>
          <w:trHeight w:val="21"/>
        </w:trPr>
        <w:tc>
          <w:tcPr>
            <w:tcW w:w="6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60"/>
        </w:trPr>
        <w:tc>
          <w:tcPr>
            <w:tcW w:w="6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Cost of sales - RNG fuel</w:t>
            </w:r>
          </w:p>
        </w:tc>
        <w:tc>
          <w:tcPr>
            <w:tcW w:w="16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8,338</w:t>
            </w:r>
          </w:p>
        </w:tc>
        <w:tc>
          <w:tcPr>
            <w:tcW w:w="1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6,038</w:t>
            </w: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2,300</w:t>
            </w:r>
          </w:p>
        </w:tc>
        <w:tc>
          <w:tcPr>
            <w:tcW w:w="100" w:type="dxa"/>
            <w:vAlign w:val="bottom"/>
            <w:tcBorders>
              <w:bottom w:val="single" w:sz="8" w:color="CCEEFF"/>
            </w:tcBorders>
            <w:shd w:val="clear" w:color="auto" w:fill="CCEEFF"/>
          </w:tcPr>
          <w:p>
            <w:pPr>
              <w:spacing w:after="0"/>
              <w:rPr>
                <w:sz w:val="13"/>
                <w:szCs w:val="1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w:t>
            </w:r>
          </w:p>
        </w:tc>
      </w:tr>
      <w:tr>
        <w:trPr>
          <w:trHeight w:val="156"/>
        </w:trPr>
        <w:tc>
          <w:tcPr>
            <w:tcW w:w="6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Cost of sales - Fuel Station Services</w:t>
            </w:r>
          </w:p>
        </w:tc>
        <w:tc>
          <w:tcPr>
            <w:tcW w:w="1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30,335</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20,292</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10,043</w:t>
            </w:r>
          </w:p>
        </w:tc>
        <w:tc>
          <w:tcPr>
            <w:tcW w:w="10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w:t>
            </w:r>
          </w:p>
        </w:tc>
      </w:tr>
      <w:tr>
        <w:trPr>
          <w:trHeight w:val="24"/>
        </w:trPr>
        <w:tc>
          <w:tcPr>
            <w:tcW w:w="6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160"/>
        </w:trPr>
        <w:tc>
          <w:tcPr>
            <w:tcW w:w="6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Cost of sales - Renewable Power</w:t>
            </w:r>
          </w:p>
        </w:tc>
        <w:tc>
          <w:tcPr>
            <w:tcW w:w="16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9,258</w:t>
            </w:r>
          </w:p>
        </w:tc>
        <w:tc>
          <w:tcPr>
            <w:tcW w:w="1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8,378</w:t>
            </w: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880</w:t>
            </w:r>
          </w:p>
        </w:tc>
        <w:tc>
          <w:tcPr>
            <w:tcW w:w="100" w:type="dxa"/>
            <w:vAlign w:val="bottom"/>
            <w:tcBorders>
              <w:bottom w:val="single" w:sz="8" w:color="CCEEFF"/>
            </w:tcBorders>
            <w:shd w:val="clear" w:color="auto" w:fill="CCEEFF"/>
          </w:tcPr>
          <w:p>
            <w:pPr>
              <w:spacing w:after="0"/>
              <w:rPr>
                <w:sz w:val="13"/>
                <w:szCs w:val="1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w:t>
            </w:r>
          </w:p>
        </w:tc>
      </w:tr>
      <w:tr>
        <w:trPr>
          <w:trHeight w:val="156"/>
        </w:trPr>
        <w:tc>
          <w:tcPr>
            <w:tcW w:w="6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Project development and start up costs</w:t>
            </w:r>
          </w:p>
        </w:tc>
        <w:tc>
          <w:tcPr>
            <w:tcW w:w="1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785</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1,883</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(1,098)</w:t>
            </w:r>
          </w:p>
        </w:tc>
        <w:tc>
          <w:tcPr>
            <w:tcW w:w="10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58 %</w:t>
            </w:r>
          </w:p>
        </w:tc>
      </w:tr>
      <w:tr>
        <w:trPr>
          <w:trHeight w:val="24"/>
        </w:trPr>
        <w:tc>
          <w:tcPr>
            <w:tcW w:w="6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160"/>
        </w:trPr>
        <w:tc>
          <w:tcPr>
            <w:tcW w:w="6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Selling, general, and administrative</w:t>
            </w:r>
          </w:p>
        </w:tc>
        <w:tc>
          <w:tcPr>
            <w:tcW w:w="16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13,161</w:t>
            </w:r>
          </w:p>
        </w:tc>
        <w:tc>
          <w:tcPr>
            <w:tcW w:w="1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14,074</w:t>
            </w: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(913)</w:t>
            </w:r>
          </w:p>
        </w:tc>
        <w:tc>
          <w:tcPr>
            <w:tcW w:w="100" w:type="dxa"/>
            <w:vAlign w:val="bottom"/>
            <w:tcBorders>
              <w:bottom w:val="single" w:sz="8" w:color="CCEEFF"/>
            </w:tcBorders>
            <w:shd w:val="clear" w:color="auto" w:fill="CCEEFF"/>
          </w:tcPr>
          <w:p>
            <w:pPr>
              <w:spacing w:after="0"/>
              <w:rPr>
                <w:sz w:val="13"/>
                <w:szCs w:val="1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6 %</w:t>
            </w:r>
          </w:p>
        </w:tc>
      </w:tr>
      <w:tr>
        <w:trPr>
          <w:trHeight w:val="156"/>
        </w:trPr>
        <w:tc>
          <w:tcPr>
            <w:tcW w:w="6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Depreciation, amortization, and accretion</w:t>
            </w:r>
          </w:p>
        </w:tc>
        <w:tc>
          <w:tcPr>
            <w:tcW w:w="1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3,711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3,567</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144</w:t>
            </w:r>
          </w:p>
        </w:tc>
        <w:tc>
          <w:tcPr>
            <w:tcW w:w="10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w:t>
            </w:r>
          </w:p>
        </w:tc>
      </w:tr>
      <w:tr>
        <w:trPr>
          <w:trHeight w:val="24"/>
        </w:trPr>
        <w:tc>
          <w:tcPr>
            <w:tcW w:w="6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180"/>
        </w:trPr>
        <w:tc>
          <w:tcPr>
            <w:tcW w:w="6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Income from equity method investments</w:t>
            </w:r>
          </w:p>
        </w:tc>
        <w:tc>
          <w:tcPr>
            <w:tcW w:w="16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(4,206)</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(705)</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(3,501)</w:t>
            </w:r>
          </w:p>
        </w:tc>
        <w:tc>
          <w:tcPr>
            <w:tcW w:w="10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497 %</w:t>
            </w:r>
          </w:p>
        </w:tc>
      </w:tr>
      <w:tr>
        <w:trPr>
          <w:trHeight w:val="146"/>
        </w:trPr>
        <w:tc>
          <w:tcPr>
            <w:tcW w:w="624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Total expenses</w:t>
            </w:r>
          </w:p>
        </w:tc>
        <w:tc>
          <w:tcPr>
            <w:tcW w:w="1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61,382</w:t>
            </w: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53,527</w:t>
            </w: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7,855</w:t>
            </w:r>
          </w:p>
        </w:tc>
        <w:tc>
          <w:tcPr>
            <w:tcW w:w="100" w:type="dxa"/>
            <w:vAlign w:val="bottom"/>
          </w:tcPr>
          <w:p>
            <w:pPr>
              <w:spacing w:after="0"/>
              <w:rPr>
                <w:sz w:val="12"/>
                <w:szCs w:val="12"/>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w:t>
            </w:r>
          </w:p>
        </w:tc>
      </w:tr>
      <w:tr>
        <w:trPr>
          <w:trHeight w:val="24"/>
        </w:trPr>
        <w:tc>
          <w:tcPr>
            <w:tcW w:w="6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170"/>
        </w:trPr>
        <w:tc>
          <w:tcPr>
            <w:tcW w:w="62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Operating income (loss)</w:t>
            </w:r>
          </w:p>
        </w:tc>
        <w:tc>
          <w:tcPr>
            <w:tcW w:w="16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3,570</w:t>
            </w: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(10,570)</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14,140</w:t>
            </w:r>
          </w:p>
        </w:tc>
        <w:tc>
          <w:tcPr>
            <w:tcW w:w="100" w:type="dxa"/>
            <w:vAlign w:val="bottom"/>
            <w:tcBorders>
              <w:bottom w:val="single" w:sz="8" w:color="CCEEFF"/>
            </w:tcBorders>
            <w:shd w:val="clear" w:color="auto" w:fill="CCEEFF"/>
          </w:tcPr>
          <w:p>
            <w:pPr>
              <w:spacing w:after="0"/>
              <w:rPr>
                <w:sz w:val="14"/>
                <w:szCs w:val="14"/>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134 %</w:t>
            </w:r>
          </w:p>
        </w:tc>
      </w:tr>
      <w:tr>
        <w:trPr>
          <w:trHeight w:val="139"/>
        </w:trPr>
        <w:tc>
          <w:tcPr>
            <w:tcW w:w="624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Other income (expense)</w:t>
            </w:r>
          </w:p>
        </w:tc>
        <w:tc>
          <w:tcPr>
            <w:tcW w:w="1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Borders>
              <w:top w:val="single" w:sz="8" w:color="auto"/>
            </w:tcBorders>
          </w:tcPr>
          <w:p>
            <w:pPr>
              <w:spacing w:after="0"/>
              <w:rPr>
                <w:sz w:val="12"/>
                <w:szCs w:val="12"/>
                <w:color w:val="auto"/>
              </w:rPr>
            </w:pPr>
          </w:p>
        </w:tc>
      </w:tr>
      <w:tr>
        <w:trPr>
          <w:trHeight w:val="21"/>
        </w:trPr>
        <w:tc>
          <w:tcPr>
            <w:tcW w:w="6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60"/>
        </w:trPr>
        <w:tc>
          <w:tcPr>
            <w:tcW w:w="6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Interest and financing expense, net</w:t>
            </w:r>
          </w:p>
        </w:tc>
        <w:tc>
          <w:tcPr>
            <w:tcW w:w="16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(3,961)</w:t>
            </w:r>
          </w:p>
        </w:tc>
        <w:tc>
          <w:tcPr>
            <w:tcW w:w="1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(641)</w:t>
            </w: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(3,320)</w:t>
            </w:r>
          </w:p>
        </w:tc>
        <w:tc>
          <w:tcPr>
            <w:tcW w:w="100" w:type="dxa"/>
            <w:vAlign w:val="bottom"/>
            <w:tcBorders>
              <w:bottom w:val="single" w:sz="8" w:color="CCEEFF"/>
            </w:tcBorders>
            <w:shd w:val="clear" w:color="auto" w:fill="CCEEFF"/>
          </w:tcPr>
          <w:p>
            <w:pPr>
              <w:spacing w:after="0"/>
              <w:rPr>
                <w:sz w:val="13"/>
                <w:szCs w:val="1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(518)%</w:t>
            </w:r>
          </w:p>
        </w:tc>
      </w:tr>
      <w:tr>
        <w:trPr>
          <w:trHeight w:val="156"/>
        </w:trPr>
        <w:tc>
          <w:tcPr>
            <w:tcW w:w="6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Change in fair value of derivative instruments, net</w:t>
            </w:r>
          </w:p>
        </w:tc>
        <w:tc>
          <w:tcPr>
            <w:tcW w:w="1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403</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3,933</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(3,530)</w:t>
            </w:r>
          </w:p>
        </w:tc>
        <w:tc>
          <w:tcPr>
            <w:tcW w:w="10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(90)%</w:t>
            </w:r>
          </w:p>
        </w:tc>
      </w:tr>
      <w:tr>
        <w:trPr>
          <w:trHeight w:val="24"/>
        </w:trPr>
        <w:tc>
          <w:tcPr>
            <w:tcW w:w="6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180"/>
        </w:trPr>
        <w:tc>
          <w:tcPr>
            <w:tcW w:w="6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Other expense</w:t>
            </w:r>
          </w:p>
        </w:tc>
        <w:tc>
          <w:tcPr>
            <w:tcW w:w="16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665</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733</w:t>
            </w:r>
          </w:p>
        </w:tc>
        <w:tc>
          <w:tcPr>
            <w:tcW w:w="10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1078 %</w:t>
            </w:r>
          </w:p>
        </w:tc>
      </w:tr>
      <w:tr>
        <w:trPr>
          <w:trHeight w:val="146"/>
        </w:trPr>
        <w:tc>
          <w:tcPr>
            <w:tcW w:w="6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Net income (loss) before provision for income taxes</w:t>
            </w:r>
          </w:p>
        </w:tc>
        <w:tc>
          <w:tcPr>
            <w:tcW w:w="1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677</w:t>
            </w: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(7,346)</w:t>
            </w: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8,023</w:t>
            </w:r>
          </w:p>
        </w:tc>
        <w:tc>
          <w:tcPr>
            <w:tcW w:w="100" w:type="dxa"/>
            <w:vAlign w:val="bottom"/>
          </w:tcPr>
          <w:p>
            <w:pPr>
              <w:spacing w:after="0"/>
              <w:rPr>
                <w:sz w:val="12"/>
                <w:szCs w:val="12"/>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109 %</w:t>
            </w:r>
          </w:p>
        </w:tc>
      </w:tr>
      <w:tr>
        <w:trPr>
          <w:trHeight w:val="24"/>
        </w:trPr>
        <w:tc>
          <w:tcPr>
            <w:tcW w:w="6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170"/>
        </w:trPr>
        <w:tc>
          <w:tcPr>
            <w:tcW w:w="6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Provision for income taxes</w:t>
            </w:r>
          </w:p>
        </w:tc>
        <w:tc>
          <w:tcPr>
            <w:tcW w:w="16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r>
      <w:tr>
        <w:trPr>
          <w:trHeight w:val="146"/>
        </w:trPr>
        <w:tc>
          <w:tcPr>
            <w:tcW w:w="6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Net income (loss)</w:t>
            </w:r>
          </w:p>
        </w:tc>
        <w:tc>
          <w:tcPr>
            <w:tcW w:w="1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677</w:t>
            </w: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(7,346)</w:t>
            </w: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8,023</w:t>
            </w:r>
          </w:p>
        </w:tc>
        <w:tc>
          <w:tcPr>
            <w:tcW w:w="100" w:type="dxa"/>
            <w:vAlign w:val="bottom"/>
          </w:tcPr>
          <w:p>
            <w:pPr>
              <w:spacing w:after="0"/>
              <w:rPr>
                <w:sz w:val="12"/>
                <w:szCs w:val="12"/>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109 %</w:t>
            </w:r>
          </w:p>
        </w:tc>
      </w:tr>
      <w:tr>
        <w:trPr>
          <w:trHeight w:val="24"/>
        </w:trPr>
        <w:tc>
          <w:tcPr>
            <w:tcW w:w="6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150"/>
        </w:trPr>
        <w:tc>
          <w:tcPr>
            <w:tcW w:w="6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loss attributable to redeemable non-controlling interests</w:t>
            </w:r>
          </w:p>
        </w:tc>
        <w:tc>
          <w:tcPr>
            <w:tcW w:w="16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(1,627)</w:t>
            </w:r>
          </w:p>
        </w:tc>
        <w:tc>
          <w:tcPr>
            <w:tcW w:w="1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(8,233)</w:t>
            </w: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6,606</w:t>
            </w:r>
          </w:p>
        </w:tc>
        <w:tc>
          <w:tcPr>
            <w:tcW w:w="100" w:type="dxa"/>
            <w:vAlign w:val="bottom"/>
            <w:tcBorders>
              <w:bottom w:val="single" w:sz="8" w:color="CCEEFF"/>
            </w:tcBorders>
            <w:shd w:val="clear" w:color="auto" w:fill="CCEEFF"/>
          </w:tcPr>
          <w:p>
            <w:pPr>
              <w:spacing w:after="0"/>
              <w:rPr>
                <w:sz w:val="13"/>
                <w:szCs w:val="1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80 %</w:t>
            </w:r>
          </w:p>
        </w:tc>
      </w:tr>
      <w:tr>
        <w:trPr>
          <w:trHeight w:val="156"/>
        </w:trPr>
        <w:tc>
          <w:tcPr>
            <w:tcW w:w="6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Net income (loss) attributable to non-redeemable non-controlling interests</w:t>
            </w:r>
          </w:p>
        </w:tc>
        <w:tc>
          <w:tcPr>
            <w:tcW w:w="1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(297)</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299</w:t>
            </w:r>
          </w:p>
        </w:tc>
        <w:tc>
          <w:tcPr>
            <w:tcW w:w="10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101 %</w:t>
            </w:r>
          </w:p>
        </w:tc>
      </w:tr>
      <w:tr>
        <w:trPr>
          <w:trHeight w:val="24"/>
        </w:trPr>
        <w:tc>
          <w:tcPr>
            <w:tcW w:w="6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180"/>
        </w:trPr>
        <w:tc>
          <w:tcPr>
            <w:tcW w:w="6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Paid-in-kind preferred dividends</w:t>
            </w:r>
          </w:p>
        </w:tc>
        <w:tc>
          <w:tcPr>
            <w:tcW w:w="16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2,618</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2,763</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(145)</w:t>
            </w:r>
          </w:p>
        </w:tc>
        <w:tc>
          <w:tcPr>
            <w:tcW w:w="10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w:t>
            </w:r>
          </w:p>
        </w:tc>
      </w:tr>
      <w:tr>
        <w:trPr>
          <w:trHeight w:val="168"/>
        </w:trPr>
        <w:tc>
          <w:tcPr>
            <w:tcW w:w="624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Net loss attributable to Class A common stockholders</w:t>
            </w:r>
          </w:p>
        </w:tc>
        <w:tc>
          <w:tcPr>
            <w:tcW w:w="16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(316)</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(1,579)</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1,263</w:t>
            </w:r>
          </w:p>
        </w:tc>
        <w:tc>
          <w:tcPr>
            <w:tcW w:w="100" w:type="dxa"/>
            <w:vAlign w:val="bottom"/>
          </w:tcPr>
          <w:p>
            <w:pPr>
              <w:spacing w:after="0"/>
              <w:rPr>
                <w:sz w:val="14"/>
                <w:szCs w:val="14"/>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80 %</w:t>
            </w:r>
          </w:p>
        </w:tc>
      </w:tr>
      <w:tr>
        <w:trPr>
          <w:trHeight w:val="20"/>
        </w:trPr>
        <w:tc>
          <w:tcPr>
            <w:tcW w:w="6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167640</wp:posOffset>
            </wp:positionV>
            <wp:extent cx="7193280"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40"/>
          </w:cols>
          <w:pgMar w:left="300" w:top="907" w:right="35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177"/>
        </w:trPr>
        <w:tc>
          <w:tcPr>
            <w:tcW w:w="66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i w:val="1"/>
                <w:iCs w:val="1"/>
                <w:color w:val="auto"/>
              </w:rPr>
              <w:t>Revenues</w:t>
            </w: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6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80" w:type="dxa"/>
            <w:vAlign w:val="bottom"/>
            <w:gridSpan w:val="3"/>
          </w:tcPr>
          <w:p>
            <w:pPr>
              <w:spacing w:after="0"/>
              <w:rPr>
                <w:sz w:val="15"/>
                <w:szCs w:val="15"/>
                <w:color w:val="auto"/>
              </w:rPr>
            </w:pPr>
          </w:p>
        </w:tc>
        <w:tc>
          <w:tcPr>
            <w:tcW w:w="360" w:type="dxa"/>
            <w:vAlign w:val="bottom"/>
            <w:gridSpan w:val="2"/>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6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(in thousands)</w:t>
            </w:r>
          </w:p>
        </w:tc>
        <w:tc>
          <w:tcPr>
            <w:tcW w:w="760" w:type="dxa"/>
            <w:vAlign w:val="bottom"/>
            <w:shd w:val="clear" w:color="auto" w:fill="CCEEFF"/>
          </w:tcPr>
          <w:p>
            <w:pPr>
              <w:spacing w:after="0"/>
              <w:rPr>
                <w:sz w:val="15"/>
                <w:szCs w:val="15"/>
                <w:color w:val="auto"/>
              </w:rPr>
            </w:pPr>
          </w:p>
        </w:tc>
        <w:tc>
          <w:tcPr>
            <w:tcW w:w="210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940" w:type="dxa"/>
            <w:vAlign w:val="bottom"/>
            <w:shd w:val="clear" w:color="auto" w:fill="CCEEFF"/>
          </w:tcPr>
          <w:p>
            <w:pPr>
              <w:spacing w:after="0"/>
              <w:rPr>
                <w:sz w:val="15"/>
                <w:szCs w:val="15"/>
                <w:color w:val="auto"/>
              </w:rPr>
            </w:pPr>
          </w:p>
        </w:tc>
      </w:tr>
      <w:tr>
        <w:trPr>
          <w:trHeight w:val="160"/>
        </w:trPr>
        <w:tc>
          <w:tcPr>
            <w:tcW w:w="6580" w:type="dxa"/>
            <w:vAlign w:val="bottom"/>
            <w:tcBorders>
              <w:top w:val="single" w:sz="8" w:color="auto"/>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46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CCEE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93"/>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Borders>
              <w:top w:val="single" w:sz="8" w:color="auto"/>
              <w:bottom w:val="single" w:sz="8" w:color="CCEE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273"/>
              <w:spacing w:after="0"/>
              <w:rPr>
                <w:sz w:val="20"/>
                <w:szCs w:val="20"/>
                <w:color w:val="auto"/>
              </w:rPr>
            </w:pPr>
            <w:r>
              <w:rPr>
                <w:rFonts w:ascii="Times New Roman" w:cs="Times New Roman" w:eastAsia="Times New Roman" w:hAnsi="Times New Roman"/>
                <w:sz w:val="13"/>
                <w:szCs w:val="13"/>
                <w:b w:val="1"/>
                <w:bCs w:val="1"/>
                <w:color w:val="auto"/>
              </w:rPr>
              <w:t>$ Change</w:t>
            </w:r>
          </w:p>
        </w:tc>
      </w:tr>
      <w:tr>
        <w:trPr>
          <w:trHeight w:val="150"/>
        </w:trPr>
        <w:tc>
          <w:tcPr>
            <w:tcW w:w="6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RNG Fuel</w:t>
            </w:r>
          </w:p>
        </w:tc>
        <w:tc>
          <w:tcPr>
            <w:tcW w:w="7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r>
      <w:tr>
        <w:trPr>
          <w:trHeight w:val="170"/>
        </w:trPr>
        <w:tc>
          <w:tcPr>
            <w:tcW w:w="666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Brown gas sales</w:t>
            </w:r>
          </w:p>
        </w:tc>
        <w:tc>
          <w:tcPr>
            <w:tcW w:w="760" w:type="dxa"/>
            <w:vAlign w:val="bottom"/>
          </w:tcPr>
          <w:p>
            <w:pPr>
              <w:jc w:val="right"/>
              <w:ind w:right="613"/>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999</w:t>
            </w:r>
          </w:p>
        </w:tc>
        <w:tc>
          <w:tcPr>
            <w:tcW w:w="80" w:type="dxa"/>
            <w:vAlign w:val="bottom"/>
          </w:tcPr>
          <w:p>
            <w:pPr>
              <w:spacing w:after="0"/>
              <w:rPr>
                <w:sz w:val="14"/>
                <w:szCs w:val="14"/>
                <w:color w:val="auto"/>
              </w:rPr>
            </w:pPr>
          </w:p>
        </w:tc>
        <w:tc>
          <w:tcPr>
            <w:tcW w:w="280" w:type="dxa"/>
            <w:vAlign w:val="bottom"/>
          </w:tcPr>
          <w:p>
            <w:pPr>
              <w:jc w:val="right"/>
              <w:ind w:right="133"/>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1,518</w:t>
            </w:r>
          </w:p>
        </w:tc>
        <w:tc>
          <w:tcPr>
            <w:tcW w:w="80" w:type="dxa"/>
            <w:vAlign w:val="bottom"/>
          </w:tcPr>
          <w:p>
            <w:pPr>
              <w:spacing w:after="0"/>
              <w:rPr>
                <w:sz w:val="14"/>
                <w:szCs w:val="14"/>
                <w:color w:val="auto"/>
              </w:rPr>
            </w:pPr>
          </w:p>
        </w:tc>
        <w:tc>
          <w:tcPr>
            <w:tcW w:w="280" w:type="dxa"/>
            <w:vAlign w:val="bottom"/>
          </w:tcPr>
          <w:p>
            <w:pPr>
              <w:jc w:val="right"/>
              <w:ind w:right="133"/>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(519)</w:t>
            </w:r>
          </w:p>
        </w:tc>
      </w:tr>
      <w:tr>
        <w:trPr>
          <w:trHeight w:val="170"/>
        </w:trPr>
        <w:tc>
          <w:tcPr>
            <w:tcW w:w="6660" w:type="dxa"/>
            <w:vAlign w:val="bottom"/>
            <w:gridSpan w:val="2"/>
            <w:shd w:val="clear" w:color="auto" w:fill="CCEEFF"/>
          </w:tcPr>
          <w:p>
            <w:pPr>
              <w:ind w:left="100"/>
              <w:spacing w:after="0" w:line="170" w:lineRule="exact"/>
              <w:rPr>
                <w:sz w:val="20"/>
                <w:szCs w:val="20"/>
                <w:color w:val="auto"/>
              </w:rPr>
            </w:pPr>
            <w:r>
              <w:rPr>
                <w:rFonts w:ascii="Times New Roman" w:cs="Times New Roman" w:eastAsia="Times New Roman" w:hAnsi="Times New Roman"/>
                <w:sz w:val="13"/>
                <w:szCs w:val="13"/>
                <w:color w:val="auto"/>
              </w:rPr>
              <w:t xml:space="preserve">Environmental Attributes </w:t>
            </w:r>
            <w:r>
              <w:rPr>
                <w:rFonts w:ascii="Times New Roman" w:cs="Times New Roman" w:eastAsia="Times New Roman" w:hAnsi="Times New Roman"/>
                <w:sz w:val="17"/>
                <w:szCs w:val="17"/>
                <w:color w:val="auto"/>
                <w:vertAlign w:val="superscript"/>
              </w:rPr>
              <w:t>(1)</w:t>
            </w:r>
          </w:p>
        </w:tc>
        <w:tc>
          <w:tcPr>
            <w:tcW w:w="7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16,335</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5,196</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11,139</w:t>
            </w:r>
          </w:p>
        </w:tc>
      </w:tr>
      <w:tr>
        <w:trPr>
          <w:trHeight w:val="170"/>
        </w:trPr>
        <w:tc>
          <w:tcPr>
            <w:tcW w:w="666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3"/>
                <w:szCs w:val="13"/>
                <w:color w:val="auto"/>
              </w:rPr>
              <w:t>Other</w:t>
            </w:r>
          </w:p>
        </w:tc>
        <w:tc>
          <w:tcPr>
            <w:tcW w:w="7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393</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358</w:t>
            </w:r>
          </w:p>
        </w:tc>
      </w:tr>
      <w:tr>
        <w:trPr>
          <w:trHeight w:val="160"/>
        </w:trPr>
        <w:tc>
          <w:tcPr>
            <w:tcW w:w="6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RNG Fuel</w:t>
            </w:r>
          </w:p>
        </w:tc>
        <w:tc>
          <w:tcPr>
            <w:tcW w:w="760" w:type="dxa"/>
            <w:vAlign w:val="bottom"/>
            <w:tcBorders>
              <w:bottom w:val="single" w:sz="8" w:color="auto"/>
            </w:tcBorders>
            <w:shd w:val="clear" w:color="auto" w:fill="CCEEFF"/>
          </w:tcPr>
          <w:p>
            <w:pPr>
              <w:jc w:val="right"/>
              <w:ind w:right="613"/>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17,727</w:t>
            </w: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6,749</w:t>
            </w: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10,978</w:t>
            </w:r>
          </w:p>
        </w:tc>
      </w:tr>
      <w:tr>
        <w:trPr>
          <w:trHeight w:val="150"/>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Fuel Station Services</w:t>
            </w: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70"/>
        </w:trPr>
        <w:tc>
          <w:tcPr>
            <w:tcW w:w="6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OPAL owned stations</w:t>
            </w:r>
          </w:p>
        </w:tc>
        <w:tc>
          <w:tcPr>
            <w:tcW w:w="760" w:type="dxa"/>
            <w:vAlign w:val="bottom"/>
            <w:shd w:val="clear" w:color="auto" w:fill="CCEEFF"/>
          </w:tcPr>
          <w:p>
            <w:pPr>
              <w:jc w:val="right"/>
              <w:ind w:right="613"/>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5,375</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4,183</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1,192</w:t>
            </w:r>
          </w:p>
        </w:tc>
      </w:tr>
      <w:tr>
        <w:trPr>
          <w:trHeight w:val="170"/>
        </w:trPr>
        <w:tc>
          <w:tcPr>
            <w:tcW w:w="6660" w:type="dxa"/>
            <w:vAlign w:val="bottom"/>
            <w:gridSpan w:val="2"/>
          </w:tcPr>
          <w:p>
            <w:pPr>
              <w:ind w:left="100"/>
              <w:spacing w:after="0" w:line="170" w:lineRule="exact"/>
              <w:rPr>
                <w:sz w:val="20"/>
                <w:szCs w:val="20"/>
                <w:color w:val="auto"/>
              </w:rPr>
            </w:pPr>
            <w:r>
              <w:rPr>
                <w:rFonts w:ascii="Times New Roman" w:cs="Times New Roman" w:eastAsia="Times New Roman" w:hAnsi="Times New Roman"/>
                <w:sz w:val="13"/>
                <w:szCs w:val="13"/>
                <w:color w:val="auto"/>
              </w:rPr>
              <w:t xml:space="preserve">RNG marketing </w:t>
            </w:r>
            <w:r>
              <w:rPr>
                <w:rFonts w:ascii="Times New Roman" w:cs="Times New Roman" w:eastAsia="Times New Roman" w:hAnsi="Times New Roman"/>
                <w:sz w:val="17"/>
                <w:szCs w:val="17"/>
                <w:color w:val="auto"/>
                <w:vertAlign w:val="superscript"/>
              </w:rPr>
              <w:t>(1)</w:t>
            </w:r>
          </w:p>
        </w:tc>
        <w:tc>
          <w:tcPr>
            <w:tcW w:w="7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15,553</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4,397</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11,156</w:t>
            </w:r>
          </w:p>
        </w:tc>
      </w:tr>
      <w:tr>
        <w:trPr>
          <w:trHeight w:val="170"/>
        </w:trPr>
        <w:tc>
          <w:tcPr>
            <w:tcW w:w="6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Third party station service and maintenance</w:t>
            </w:r>
          </w:p>
        </w:tc>
        <w:tc>
          <w:tcPr>
            <w:tcW w:w="7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5,336</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5,133</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203</w:t>
            </w:r>
          </w:p>
        </w:tc>
      </w:tr>
      <w:tr>
        <w:trPr>
          <w:trHeight w:val="170"/>
        </w:trPr>
        <w:tc>
          <w:tcPr>
            <w:tcW w:w="666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3"/>
                <w:szCs w:val="13"/>
                <w:color w:val="auto"/>
              </w:rPr>
              <w:t>Construction</w:t>
            </w:r>
          </w:p>
        </w:tc>
        <w:tc>
          <w:tcPr>
            <w:tcW w:w="7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10,878</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7,115</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3,763</w:t>
            </w:r>
          </w:p>
        </w:tc>
      </w:tr>
      <w:tr>
        <w:trPr>
          <w:trHeight w:val="160"/>
        </w:trPr>
        <w:tc>
          <w:tcPr>
            <w:tcW w:w="6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Fuel Station Services</w:t>
            </w:r>
          </w:p>
        </w:tc>
        <w:tc>
          <w:tcPr>
            <w:tcW w:w="760" w:type="dxa"/>
            <w:vAlign w:val="bottom"/>
            <w:tcBorders>
              <w:bottom w:val="single" w:sz="8" w:color="auto"/>
            </w:tcBorders>
            <w:shd w:val="clear" w:color="auto" w:fill="CCEEFF"/>
          </w:tcPr>
          <w:p>
            <w:pPr>
              <w:jc w:val="right"/>
              <w:ind w:right="613"/>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37,142</w:t>
            </w: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20,828</w:t>
            </w: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16,314</w:t>
            </w:r>
          </w:p>
        </w:tc>
      </w:tr>
      <w:tr>
        <w:trPr>
          <w:trHeight w:val="150"/>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Renewable Power</w:t>
            </w: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70"/>
        </w:trPr>
        <w:tc>
          <w:tcPr>
            <w:tcW w:w="6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Electricity sales</w:t>
            </w:r>
          </w:p>
        </w:tc>
        <w:tc>
          <w:tcPr>
            <w:tcW w:w="760" w:type="dxa"/>
            <w:vAlign w:val="bottom"/>
            <w:shd w:val="clear" w:color="auto" w:fill="CCEEFF"/>
          </w:tcPr>
          <w:p>
            <w:pPr>
              <w:jc w:val="right"/>
              <w:ind w:right="613"/>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6,295</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9,934</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(3,639)</w:t>
            </w:r>
          </w:p>
        </w:tc>
      </w:tr>
      <w:tr>
        <w:trPr>
          <w:trHeight w:val="170"/>
        </w:trPr>
        <w:tc>
          <w:tcPr>
            <w:tcW w:w="6660" w:type="dxa"/>
            <w:vAlign w:val="bottom"/>
            <w:tcBorders>
              <w:bottom w:val="single" w:sz="8" w:color="CCEEFF"/>
            </w:tcBorders>
            <w:gridSpan w:val="2"/>
          </w:tcPr>
          <w:p>
            <w:pPr>
              <w:ind w:left="100"/>
              <w:spacing w:after="0" w:line="170" w:lineRule="exact"/>
              <w:rPr>
                <w:sz w:val="20"/>
                <w:szCs w:val="20"/>
                <w:color w:val="auto"/>
              </w:rPr>
            </w:pPr>
            <w:r>
              <w:rPr>
                <w:rFonts w:ascii="Times New Roman" w:cs="Times New Roman" w:eastAsia="Times New Roman" w:hAnsi="Times New Roman"/>
                <w:sz w:val="13"/>
                <w:szCs w:val="13"/>
                <w:color w:val="auto"/>
              </w:rPr>
              <w:t xml:space="preserve">Environmental Attributes </w:t>
            </w:r>
            <w:r>
              <w:rPr>
                <w:rFonts w:ascii="Times New Roman" w:cs="Times New Roman" w:eastAsia="Times New Roman" w:hAnsi="Times New Roman"/>
                <w:sz w:val="17"/>
                <w:szCs w:val="17"/>
                <w:color w:val="auto"/>
                <w:vertAlign w:val="superscript"/>
              </w:rPr>
              <w:t>(2)</w:t>
            </w:r>
          </w:p>
        </w:tc>
        <w:tc>
          <w:tcPr>
            <w:tcW w:w="7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3,788</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5,446</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(1,658)</w:t>
            </w:r>
          </w:p>
        </w:tc>
      </w:tr>
      <w:tr>
        <w:trPr>
          <w:trHeight w:val="160"/>
        </w:trPr>
        <w:tc>
          <w:tcPr>
            <w:tcW w:w="6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Renewable Power</w:t>
            </w:r>
          </w:p>
        </w:tc>
        <w:tc>
          <w:tcPr>
            <w:tcW w:w="760" w:type="dxa"/>
            <w:vAlign w:val="bottom"/>
            <w:tcBorders>
              <w:bottom w:val="single" w:sz="8" w:color="auto"/>
            </w:tcBorders>
            <w:shd w:val="clear" w:color="auto" w:fill="CCEEFF"/>
          </w:tcPr>
          <w:p>
            <w:pPr>
              <w:jc w:val="right"/>
              <w:ind w:right="613"/>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10,083</w:t>
            </w: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15,380</w:t>
            </w: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(5,297)</w:t>
            </w:r>
          </w:p>
        </w:tc>
      </w:tr>
      <w:tr>
        <w:trPr>
          <w:trHeight w:val="180"/>
        </w:trPr>
        <w:tc>
          <w:tcPr>
            <w:tcW w:w="65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r>
      <w:tr>
        <w:trPr>
          <w:trHeight w:val="185"/>
        </w:trPr>
        <w:tc>
          <w:tcPr>
            <w:tcW w:w="6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Revenues</w:t>
            </w:r>
          </w:p>
        </w:tc>
        <w:tc>
          <w:tcPr>
            <w:tcW w:w="760" w:type="dxa"/>
            <w:vAlign w:val="bottom"/>
            <w:tcBorders>
              <w:bottom w:val="single" w:sz="8" w:color="auto"/>
            </w:tcBorders>
            <w:shd w:val="clear" w:color="auto" w:fill="CCEEFF"/>
          </w:tcPr>
          <w:p>
            <w:pPr>
              <w:jc w:val="right"/>
              <w:ind w:right="613"/>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64,952</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42,957</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21,995</w:t>
            </w: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17" w:lineRule="exact"/>
        <w:rPr>
          <w:sz w:val="20"/>
          <w:szCs w:val="20"/>
          <w:color w:val="auto"/>
        </w:rPr>
      </w:pPr>
    </w:p>
    <w:p>
      <w:pPr>
        <w:ind w:left="120" w:hanging="120"/>
        <w:spacing w:after="0"/>
        <w:tabs>
          <w:tab w:leader="none" w:pos="120" w:val="left"/>
        </w:tabs>
        <w:numPr>
          <w:ilvl w:val="0"/>
          <w:numId w:val="37"/>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2"/>
          <w:szCs w:val="12"/>
          <w:color w:val="auto"/>
        </w:rPr>
        <w:t>Revenues from Environmental Attributes in RNG Fuel segment and RNG marketing in Fuel Station Services segment relate to revenues earned from sales of RINs and LCFSs.</w:t>
      </w:r>
    </w:p>
    <w:p>
      <w:pPr>
        <w:spacing w:after="0" w:line="147" w:lineRule="exact"/>
        <w:rPr>
          <w:rFonts w:ascii="Times New Roman" w:cs="Times New Roman" w:eastAsia="Times New Roman" w:hAnsi="Times New Roman"/>
          <w:sz w:val="15"/>
          <w:szCs w:val="15"/>
          <w:color w:val="auto"/>
          <w:vertAlign w:val="superscript"/>
        </w:rPr>
      </w:pPr>
    </w:p>
    <w:p>
      <w:pPr>
        <w:ind w:left="120" w:hanging="120"/>
        <w:spacing w:after="0"/>
        <w:tabs>
          <w:tab w:leader="none" w:pos="120" w:val="left"/>
        </w:tabs>
        <w:numPr>
          <w:ilvl w:val="0"/>
          <w:numId w:val="37"/>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2"/>
          <w:szCs w:val="12"/>
          <w:color w:val="auto"/>
        </w:rPr>
        <w:t>Revenues from Environmental Attributes in Renewable Power segment include revenues earned from sales of ISCC carbon sales and RECs.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RNG Fuel</w:t>
      </w:r>
    </w:p>
    <w:p>
      <w:pPr>
        <w:spacing w:after="0" w:line="163" w:lineRule="exact"/>
        <w:rPr>
          <w:sz w:val="20"/>
          <w:szCs w:val="20"/>
          <w:color w:val="auto"/>
        </w:rPr>
      </w:pPr>
    </w:p>
    <w:p>
      <w:pPr>
        <w:jc w:val="both"/>
        <w:ind w:firstLine="240"/>
        <w:spacing w:after="0" w:line="278" w:lineRule="auto"/>
        <w:rPr>
          <w:sz w:val="20"/>
          <w:szCs w:val="20"/>
          <w:color w:val="auto"/>
        </w:rPr>
      </w:pPr>
      <w:r>
        <w:rPr>
          <w:rFonts w:ascii="Times New Roman" w:cs="Times New Roman" w:eastAsia="Times New Roman" w:hAnsi="Times New Roman"/>
          <w:sz w:val="13"/>
          <w:szCs w:val="13"/>
          <w:color w:val="auto"/>
        </w:rPr>
        <w:t>Revenue from RNG Fuel increased by $11.0 million, or 163%, for the three months ended March 31, 2024 compared to the three months ended March 31, 2023. The increase is primarily due to an $11.1 million increase in revenue from Environmental Attributes, driven by a $5.4 million increase in the realized price of RINs and a $5.7 million increase in the volume of RIN and LCFS credits sold.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Fuel Station Services</w:t>
      </w:r>
    </w:p>
    <w:p>
      <w:pPr>
        <w:spacing w:after="0" w:line="113" w:lineRule="exact"/>
        <w:rPr>
          <w:sz w:val="20"/>
          <w:szCs w:val="20"/>
          <w:color w:val="auto"/>
        </w:rPr>
      </w:pPr>
    </w:p>
    <w:p>
      <w:pPr>
        <w:jc w:val="both"/>
        <w:ind w:firstLine="240"/>
        <w:spacing w:after="0" w:line="275" w:lineRule="auto"/>
        <w:rPr>
          <w:sz w:val="20"/>
          <w:szCs w:val="20"/>
          <w:color w:val="auto"/>
        </w:rPr>
      </w:pPr>
      <w:r>
        <w:rPr>
          <w:rFonts w:ascii="Times New Roman" w:cs="Times New Roman" w:eastAsia="Times New Roman" w:hAnsi="Times New Roman"/>
          <w:sz w:val="13"/>
          <w:szCs w:val="13"/>
          <w:color w:val="auto"/>
        </w:rPr>
        <w:t>Revenue from Fuel Station Services increased by $16.3 million, or 78%, for the three months ended March 31, 2024 compared to the three months ended March 31, 2023. This was primarily attributable to an $11.2 million increase in dispensing and RNG marketing due to higher RIN and LCFS volumes and RIN pricing, a $3.8 million increase in construction projects, and a $1.2 million increase in OPAL owned stations due to higher volumes from 7 new fueling sites.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Renewable Power</w:t>
      </w:r>
    </w:p>
    <w:p>
      <w:pPr>
        <w:spacing w:after="0" w:line="123" w:lineRule="exact"/>
        <w:rPr>
          <w:sz w:val="20"/>
          <w:szCs w:val="20"/>
          <w:color w:val="auto"/>
        </w:rPr>
      </w:pPr>
    </w:p>
    <w:p>
      <w:pPr>
        <w:jc w:val="both"/>
        <w:ind w:firstLine="240"/>
        <w:spacing w:after="0" w:line="269" w:lineRule="auto"/>
        <w:rPr>
          <w:sz w:val="20"/>
          <w:szCs w:val="20"/>
          <w:color w:val="auto"/>
        </w:rPr>
      </w:pPr>
      <w:r>
        <w:rPr>
          <w:rFonts w:ascii="Times New Roman" w:cs="Times New Roman" w:eastAsia="Times New Roman" w:hAnsi="Times New Roman"/>
          <w:sz w:val="13"/>
          <w:szCs w:val="13"/>
          <w:color w:val="auto"/>
        </w:rPr>
        <w:t>Revenue from Renewable Power decreased by $5.3 million, or 34%, for the three months ended March 31, 2024 compared to the three months ended March 31, 2023. Within Renewable Power, Electricity Sales revenues decreased by $3.6 million, due to a $1.2 million decrease in market energy prices and a $0.9 million decrease in the volume of MWh sold at same-store facilities, and a $1.7 million decrease related to the shutdown and conversion of our Arbor Hills and Prince William Renewable Power projects into RNG Fuel projects. Additionally within Renewable Power, revenues from Environmental Attributes decreased $1.7 million, as a $3.2 million decrease related to the Arbor Hills was partially offset by a $1.6 million increase in revenues from same-store operations.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167640</wp:posOffset>
            </wp:positionV>
            <wp:extent cx="7193280"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883" w:right="3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3"/>
          <w:szCs w:val="13"/>
          <w:b w:val="1"/>
          <w:bCs w:val="1"/>
          <w:i w:val="1"/>
          <w:iCs w:val="1"/>
          <w:color w:val="auto"/>
        </w:rPr>
        <w:t>Cost of sales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RNG Fuel</w:t>
      </w:r>
    </w:p>
    <w:p>
      <w:pPr>
        <w:spacing w:after="0" w:line="123" w:lineRule="exact"/>
        <w:rPr>
          <w:sz w:val="20"/>
          <w:szCs w:val="20"/>
          <w:color w:val="auto"/>
        </w:rPr>
      </w:pPr>
    </w:p>
    <w:p>
      <w:pPr>
        <w:jc w:val="both"/>
        <w:ind w:firstLine="240"/>
        <w:spacing w:after="0" w:line="294" w:lineRule="auto"/>
        <w:rPr>
          <w:sz w:val="20"/>
          <w:szCs w:val="20"/>
          <w:color w:val="auto"/>
        </w:rPr>
      </w:pPr>
      <w:r>
        <w:rPr>
          <w:rFonts w:ascii="Times New Roman" w:cs="Times New Roman" w:eastAsia="Times New Roman" w:hAnsi="Times New Roman"/>
          <w:sz w:val="13"/>
          <w:szCs w:val="13"/>
          <w:color w:val="auto"/>
        </w:rPr>
        <w:t>Cost of sales from RNG Fuel increased by $2.3 million, or 38%, for the three months ended March 31, 2024 compared to the three months ended March 31, 2023. The increase is primarily due to higher royalty expense related to the increased Environmental Attribute revenues above and generic escalation on operating expenses at same-store facilities.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Fuel Station Services</w:t>
      </w:r>
    </w:p>
    <w:p>
      <w:pPr>
        <w:spacing w:after="0" w:line="113" w:lineRule="exact"/>
        <w:rPr>
          <w:sz w:val="20"/>
          <w:szCs w:val="20"/>
          <w:color w:val="auto"/>
        </w:rPr>
      </w:pPr>
    </w:p>
    <w:p>
      <w:pPr>
        <w:jc w:val="both"/>
        <w:ind w:firstLine="240"/>
        <w:spacing w:after="0" w:line="294" w:lineRule="auto"/>
        <w:rPr>
          <w:sz w:val="20"/>
          <w:szCs w:val="20"/>
          <w:color w:val="auto"/>
        </w:rPr>
      </w:pPr>
      <w:r>
        <w:rPr>
          <w:rFonts w:ascii="Times New Roman" w:cs="Times New Roman" w:eastAsia="Times New Roman" w:hAnsi="Times New Roman"/>
          <w:sz w:val="13"/>
          <w:szCs w:val="13"/>
          <w:color w:val="auto"/>
        </w:rPr>
        <w:t>Cost of sales from Fuel Station Services increased by $10.0 million, or 49%, for the three months ended March 31, 2024 compared to the three months ended March 31, 2023. This was primarily due to a $6.9 million increase in costs related to generation of additional environmental credits, a $3.0 million increase in third party construction costs.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Renewable Power</w:t>
      </w:r>
    </w:p>
    <w:p>
      <w:pPr>
        <w:spacing w:after="0" w:line="123" w:lineRule="exact"/>
        <w:rPr>
          <w:sz w:val="20"/>
          <w:szCs w:val="20"/>
          <w:color w:val="auto"/>
        </w:rPr>
      </w:pPr>
    </w:p>
    <w:p>
      <w:pPr>
        <w:jc w:val="both"/>
        <w:ind w:firstLine="240"/>
        <w:spacing w:after="0" w:line="294" w:lineRule="auto"/>
        <w:rPr>
          <w:sz w:val="20"/>
          <w:szCs w:val="20"/>
          <w:color w:val="auto"/>
        </w:rPr>
      </w:pPr>
      <w:r>
        <w:rPr>
          <w:rFonts w:ascii="Times New Roman" w:cs="Times New Roman" w:eastAsia="Times New Roman" w:hAnsi="Times New Roman"/>
          <w:sz w:val="13"/>
          <w:szCs w:val="13"/>
          <w:color w:val="auto"/>
        </w:rPr>
        <w:t>Cost of sales from Renewable Power increased by $0.9 million, or 11%, for the three months ended March 31, 2024 compared to the three months ended March 31, 2023. The increase is due to $1.5 million of major maintenance and generic cost escalations at same-store facilities, partially offset by a $0.6 million decrease in cost of sales related to the Arbor Hills and Prince William transition to RNG Fuels.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Project development and start up costs</w:t>
      </w:r>
    </w:p>
    <w:p>
      <w:pPr>
        <w:spacing w:after="0" w:line="115"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3"/>
          <w:szCs w:val="13"/>
          <w:color w:val="auto"/>
        </w:rPr>
        <w:t>Project development and start up costs decreased by $1.1 million, or 58%, for the three months ended March 31, 2024 compared to the three months ended March 31, 2023. This is primarily due to decrease in virtual pipeline costs incurred on New River in the first quarter of 2023 which were not incurred thereafter.</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Selling, general, and administrative</w:t>
      </w:r>
    </w:p>
    <w:p>
      <w:pPr>
        <w:spacing w:after="0" w:line="185" w:lineRule="exact"/>
        <w:rPr>
          <w:sz w:val="20"/>
          <w:szCs w:val="20"/>
          <w:color w:val="auto"/>
        </w:rPr>
      </w:pPr>
    </w:p>
    <w:p>
      <w:pPr>
        <w:jc w:val="both"/>
        <w:ind w:firstLine="240"/>
        <w:spacing w:after="0" w:line="278" w:lineRule="auto"/>
        <w:rPr>
          <w:sz w:val="20"/>
          <w:szCs w:val="20"/>
          <w:color w:val="auto"/>
        </w:rPr>
      </w:pPr>
      <w:r>
        <w:rPr>
          <w:rFonts w:ascii="Times New Roman" w:cs="Times New Roman" w:eastAsia="Times New Roman" w:hAnsi="Times New Roman"/>
          <w:sz w:val="13"/>
          <w:szCs w:val="13"/>
          <w:color w:val="auto"/>
        </w:rPr>
        <w:t>Selling, general, and administrative expenses decreased by a total of $0.9 million, or 6%, for the three months ended March 31, 2024 compared to the three months ended March 31, 2023. This is primarily due to higher expenses related to professional fees in the first quarter of 2023.</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Depreciation, amortization, and accretion</w:t>
      </w:r>
    </w:p>
    <w:p>
      <w:pPr>
        <w:spacing w:after="0" w:line="12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Depreciation, amortization, and accretion marginally increased by a total of $0.1 million, or 4%, for the three months ended March 31, 2024 compared to the three months ended March 31, 2023.</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Income from equity method investments</w:t>
      </w:r>
    </w:p>
    <w:p>
      <w:pPr>
        <w:spacing w:after="0" w:line="115" w:lineRule="exact"/>
        <w:rPr>
          <w:sz w:val="20"/>
          <w:szCs w:val="20"/>
          <w:color w:val="auto"/>
        </w:rPr>
      </w:pPr>
    </w:p>
    <w:p>
      <w:pPr>
        <w:jc w:val="both"/>
        <w:ind w:firstLine="240"/>
        <w:spacing w:after="0" w:line="275" w:lineRule="auto"/>
        <w:rPr>
          <w:sz w:val="20"/>
          <w:szCs w:val="20"/>
          <w:color w:val="auto"/>
        </w:rPr>
      </w:pPr>
      <w:r>
        <w:rPr>
          <w:rFonts w:ascii="Times New Roman" w:cs="Times New Roman" w:eastAsia="Times New Roman" w:hAnsi="Times New Roman"/>
          <w:sz w:val="13"/>
          <w:szCs w:val="13"/>
          <w:color w:val="auto"/>
        </w:rPr>
        <w:t>Net income attributable to equity method investments increased by $4.0 million, or 561%, for the three months ended March 31, 2024 compared to the three months ended March 31, 2023. This is largely due to the impact of our Emerald RNG facility, which commenced commercial operations in September of 2023, as well as the same-store contribution of our Pine Bend and Noble Road facilities, which both experienced higher RIN pricing and volume.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Interest and financing expense, net</w:t>
      </w:r>
    </w:p>
    <w:p>
      <w:pPr>
        <w:spacing w:after="0" w:line="125" w:lineRule="exact"/>
        <w:rPr>
          <w:sz w:val="20"/>
          <w:szCs w:val="20"/>
          <w:color w:val="auto"/>
        </w:rPr>
      </w:pPr>
    </w:p>
    <w:p>
      <w:pPr>
        <w:jc w:val="both"/>
        <w:ind w:firstLine="240"/>
        <w:spacing w:after="0" w:line="294" w:lineRule="auto"/>
        <w:rPr>
          <w:sz w:val="20"/>
          <w:szCs w:val="20"/>
          <w:color w:val="auto"/>
        </w:rPr>
      </w:pPr>
      <w:r>
        <w:rPr>
          <w:rFonts w:ascii="Times New Roman" w:cs="Times New Roman" w:eastAsia="Times New Roman" w:hAnsi="Times New Roman"/>
          <w:sz w:val="13"/>
          <w:szCs w:val="13"/>
          <w:color w:val="auto"/>
        </w:rPr>
        <w:t>Interest and financing expenses, net increased by $3.3 million, or 518%, for the three months ended March 31, 2024 compared to the three months ended March 31, 2023. The increase is primarily attributable to interest expense and commitment fees related to the OPAL Term loan.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Change in fair value of derivatives, net</w:t>
      </w:r>
    </w:p>
    <w:p>
      <w:pPr>
        <w:spacing w:after="0" w:line="125" w:lineRule="exact"/>
        <w:rPr>
          <w:sz w:val="20"/>
          <w:szCs w:val="20"/>
          <w:color w:val="auto"/>
        </w:rPr>
      </w:pPr>
    </w:p>
    <w:p>
      <w:pPr>
        <w:jc w:val="both"/>
        <w:ind w:firstLine="240"/>
        <w:spacing w:after="0" w:line="294" w:lineRule="auto"/>
        <w:rPr>
          <w:sz w:val="20"/>
          <w:szCs w:val="20"/>
          <w:color w:val="auto"/>
        </w:rPr>
      </w:pPr>
      <w:r>
        <w:rPr>
          <w:rFonts w:ascii="Times New Roman" w:cs="Times New Roman" w:eastAsia="Times New Roman" w:hAnsi="Times New Roman"/>
          <w:sz w:val="13"/>
          <w:szCs w:val="13"/>
          <w:color w:val="auto"/>
        </w:rPr>
        <w:t>Change in fair value of derivatives, net decreased by $3.5 million, or 90%, for the three months ended March 31, 2024 compared to the three months ended March 31, 2023. This is primarily attributable to decrease in gain recognized on change in fair value of earnout liabilities.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Other income</w:t>
      </w:r>
    </w:p>
    <w:p>
      <w:pPr>
        <w:spacing w:after="0" w:line="125" w:lineRule="exact"/>
        <w:rPr>
          <w:sz w:val="20"/>
          <w:szCs w:val="20"/>
          <w:color w:val="auto"/>
        </w:rPr>
      </w:pPr>
    </w:p>
    <w:p>
      <w:pPr>
        <w:jc w:val="both"/>
        <w:ind w:firstLine="240"/>
        <w:spacing w:after="0" w:line="294" w:lineRule="auto"/>
        <w:rPr>
          <w:sz w:val="20"/>
          <w:szCs w:val="20"/>
          <w:color w:val="auto"/>
        </w:rPr>
      </w:pPr>
      <w:r>
        <w:rPr>
          <w:rFonts w:ascii="Times New Roman" w:cs="Times New Roman" w:eastAsia="Times New Roman" w:hAnsi="Times New Roman"/>
          <w:sz w:val="13"/>
          <w:szCs w:val="13"/>
          <w:color w:val="auto"/>
        </w:rPr>
        <w:t>Other income increased by $0.7 million for the three months ended March 31, 2024 compared to the three months ended March 31, 2023. This change is primarily related to an increase of gain $0.4 million recognized on fair value of</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161290</wp:posOffset>
            </wp:positionV>
            <wp:extent cx="7193280"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883" w:right="3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3"/>
          <w:szCs w:val="13"/>
          <w:color w:val="auto"/>
        </w:rPr>
        <w:t>RINs transferred as consideration for services provided by OFSS and loss of warrant exchange of $0.3 million recorded in first quarter of 2023.</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Net loss attributable to redeemable non-controlling interests</w:t>
      </w:r>
    </w:p>
    <w:p>
      <w:pPr>
        <w:spacing w:after="0" w:line="125" w:lineRule="exact"/>
        <w:rPr>
          <w:sz w:val="20"/>
          <w:szCs w:val="20"/>
          <w:color w:val="auto"/>
        </w:rPr>
      </w:pPr>
    </w:p>
    <w:p>
      <w:pPr>
        <w:jc w:val="both"/>
        <w:ind w:firstLine="240"/>
        <w:spacing w:after="0" w:line="294" w:lineRule="auto"/>
        <w:rPr>
          <w:sz w:val="20"/>
          <w:szCs w:val="20"/>
          <w:color w:val="auto"/>
        </w:rPr>
      </w:pPr>
      <w:r>
        <w:rPr>
          <w:rFonts w:ascii="Times New Roman" w:cs="Times New Roman" w:eastAsia="Times New Roman" w:hAnsi="Times New Roman"/>
          <w:sz w:val="13"/>
          <w:szCs w:val="13"/>
          <w:color w:val="auto"/>
        </w:rPr>
        <w:t>Net loss attributable to redeemable non-controlling interests increased by $6.6 million or 80%. The net loss for the three months ended March 31, 2024 and 2023 reflects the portion of earnings belonging to OPAL Fuels equity holders.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Net loss attributable to non-redeemable non-controlling interests</w:t>
      </w:r>
    </w:p>
    <w:p>
      <w:pPr>
        <w:spacing w:after="0" w:line="115" w:lineRule="exact"/>
        <w:rPr>
          <w:sz w:val="20"/>
          <w:szCs w:val="20"/>
          <w:color w:val="auto"/>
        </w:rPr>
      </w:pPr>
    </w:p>
    <w:p>
      <w:pPr>
        <w:jc w:val="both"/>
        <w:ind w:firstLine="480"/>
        <w:spacing w:after="0" w:line="287" w:lineRule="auto"/>
        <w:rPr>
          <w:sz w:val="20"/>
          <w:szCs w:val="20"/>
          <w:color w:val="auto"/>
        </w:rPr>
      </w:pPr>
      <w:r>
        <w:rPr>
          <w:rFonts w:ascii="Times New Roman" w:cs="Times New Roman" w:eastAsia="Times New Roman" w:hAnsi="Times New Roman"/>
          <w:sz w:val="13"/>
          <w:szCs w:val="13"/>
          <w:color w:val="auto"/>
        </w:rPr>
        <w:t>Net loss attributable to non-redeemable non-controlling interests for the three months ended March 31, 2024 increased by $0.3 million or 101% compared to three months ended March 31, 2023. The increase is primarily related to an increase in net income allocated to non-redeemable non-controlling interests on Sunoma and a decrease in loss on Emerald and Sapphire as they were deconsolidated in May 2023.</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Dividends on redeemable preferred non-controlling interests</w:t>
      </w:r>
    </w:p>
    <w:p>
      <w:pPr>
        <w:spacing w:after="0" w:line="125" w:lineRule="exact"/>
        <w:rPr>
          <w:sz w:val="20"/>
          <w:szCs w:val="20"/>
          <w:color w:val="auto"/>
        </w:rPr>
      </w:pPr>
    </w:p>
    <w:p>
      <w:pPr>
        <w:jc w:val="both"/>
        <w:ind w:firstLine="240"/>
        <w:spacing w:after="0" w:line="294" w:lineRule="auto"/>
        <w:rPr>
          <w:sz w:val="20"/>
          <w:szCs w:val="20"/>
          <w:color w:val="auto"/>
        </w:rPr>
      </w:pPr>
      <w:r>
        <w:rPr>
          <w:rFonts w:ascii="Times New Roman" w:cs="Times New Roman" w:eastAsia="Times New Roman" w:hAnsi="Times New Roman"/>
          <w:sz w:val="13"/>
          <w:szCs w:val="13"/>
          <w:color w:val="auto"/>
        </w:rPr>
        <w:t>Redeemable preferred non-controlling interests decreased by $0.1 million for the three months ended March 31, 2024 compared to three months ended March 31, 2023. They carry an interest of 8% dividend payable quarterly.</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Liquidity</w:t>
      </w:r>
    </w:p>
    <w:p>
      <w:pPr>
        <w:spacing w:after="0" w:line="115" w:lineRule="exact"/>
        <w:rPr>
          <w:sz w:val="20"/>
          <w:szCs w:val="20"/>
          <w:color w:val="auto"/>
        </w:rPr>
      </w:pPr>
    </w:p>
    <w:p>
      <w:pPr>
        <w:jc w:val="both"/>
        <w:ind w:left="120" w:firstLine="240"/>
        <w:spacing w:after="0" w:line="294" w:lineRule="auto"/>
        <w:rPr>
          <w:sz w:val="20"/>
          <w:szCs w:val="20"/>
          <w:color w:val="auto"/>
        </w:rPr>
      </w:pPr>
      <w:r>
        <w:rPr>
          <w:rFonts w:ascii="Times New Roman" w:cs="Times New Roman" w:eastAsia="Times New Roman" w:hAnsi="Times New Roman"/>
          <w:sz w:val="13"/>
          <w:szCs w:val="13"/>
          <w:color w:val="auto"/>
        </w:rPr>
        <w:t>As of March 31, 2024, our liquidity consisted of cash and cash equivalents including restricted cash of $32.7 million and $6.0 million of short term investments. Additionally, we have availability of $263.4 million under the delayed draw term loan and $36.4 million under the revolver facility under the OPAL Term Loan.</w:t>
      </w:r>
    </w:p>
    <w:p>
      <w:pPr>
        <w:spacing w:after="0" w:line="64" w:lineRule="exact"/>
        <w:rPr>
          <w:sz w:val="20"/>
          <w:szCs w:val="20"/>
          <w:color w:val="auto"/>
        </w:rPr>
      </w:pPr>
    </w:p>
    <w:p>
      <w:pPr>
        <w:jc w:val="both"/>
        <w:ind w:left="120" w:firstLine="240"/>
        <w:spacing w:after="0" w:line="275" w:lineRule="auto"/>
        <w:rPr>
          <w:sz w:val="20"/>
          <w:szCs w:val="20"/>
          <w:color w:val="auto"/>
        </w:rPr>
      </w:pPr>
      <w:r>
        <w:rPr>
          <w:rFonts w:ascii="Times New Roman" w:cs="Times New Roman" w:eastAsia="Times New Roman" w:hAnsi="Times New Roman"/>
          <w:sz w:val="13"/>
          <w:szCs w:val="13"/>
          <w:color w:val="auto"/>
        </w:rPr>
        <w:t>We expect that our available cash together with our other assets, expected cash flows from operations, available lines of credit under various debt facilities and access to expected sources of capital will be sufficient to meet our existing commitments for a period of at least twelve months from the date of this report. Any reduction in demand for our products or our ability to manage our production facilities may result in lower cash flows from operations which may impact our ability to make investments and may require changes to our growth plan.</w:t>
      </w:r>
    </w:p>
    <w:p>
      <w:pPr>
        <w:spacing w:after="0" w:line="67" w:lineRule="exact"/>
        <w:rPr>
          <w:sz w:val="20"/>
          <w:szCs w:val="20"/>
          <w:color w:val="auto"/>
        </w:rPr>
      </w:pPr>
    </w:p>
    <w:p>
      <w:pPr>
        <w:jc w:val="both"/>
        <w:ind w:left="120" w:firstLine="240"/>
        <w:spacing w:after="0" w:line="269" w:lineRule="auto"/>
        <w:rPr>
          <w:sz w:val="20"/>
          <w:szCs w:val="20"/>
          <w:color w:val="auto"/>
        </w:rPr>
      </w:pPr>
      <w:r>
        <w:rPr>
          <w:rFonts w:ascii="Times New Roman" w:cs="Times New Roman" w:eastAsia="Times New Roman" w:hAnsi="Times New Roman"/>
          <w:sz w:val="13"/>
          <w:szCs w:val="13"/>
          <w:color w:val="auto"/>
        </w:rPr>
        <w:t>To fund future growth, we anticipate seeking additional capital through equity or debt financings. The amount and timing of our future funding requirements will depend on many factors, including the pace and results of our project development efforts. We may be unable to obtain any such additional financing on acceptable terms or at all. Our ability to access capital when needed is not assured and, if capital is not available when, and in the amounts, needed, we could be required to delay, scale back or abandon some or all of our development programs and other operations, which could materially harm our business, prospects, financial condition, and operating results.</w:t>
      </w:r>
    </w:p>
    <w:p>
      <w:pPr>
        <w:spacing w:after="0" w:line="80" w:lineRule="exact"/>
        <w:rPr>
          <w:sz w:val="20"/>
          <w:szCs w:val="20"/>
          <w:color w:val="auto"/>
        </w:rPr>
      </w:pPr>
    </w:p>
    <w:p>
      <w:pPr>
        <w:ind w:firstLine="240"/>
        <w:spacing w:after="0" w:line="294" w:lineRule="auto"/>
        <w:rPr>
          <w:sz w:val="20"/>
          <w:szCs w:val="20"/>
          <w:color w:val="auto"/>
        </w:rPr>
      </w:pPr>
      <w:r>
        <w:rPr>
          <w:rFonts w:ascii="Times New Roman" w:cs="Times New Roman" w:eastAsia="Times New Roman" w:hAnsi="Times New Roman"/>
          <w:sz w:val="13"/>
          <w:szCs w:val="13"/>
          <w:color w:val="auto"/>
        </w:rPr>
        <w:t>As of March 31, 2024, we had total indebtedness excluding deferred financing costs of $208.7 million in principal amount which primarily consists of $186.6 million under the OPAL Term Loan and $22.1 million under Sunoma Loan.</w:t>
      </w:r>
    </w:p>
    <w:p>
      <w:pPr>
        <w:spacing w:after="0" w:line="64" w:lineRule="exact"/>
        <w:rPr>
          <w:sz w:val="20"/>
          <w:szCs w:val="20"/>
          <w:color w:val="auto"/>
        </w:rPr>
      </w:pPr>
    </w:p>
    <w:p>
      <w:pPr>
        <w:ind w:firstLine="240"/>
        <w:spacing w:after="0" w:line="294" w:lineRule="auto"/>
        <w:rPr>
          <w:sz w:val="20"/>
          <w:szCs w:val="20"/>
          <w:color w:val="auto"/>
        </w:rPr>
      </w:pPr>
      <w:r>
        <w:rPr>
          <w:rFonts w:ascii="Times New Roman" w:cs="Times New Roman" w:eastAsia="Times New Roman" w:hAnsi="Times New Roman"/>
          <w:sz w:val="13"/>
          <w:szCs w:val="13"/>
          <w:color w:val="auto"/>
        </w:rPr>
        <w:t>As part of our operations, we have arrangements for office space for our corporate headquarters under the Administrative Services Agreement as well as operating leases for office space, warehouse space, and our vehicle fleet.</w:t>
      </w:r>
    </w:p>
    <w:p>
      <w:pPr>
        <w:spacing w:after="0" w:line="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We intend to make payments under our various debt instruments when due and pursue opportunities for earlier repayment and/or refinancing if and when these opportunities arise.</w:t>
      </w:r>
    </w:p>
    <w:p>
      <w:pPr>
        <w:spacing w:after="0" w:line="11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 xml:space="preserve">See Note 7. </w:t>
      </w:r>
      <w:r>
        <w:rPr>
          <w:rFonts w:ascii="Times New Roman" w:cs="Times New Roman" w:eastAsia="Times New Roman" w:hAnsi="Times New Roman"/>
          <w:sz w:val="13"/>
          <w:szCs w:val="13"/>
          <w:i w:val="1"/>
          <w:iCs w:val="1"/>
          <w:color w:val="auto"/>
        </w:rPr>
        <w:t>Borrowings,</w:t>
      </w:r>
      <w:r>
        <w:rPr>
          <w:rFonts w:ascii="Times New Roman" w:cs="Times New Roman" w:eastAsia="Times New Roman" w:hAnsi="Times New Roman"/>
          <w:sz w:val="13"/>
          <w:szCs w:val="13"/>
          <w:color w:val="auto"/>
        </w:rPr>
        <w:t xml:space="preserve"> to our condensed consolidated financial statements.</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161290</wp:posOffset>
            </wp:positionV>
            <wp:extent cx="7193280"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837" w:right="31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177"/>
        </w:trPr>
        <w:tc>
          <w:tcPr>
            <w:tcW w:w="82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i w:val="1"/>
                <w:iCs w:val="1"/>
                <w:color w:val="auto"/>
              </w:rPr>
              <w:t>Cash Flows</w:t>
            </w: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820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The following table presents the Company's cash flows for the three months ended March 31, 2024 and 2023:</w:t>
            </w: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0"/>
        </w:trPr>
        <w:tc>
          <w:tcPr>
            <w:tcW w:w="8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720" w:type="dxa"/>
            <w:vAlign w:val="bottom"/>
            <w:gridSpan w:val="4"/>
          </w:tcPr>
          <w:p>
            <w:pPr>
              <w:jc w:val="right"/>
              <w:ind w:right="553"/>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0" w:type="dxa"/>
            <w:vAlign w:val="bottom"/>
          </w:tcPr>
          <w:p>
            <w:pPr>
              <w:spacing w:after="0"/>
              <w:rPr>
                <w:sz w:val="1"/>
                <w:szCs w:val="1"/>
                <w:color w:val="auto"/>
              </w:rPr>
            </w:pPr>
          </w:p>
        </w:tc>
      </w:tr>
      <w:tr>
        <w:trPr>
          <w:trHeight w:val="20"/>
        </w:trPr>
        <w:tc>
          <w:tcPr>
            <w:tcW w:w="810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(in thousands)</w:t>
            </w:r>
          </w:p>
        </w:tc>
        <w:tc>
          <w:tcPr>
            <w:tcW w:w="100" w:type="dxa"/>
            <w:vAlign w:val="bottom"/>
            <w:vMerge w:val="restart"/>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5"/>
        </w:trPr>
        <w:tc>
          <w:tcPr>
            <w:tcW w:w="81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3"/>
                <w:szCs w:val="13"/>
                <w:b w:val="1"/>
                <w:bCs w:val="1"/>
                <w:color w:val="auto"/>
              </w:rPr>
              <w:t>2023</w:t>
            </w:r>
          </w:p>
        </w:tc>
        <w:tc>
          <w:tcPr>
            <w:tcW w:w="0" w:type="dxa"/>
            <w:vAlign w:val="bottom"/>
          </w:tcPr>
          <w:p>
            <w:pPr>
              <w:spacing w:after="0"/>
              <w:rPr>
                <w:sz w:val="1"/>
                <w:szCs w:val="1"/>
                <w:color w:val="auto"/>
              </w:rPr>
            </w:pPr>
          </w:p>
        </w:tc>
      </w:tr>
      <w:tr>
        <w:trPr>
          <w:trHeight w:val="185"/>
        </w:trPr>
        <w:tc>
          <w:tcPr>
            <w:tcW w:w="8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cash provided by from operating activities</w:t>
            </w:r>
          </w:p>
        </w:tc>
        <w:tc>
          <w:tcPr>
            <w:tcW w:w="36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13,718</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4,171</w:t>
            </w:r>
          </w:p>
        </w:tc>
        <w:tc>
          <w:tcPr>
            <w:tcW w:w="0" w:type="dxa"/>
            <w:vAlign w:val="bottom"/>
          </w:tcPr>
          <w:p>
            <w:pPr>
              <w:spacing w:after="0"/>
              <w:rPr>
                <w:sz w:val="1"/>
                <w:szCs w:val="1"/>
                <w:color w:val="auto"/>
              </w:rPr>
            </w:pPr>
          </w:p>
        </w:tc>
      </w:tr>
      <w:tr>
        <w:trPr>
          <w:trHeight w:val="185"/>
        </w:trPr>
        <w:tc>
          <w:tcPr>
            <w:tcW w:w="82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Net cash used in from investing activities</w:t>
            </w: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(21,626)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(8,894)</w:t>
            </w:r>
          </w:p>
        </w:tc>
        <w:tc>
          <w:tcPr>
            <w:tcW w:w="0" w:type="dxa"/>
            <w:vAlign w:val="bottom"/>
          </w:tcPr>
          <w:p>
            <w:pPr>
              <w:spacing w:after="0"/>
              <w:rPr>
                <w:sz w:val="1"/>
                <w:szCs w:val="1"/>
                <w:color w:val="auto"/>
              </w:rPr>
            </w:pPr>
          </w:p>
        </w:tc>
      </w:tr>
      <w:tr>
        <w:trPr>
          <w:trHeight w:val="190"/>
        </w:trPr>
        <w:tc>
          <w:tcPr>
            <w:tcW w:w="8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cash used in provided by from financing activities</w:t>
            </w:r>
          </w:p>
        </w:tc>
        <w:tc>
          <w:tcPr>
            <w:tcW w:w="36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(6,638)</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(32,676)</w:t>
            </w:r>
          </w:p>
        </w:tc>
        <w:tc>
          <w:tcPr>
            <w:tcW w:w="0" w:type="dxa"/>
            <w:vAlign w:val="bottom"/>
          </w:tcPr>
          <w:p>
            <w:pPr>
              <w:spacing w:after="0"/>
              <w:rPr>
                <w:sz w:val="1"/>
                <w:szCs w:val="1"/>
                <w:color w:val="auto"/>
              </w:rPr>
            </w:pPr>
          </w:p>
        </w:tc>
      </w:tr>
      <w:tr>
        <w:trPr>
          <w:trHeight w:val="185"/>
        </w:trPr>
        <w:tc>
          <w:tcPr>
            <w:tcW w:w="82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Net decrease in cash, restricted cash, and cash equivalents</w:t>
            </w:r>
          </w:p>
        </w:tc>
        <w:tc>
          <w:tcPr>
            <w:tcW w:w="36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(14,546)</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(37,399)</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Net Cash Provided by Operating Activities</w:t>
      </w:r>
    </w:p>
    <w:p>
      <w:pPr>
        <w:spacing w:after="0" w:line="113" w:lineRule="exact"/>
        <w:rPr>
          <w:sz w:val="20"/>
          <w:szCs w:val="20"/>
          <w:color w:val="auto"/>
        </w:rPr>
      </w:pPr>
    </w:p>
    <w:p>
      <w:pPr>
        <w:jc w:val="both"/>
        <w:ind w:firstLine="240"/>
        <w:spacing w:after="0" w:line="294" w:lineRule="auto"/>
        <w:rPr>
          <w:sz w:val="20"/>
          <w:szCs w:val="20"/>
          <w:color w:val="auto"/>
        </w:rPr>
      </w:pPr>
      <w:r>
        <w:rPr>
          <w:rFonts w:ascii="Times New Roman" w:cs="Times New Roman" w:eastAsia="Times New Roman" w:hAnsi="Times New Roman"/>
          <w:sz w:val="13"/>
          <w:szCs w:val="13"/>
          <w:color w:val="auto"/>
        </w:rPr>
        <w:t>Net cash provided by operating activities for the three months ended March 31, 2024 was $13.7 million, an increase of $9.5 million compared to $4.2 million for the three months ended March 31, 2023. The increase in cash provided by operating activities was attributable to higher revenues from RIN sales offset by decrease in working capital changes primarily from increase in contract assets.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Net Cash Used in Investing Activities</w:t>
      </w:r>
    </w:p>
    <w:p>
      <w:pPr>
        <w:spacing w:after="0" w:line="123" w:lineRule="exact"/>
        <w:rPr>
          <w:sz w:val="20"/>
          <w:szCs w:val="20"/>
          <w:color w:val="auto"/>
        </w:rPr>
      </w:pPr>
    </w:p>
    <w:p>
      <w:pPr>
        <w:jc w:val="both"/>
        <w:ind w:firstLine="240"/>
        <w:spacing w:after="0" w:line="275" w:lineRule="auto"/>
        <w:rPr>
          <w:sz w:val="20"/>
          <w:szCs w:val="20"/>
          <w:color w:val="auto"/>
        </w:rPr>
      </w:pPr>
      <w:r>
        <w:rPr>
          <w:rFonts w:ascii="Times New Roman" w:cs="Times New Roman" w:eastAsia="Times New Roman" w:hAnsi="Times New Roman"/>
          <w:sz w:val="13"/>
          <w:szCs w:val="13"/>
          <w:color w:val="auto"/>
        </w:rPr>
        <w:t>Net cash used in investing activities for the three months ended March 31, 2024 was $21.6 million, a decrease of $12.7 million compared to the $8.9 million used in investing activities for the three months ended March 31, 2023. This was primarily driven by a decrease in cash invested in short term investments of $24.1 million, and an increase of $1.5 million for contribution to equity method investments offset by a decrease of $12.0 million in capital expenditures for the construction of various RNG generation and dispensing facilities and $0.8 million increase in distributions from equity method investments.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Net Cash Provided by Financing Activities</w:t>
      </w:r>
    </w:p>
    <w:p>
      <w:pPr>
        <w:spacing w:after="0" w:line="113" w:lineRule="exact"/>
        <w:rPr>
          <w:sz w:val="20"/>
          <w:szCs w:val="20"/>
          <w:color w:val="auto"/>
        </w:rPr>
      </w:pPr>
    </w:p>
    <w:p>
      <w:pPr>
        <w:jc w:val="both"/>
        <w:ind w:firstLine="240"/>
        <w:spacing w:after="0" w:line="269" w:lineRule="auto"/>
        <w:rPr>
          <w:sz w:val="20"/>
          <w:szCs w:val="20"/>
          <w:color w:val="auto"/>
        </w:rPr>
      </w:pPr>
      <w:r>
        <w:rPr>
          <w:rFonts w:ascii="Times New Roman" w:cs="Times New Roman" w:eastAsia="Times New Roman" w:hAnsi="Times New Roman"/>
          <w:sz w:val="13"/>
          <w:szCs w:val="13"/>
          <w:color w:val="auto"/>
        </w:rPr>
        <w:t>Net cash used in financing activities for the three months ended March 31, 2024 was $6.6 million, a decrease of $26.0 million compared to the $32.7 million provided from financing activities for the three months ended March 31, 2023. This decrease was primarily driven by decrease in repayment of $22.7 million of Senior Secured Facility, $6.9 million of the OPAL Term Loan, $16.4 million for repurchase of shares from the exercise of the put option offset by proceeds from OPAL Term Loan of $10.0 million and $3.5 million of proceeds from non-redeemable non-controlling interests in 2023. Additionally, the Company paid $5.2 million as dividends on redeemable preferred non-controlling interests.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Capital expenditures and other cash commitments</w:t>
      </w:r>
    </w:p>
    <w:p>
      <w:pPr>
        <w:spacing w:after="0" w:line="125" w:lineRule="exact"/>
        <w:rPr>
          <w:sz w:val="20"/>
          <w:szCs w:val="20"/>
          <w:color w:val="auto"/>
        </w:rPr>
      </w:pPr>
    </w:p>
    <w:p>
      <w:pPr>
        <w:jc w:val="both"/>
        <w:ind w:firstLine="240"/>
        <w:spacing w:after="0" w:line="266" w:lineRule="auto"/>
        <w:rPr>
          <w:sz w:val="20"/>
          <w:szCs w:val="20"/>
          <w:color w:val="auto"/>
        </w:rPr>
      </w:pPr>
      <w:r>
        <w:rPr>
          <w:rFonts w:ascii="Times New Roman" w:cs="Times New Roman" w:eastAsia="Times New Roman" w:hAnsi="Times New Roman"/>
          <w:sz w:val="13"/>
          <w:szCs w:val="13"/>
          <w:color w:val="auto"/>
        </w:rPr>
        <w:t>We require cash to fund our capital expenditures, operating expenses and working capital and other requirements, including costs associated with fuel sales; outlays for the design and construction of new Fueling Stations and RNG production facilities; debt repayments and repurchases; maintenance of our electrification production facilities supporting our operations, including maintenance and improvements of our infrastructure; supporting our sales and marketing activities, including support of legislative and regulatory initiatives; any investments in other entities; any mergers or acquisitions, including acquisitions to expand our RNG production capacity; pursuing market expansion as opportunities arise, including geographically and to new customer markets; and to fund other activities or pursuits and for other general corporate purposes.</w:t>
      </w:r>
    </w:p>
    <w:p>
      <w:pPr>
        <w:spacing w:after="0" w:line="82" w:lineRule="exact"/>
        <w:rPr>
          <w:sz w:val="20"/>
          <w:szCs w:val="20"/>
          <w:color w:val="auto"/>
        </w:rPr>
      </w:pPr>
    </w:p>
    <w:p>
      <w:pPr>
        <w:jc w:val="both"/>
        <w:ind w:firstLine="240"/>
        <w:spacing w:after="0" w:line="275" w:lineRule="auto"/>
        <w:rPr>
          <w:sz w:val="20"/>
          <w:szCs w:val="20"/>
          <w:color w:val="auto"/>
        </w:rPr>
      </w:pPr>
      <w:r>
        <w:rPr>
          <w:rFonts w:ascii="Times New Roman" w:cs="Times New Roman" w:eastAsia="Times New Roman" w:hAnsi="Times New Roman"/>
          <w:sz w:val="13"/>
          <w:szCs w:val="13"/>
          <w:color w:val="auto"/>
        </w:rPr>
        <w:t>As of March 31, 2024, we anticipate spending approximately $189.6 million in capital expenditures for the next 12 months for projects and fuel stations currently under construction and our share of contributions in our equity method investment projects. These expenditures do not include any expected contributions from our joint venture partners and primarily relate to our development and construction of new renewable energy facilities and the purchase of equipment used in our Fueling Station services and Renewable Power operations</w:t>
      </w:r>
      <w:r>
        <w:rPr>
          <w:rFonts w:ascii="Times New Roman" w:cs="Times New Roman" w:eastAsia="Times New Roman" w:hAnsi="Times New Roman"/>
          <w:sz w:val="13"/>
          <w:szCs w:val="13"/>
          <w:b w:val="1"/>
          <w:bCs w:val="1"/>
          <w:color w:val="auto"/>
        </w:rPr>
        <w:t>.</w:t>
      </w:r>
    </w:p>
    <w:p>
      <w:pPr>
        <w:spacing w:after="0" w:line="65" w:lineRule="exact"/>
        <w:rPr>
          <w:sz w:val="20"/>
          <w:szCs w:val="20"/>
          <w:color w:val="auto"/>
        </w:rPr>
      </w:pPr>
    </w:p>
    <w:p>
      <w:pPr>
        <w:jc w:val="both"/>
        <w:ind w:firstLine="240"/>
        <w:spacing w:after="0" w:line="297" w:lineRule="auto"/>
        <w:rPr>
          <w:sz w:val="20"/>
          <w:szCs w:val="20"/>
          <w:color w:val="auto"/>
        </w:rPr>
      </w:pPr>
      <w:r>
        <w:rPr>
          <w:rFonts w:ascii="Times New Roman" w:cs="Times New Roman" w:eastAsia="Times New Roman" w:hAnsi="Times New Roman"/>
          <w:sz w:val="13"/>
          <w:szCs w:val="13"/>
          <w:color w:val="auto"/>
        </w:rPr>
        <w:t xml:space="preserve">In addition to the above, we also have lease commitments on our vehicle fleets and office leases and quarterly amortization payment obligations under various debt facilities. Please see Note 7. </w:t>
      </w:r>
      <w:r>
        <w:rPr>
          <w:rFonts w:ascii="Times New Roman" w:cs="Times New Roman" w:eastAsia="Times New Roman" w:hAnsi="Times New Roman"/>
          <w:sz w:val="13"/>
          <w:szCs w:val="13"/>
          <w:i w:val="1"/>
          <w:iCs w:val="1"/>
          <w:color w:val="auto"/>
        </w:rPr>
        <w:t>Borrowings</w:t>
      </w:r>
      <w:r>
        <w:rPr>
          <w:rFonts w:ascii="Times New Roman" w:cs="Times New Roman" w:eastAsia="Times New Roman" w:hAnsi="Times New Roman"/>
          <w:sz w:val="13"/>
          <w:szCs w:val="13"/>
          <w:color w:val="auto"/>
        </w:rPr>
        <w:t xml:space="preserve"> and Note 8. </w:t>
      </w:r>
      <w:r>
        <w:rPr>
          <w:rFonts w:ascii="Times New Roman" w:cs="Times New Roman" w:eastAsia="Times New Roman" w:hAnsi="Times New Roman"/>
          <w:sz w:val="13"/>
          <w:szCs w:val="13"/>
          <w:i w:val="1"/>
          <w:iCs w:val="1"/>
          <w:color w:val="auto"/>
        </w:rPr>
        <w:t>Leases</w:t>
      </w:r>
      <w:r>
        <w:rPr>
          <w:rFonts w:ascii="Times New Roman" w:cs="Times New Roman" w:eastAsia="Times New Roman" w:hAnsi="Times New Roman"/>
          <w:sz w:val="13"/>
          <w:szCs w:val="13"/>
          <w:color w:val="auto"/>
        </w:rPr>
        <w:t xml:space="preserve"> to our condensed consolidated financial statements for additional information.</w:t>
      </w:r>
    </w:p>
    <w:p>
      <w:pPr>
        <w:spacing w:after="0" w:line="6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We plan to fund these expenditures primarily through cash on hand, cash generated from operations, and cash from the Business Combination and PIPE Investment.</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161290</wp:posOffset>
            </wp:positionV>
            <wp:extent cx="7193280"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883" w:right="3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3"/>
          <w:szCs w:val="13"/>
          <w:b w:val="1"/>
          <w:bCs w:val="1"/>
          <w:color w:val="auto"/>
        </w:rPr>
        <w:t>Item 3. Quantitative and Qualitative Disclosures About Market Risk</w:t>
      </w:r>
    </w:p>
    <w:p>
      <w:pPr>
        <w:spacing w:after="0" w:line="175" w:lineRule="exact"/>
        <w:rPr>
          <w:sz w:val="20"/>
          <w:szCs w:val="20"/>
          <w:color w:val="auto"/>
        </w:rPr>
      </w:pPr>
    </w:p>
    <w:p>
      <w:pPr>
        <w:ind w:right="5060"/>
        <w:spacing w:after="0" w:line="294" w:lineRule="auto"/>
        <w:rPr>
          <w:sz w:val="20"/>
          <w:szCs w:val="20"/>
          <w:color w:val="auto"/>
        </w:rPr>
      </w:pPr>
      <w:r>
        <w:rPr>
          <w:rFonts w:ascii="Times New Roman" w:cs="Times New Roman" w:eastAsia="Times New Roman" w:hAnsi="Times New Roman"/>
          <w:sz w:val="13"/>
          <w:szCs w:val="13"/>
          <w:color w:val="auto"/>
        </w:rPr>
        <w:t xml:space="preserve">The Company is not required to provide the information required by this Item as it is a “smaller reporting company.” </w:t>
      </w:r>
      <w:r>
        <w:rPr>
          <w:rFonts w:ascii="Times New Roman" w:cs="Times New Roman" w:eastAsia="Times New Roman" w:hAnsi="Times New Roman"/>
          <w:sz w:val="13"/>
          <w:szCs w:val="13"/>
          <w:b w:val="1"/>
          <w:bCs w:val="1"/>
          <w:color w:val="auto"/>
        </w:rPr>
        <w:t>Item 4. Controls and Procedures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Evaluation of Disclosure Controls and Procedures</w:t>
      </w:r>
    </w:p>
    <w:p>
      <w:pPr>
        <w:spacing w:after="0" w:line="183" w:lineRule="exact"/>
        <w:rPr>
          <w:sz w:val="20"/>
          <w:szCs w:val="20"/>
          <w:color w:val="auto"/>
        </w:rPr>
      </w:pPr>
    </w:p>
    <w:p>
      <w:pPr>
        <w:jc w:val="both"/>
        <w:ind w:firstLine="480"/>
        <w:spacing w:after="0" w:line="253" w:lineRule="auto"/>
        <w:rPr>
          <w:sz w:val="20"/>
          <w:szCs w:val="20"/>
          <w:color w:val="auto"/>
        </w:rPr>
      </w:pPr>
      <w:r>
        <w:rPr>
          <w:rFonts w:ascii="Times New Roman" w:cs="Times New Roman" w:eastAsia="Times New Roman" w:hAnsi="Times New Roman"/>
          <w:sz w:val="13"/>
          <w:szCs w:val="13"/>
          <w:color w:val="auto"/>
        </w:rPr>
        <w:t>Our management, with the participation of our Co-Chief Executive Officers and our Interim Chief Financial Officer (our co-principal executive officers and principal financial officer, respectively), evaluated, as of the end of the period covered by this Quarterly Report on Form 10-Q, the effectiveness of our disclosure controls and procedures as defined in Rules 13a-15(e) or 15d-15(e) under the Exchange Act. The term “disclosure controls and procedures,” as defined in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disclosures.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50" w:lineRule="exact"/>
        <w:rPr>
          <w:sz w:val="20"/>
          <w:szCs w:val="20"/>
          <w:color w:val="auto"/>
        </w:rPr>
      </w:pPr>
    </w:p>
    <w:p>
      <w:pPr>
        <w:jc w:val="both"/>
        <w:ind w:firstLine="480"/>
        <w:spacing w:after="0" w:line="294" w:lineRule="auto"/>
        <w:rPr>
          <w:sz w:val="20"/>
          <w:szCs w:val="20"/>
          <w:color w:val="auto"/>
        </w:rPr>
      </w:pPr>
      <w:r>
        <w:rPr>
          <w:rFonts w:ascii="Times New Roman" w:cs="Times New Roman" w:eastAsia="Times New Roman" w:hAnsi="Times New Roman"/>
          <w:sz w:val="13"/>
          <w:szCs w:val="13"/>
          <w:color w:val="auto"/>
        </w:rPr>
        <w:t>Based on that evaluation of our disclosure controls and procedures as required by Rules 13a-15(b) or 15d-15(b) under the Exchange Act, as of March 31, 2024, our Co-Chief Executive Officers and Interim Chief Financial Officer concluded that, as of such date, our disclosure controls and procedures were effective for the period covered by this report .</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Changes in Internal Controls over Financial Reporting</w:t>
      </w:r>
    </w:p>
    <w:p>
      <w:pPr>
        <w:spacing w:after="0" w:line="183" w:lineRule="exact"/>
        <w:rPr>
          <w:sz w:val="20"/>
          <w:szCs w:val="20"/>
          <w:color w:val="auto"/>
        </w:rPr>
      </w:pPr>
    </w:p>
    <w:p>
      <w:pPr>
        <w:jc w:val="both"/>
        <w:ind w:firstLine="480"/>
        <w:spacing w:after="0" w:line="294" w:lineRule="auto"/>
        <w:rPr>
          <w:sz w:val="20"/>
          <w:szCs w:val="20"/>
          <w:color w:val="auto"/>
        </w:rPr>
      </w:pPr>
      <w:r>
        <w:rPr>
          <w:rFonts w:ascii="Times New Roman" w:cs="Times New Roman" w:eastAsia="Times New Roman" w:hAnsi="Times New Roman"/>
          <w:sz w:val="13"/>
          <w:szCs w:val="13"/>
          <w:color w:val="auto"/>
        </w:rPr>
        <w:t>No change in our internal control over financial reporting (as defined in Rules 13a-15(f) or 15d-15(f) under the Exchange Act) was identified in the evaluation required by Rule 13a-15(d) or 15d-15(d) under the Exchange Act during the quarter ended March 31, 2024 that has materially affected, or is reasonably likely to materially affect, our internal controls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161290</wp:posOffset>
            </wp:positionV>
            <wp:extent cx="7193280"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883" w:right="31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6"/>
          <w:szCs w:val="16"/>
          <w:b w:val="1"/>
          <w:bCs w:val="1"/>
          <w:color w:val="auto"/>
        </w:rPr>
        <w:t>Part II - Other Information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1. Legal Proceedings</w:t>
      </w:r>
    </w:p>
    <w:p>
      <w:pPr>
        <w:spacing w:after="0" w:line="19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3"/>
          <w:szCs w:val="13"/>
          <w:color w:val="auto"/>
        </w:rPr>
        <w:t>From time to time, we are involved in various legal proceedings, lawsuits and claims incidental to the conduct of our business, some of which may be material. Our businesses are also subject to extensive regulation, which may result in regulatory proceedings against us. We do not believe that the outcome of any of our current legal proceedings will have a material adverse impact on our business, financial condition and results of operations.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Central Valley Project</w:t>
      </w:r>
    </w:p>
    <w:p>
      <w:pPr>
        <w:spacing w:after="0" w:line="193" w:lineRule="exact"/>
        <w:rPr>
          <w:sz w:val="20"/>
          <w:szCs w:val="20"/>
          <w:color w:val="auto"/>
        </w:rPr>
      </w:pPr>
    </w:p>
    <w:p>
      <w:pPr>
        <w:jc w:val="both"/>
        <w:ind w:firstLine="480"/>
        <w:spacing w:after="0" w:line="275" w:lineRule="auto"/>
        <w:rPr>
          <w:sz w:val="20"/>
          <w:szCs w:val="20"/>
          <w:color w:val="auto"/>
        </w:rPr>
      </w:pPr>
      <w:r>
        <w:rPr>
          <w:rFonts w:ascii="Times New Roman" w:cs="Times New Roman" w:eastAsia="Times New Roman" w:hAnsi="Times New Roman"/>
          <w:sz w:val="13"/>
          <w:szCs w:val="13"/>
          <w:color w:val="auto"/>
        </w:rPr>
        <w:t>In September 2021, an indirect subsidiary of the Company, MD Digester, LLC, entered into a fixed-price Engineering, Procurement and Construction Contract (an “EPC Contract”) with VEC Partners, Inc. d/b/a CEI Builders (“Contractor”) for the design and construction of a turn-key renewable natural gas production facility using dairy cow manure as feedstock. In December 2021, a second indirect subsidiary of the Company, VS Digester, LLC entered into a nearly identical EPC Contract with Contractor for the design and construction of a second facility in connection with the same project.</w:t>
      </w:r>
    </w:p>
    <w:p>
      <w:pPr>
        <w:spacing w:after="0" w:line="147" w:lineRule="exact"/>
        <w:rPr>
          <w:sz w:val="20"/>
          <w:szCs w:val="20"/>
          <w:color w:val="auto"/>
        </w:rPr>
      </w:pPr>
    </w:p>
    <w:p>
      <w:pPr>
        <w:jc w:val="both"/>
        <w:ind w:firstLine="480"/>
        <w:spacing w:after="0" w:line="275" w:lineRule="auto"/>
        <w:rPr>
          <w:sz w:val="20"/>
          <w:szCs w:val="20"/>
          <w:color w:val="auto"/>
        </w:rPr>
      </w:pPr>
      <w:r>
        <w:rPr>
          <w:rFonts w:ascii="Times New Roman" w:cs="Times New Roman" w:eastAsia="Times New Roman" w:hAnsi="Times New Roman"/>
          <w:sz w:val="13"/>
          <w:szCs w:val="13"/>
          <w:color w:val="auto"/>
        </w:rPr>
        <w:t>Contractor has submitted a series of change order requests seeking to increase the EPC Contract price under each contract by approximately $14 million (i.e., approximately $28 million in total), primarily due to modifications to Contractor’s design drawings that are required to meet its contracted performance guaranties and a termination (for default) of one of Contractor’s major equipment manufacturers. The Company disputes substantially all of the change order requests.</w:t>
      </w:r>
    </w:p>
    <w:p>
      <w:pPr>
        <w:spacing w:after="0" w:line="147" w:lineRule="exact"/>
        <w:rPr>
          <w:sz w:val="20"/>
          <w:szCs w:val="20"/>
          <w:color w:val="auto"/>
        </w:rPr>
      </w:pPr>
    </w:p>
    <w:p>
      <w:pPr>
        <w:jc w:val="both"/>
        <w:ind w:firstLine="480"/>
        <w:spacing w:after="0" w:line="266" w:lineRule="auto"/>
        <w:rPr>
          <w:sz w:val="20"/>
          <w:szCs w:val="20"/>
          <w:color w:val="auto"/>
        </w:rPr>
      </w:pPr>
      <w:r>
        <w:rPr>
          <w:rFonts w:ascii="Times New Roman" w:cs="Times New Roman" w:eastAsia="Times New Roman" w:hAnsi="Times New Roman"/>
          <w:sz w:val="13"/>
          <w:szCs w:val="13"/>
          <w:color w:val="auto"/>
        </w:rPr>
        <w:t>On January 5, 2024, the Company filed a civil lawsuit captioned, MD Digester, LLC. et. al. vs. VEC Partners, Inc. et. al.; California Superior Court, County of San Joaquin; Action No. STK-CV-UCC-2024-0000185 and commenced a related arbitration proceeding in order to obtain a formal determination on the claims, AAA Case No. 01-24-0000-0775. The Superior Court Action will be stayed, pending an award in the AAA proceeding. The AAA proceeding has not been set for hearing. Each of the Parties have nominated one arbitrator (each a "Party-selected Arbitrator") and a third arbitrator was appointed by the Party-selected Arbitrators to chair the panel. As a result of the procedural status of these matters, no discovery has occurred. The EPC Agreement provides that Contractor is obligated to continue working during the course of the litigation and related arbitration proceedings. Contractor’s performance under both of the EPC Contracts is fully bonded by licensed sureties.</w:t>
      </w:r>
    </w:p>
    <w:p>
      <w:pPr>
        <w:spacing w:after="0" w:line="152" w:lineRule="exact"/>
        <w:rPr>
          <w:sz w:val="20"/>
          <w:szCs w:val="20"/>
          <w:color w:val="auto"/>
        </w:rPr>
      </w:pPr>
    </w:p>
    <w:p>
      <w:pPr>
        <w:jc w:val="both"/>
        <w:ind w:firstLine="480"/>
        <w:spacing w:after="0" w:line="269" w:lineRule="auto"/>
        <w:rPr>
          <w:sz w:val="20"/>
          <w:szCs w:val="20"/>
          <w:color w:val="auto"/>
        </w:rPr>
      </w:pPr>
      <w:r>
        <w:rPr>
          <w:rFonts w:ascii="Times New Roman" w:cs="Times New Roman" w:eastAsia="Times New Roman" w:hAnsi="Times New Roman"/>
          <w:sz w:val="13"/>
          <w:szCs w:val="13"/>
          <w:color w:val="auto"/>
        </w:rPr>
        <w:t>Despite informal settlement discussions with Contractor, the parties have not been able as of yet to resolve the claims. The Company believes its claims against Contractor have substantial merit and intends to prosecute its claims vigorously. However, due to the incipient stage of the litigation and related arbitration, its ongoing status, and the uncertainties involved in all litigation and arbitration, the Company does not believe it is feasible at this time to assess the likely outcome of the litigation and related arbitration, the timing of its resolution, or its ultimate impact on the Central Valley projects or the Company's business, financial condition or results of operations.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1A. Risk Factors</w:t>
      </w:r>
    </w:p>
    <w:p>
      <w:pPr>
        <w:spacing w:after="0" w:line="18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There have been no material changes from the “Risk Factors” previously disclosed in our Annual Report on Form 10-K for the year ended December 31, 2023, filed with the SEC on March 15, 2024. The risks described in the Annual Report on Form 10-K for the year ended December 31, 2023 are not the only risks facing us. Additional risks and uncertainties not currently known to us or that we currently deem to be immaterial also may materially adversely affect our business, financial condition or future results.</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2. Unregistered Sales of Equity Securities and Use of Proceeds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None.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3. Defaults Upon Senior Securities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None.</w:t>
      </w: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161290</wp:posOffset>
            </wp:positionV>
            <wp:extent cx="7193280"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3"/>
          <w:szCs w:val="13"/>
          <w:b w:val="1"/>
          <w:bCs w:val="1"/>
          <w:color w:val="auto"/>
        </w:rPr>
        <w:t>Item 4. Mine Safety Disclosures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Not applicable.</w:t>
      </w:r>
    </w:p>
    <w:p>
      <w:pPr>
        <w:spacing w:after="0" w:line="271" w:lineRule="exact"/>
        <w:rPr>
          <w:sz w:val="20"/>
          <w:szCs w:val="20"/>
          <w:color w:val="auto"/>
        </w:rPr>
      </w:pPr>
    </w:p>
    <w:p>
      <w:pPr>
        <w:jc w:val="right"/>
        <w:ind w:right="4439"/>
        <w:spacing w:after="0"/>
        <w:rPr>
          <w:sz w:val="20"/>
          <w:szCs w:val="20"/>
          <w:color w:val="auto"/>
        </w:rPr>
      </w:pPr>
      <w:r>
        <w:rPr>
          <w:rFonts w:ascii="Times New Roman" w:cs="Times New Roman" w:eastAsia="Times New Roman" w:hAnsi="Times New Roman"/>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161290</wp:posOffset>
            </wp:positionV>
            <wp:extent cx="7193280"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0159"/>
          </w:cols>
          <w:pgMar w:left="300" w:top="903" w:right="1440"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3"/>
          <w:szCs w:val="13"/>
          <w:b w:val="1"/>
          <w:bCs w:val="1"/>
          <w:color w:val="auto"/>
        </w:rPr>
        <w:t>Item 5. Other Information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u w:val="single" w:color="auto"/>
          <w:color w:val="auto"/>
        </w:rPr>
        <w:t>Rule 10b5-1 Trading Plans</w:t>
      </w:r>
    </w:p>
    <w:p>
      <w:pPr>
        <w:spacing w:after="0" w:line="183"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3"/>
          <w:szCs w:val="13"/>
          <w:color w:val="auto"/>
        </w:rPr>
        <w:t>During the fiscal quarter ended March 31, 2024, none of the Company’s directors or executive officers adopted or terminated any contract, instruction or written plan for the purchase or sale of Company securities that was intended to satisfy the affirmative defense conditions of Rule 10b5-1(c) or any “non-Rule 10b5-1 trading arrangement.”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6. Exhibits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Exhibit Index</w:t>
      </w:r>
    </w:p>
    <w:p>
      <w:pPr>
        <w:sectPr>
          <w:pgSz w:w="11900" w:h="16838" w:orient="portrait"/>
          <w:cols w:equalWidth="0" w:num="1">
            <w:col w:w="11280"/>
          </w:cols>
          <w:pgMar w:left="300" w:top="723" w:right="319" w:bottom="1440" w:gutter="0" w:footer="0" w:header="0"/>
        </w:sectPr>
      </w:pPr>
    </w:p>
    <w:p>
      <w:pPr>
        <w:spacing w:after="0" w:line="38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3"/>
          <w:szCs w:val="13"/>
          <w:b w:val="1"/>
          <w:bCs w:val="1"/>
          <w:color w:val="auto"/>
        </w:rPr>
        <w:t>Exhibit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24535" cy="63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535" cy="6350"/>
                    </a:xfrm>
                    <a:prstGeom prst="rect">
                      <a:avLst/>
                    </a:prstGeom>
                    <a:noFill/>
                  </pic:spPr>
                </pic:pic>
              </a:graphicData>
            </a:graphic>
          </wp:anchor>
        </w:drawing>
      </w:r>
    </w:p>
    <w:p>
      <w:pPr>
        <w:spacing w:after="0" w:line="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3.1*</w:t>
      </w:r>
    </w:p>
    <w:p>
      <w:pPr>
        <w:spacing w:after="0" w:line="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3.2*</w:t>
      </w:r>
    </w:p>
    <w:p>
      <w:pPr>
        <w:spacing w:after="0" w:line="8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10.1*</w:t>
      </w:r>
    </w:p>
    <w:p>
      <w:pPr>
        <w:spacing w:after="0" w:line="16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10.2*</w:t>
      </w:r>
    </w:p>
    <w:p>
      <w:pPr>
        <w:spacing w:after="0" w:line="16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3"/>
          <w:szCs w:val="13"/>
          <w:color w:val="auto"/>
        </w:rPr>
        <w:t>10.3*†</w:t>
      </w:r>
    </w:p>
    <w:p>
      <w:pPr>
        <w:spacing w:after="0" w:line="161" w:lineRule="exact"/>
        <w:rPr>
          <w:sz w:val="20"/>
          <w:szCs w:val="20"/>
          <w:color w:val="auto"/>
        </w:rPr>
      </w:pPr>
    </w:p>
    <w:p>
      <w:pPr>
        <w:jc w:val="center"/>
        <w:ind w:left="100"/>
        <w:spacing w:after="0"/>
        <w:rPr>
          <w:sz w:val="20"/>
          <w:szCs w:val="20"/>
          <w:color w:val="auto"/>
        </w:rPr>
      </w:pPr>
      <w:r>
        <w:rPr>
          <w:rFonts w:ascii="Times New Roman" w:cs="Times New Roman" w:eastAsia="Times New Roman" w:hAnsi="Times New Roman"/>
          <w:sz w:val="13"/>
          <w:szCs w:val="13"/>
          <w:color w:val="auto"/>
        </w:rPr>
        <w:t>10.4*†</w:t>
      </w:r>
    </w:p>
    <w:p>
      <w:pPr>
        <w:spacing w:after="0" w:line="1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31.1</w:t>
      </w:r>
    </w:p>
    <w:p>
      <w:pPr>
        <w:spacing w:after="0" w:line="1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31.2</w:t>
      </w:r>
    </w:p>
    <w:p>
      <w:pPr>
        <w:spacing w:after="0" w:line="1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31.3</w:t>
      </w:r>
    </w:p>
    <w:p>
      <w:pPr>
        <w:spacing w:after="0" w:line="9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3"/>
          <w:szCs w:val="13"/>
          <w:color w:val="auto"/>
        </w:rPr>
        <w:t>32.1**</w:t>
      </w:r>
    </w:p>
    <w:p>
      <w:pPr>
        <w:spacing w:after="0" w:line="23" w:lineRule="exact"/>
        <w:rPr>
          <w:sz w:val="20"/>
          <w:szCs w:val="20"/>
          <w:color w:val="auto"/>
        </w:rPr>
      </w:pPr>
    </w:p>
    <w:p>
      <w:pPr>
        <w:jc w:val="center"/>
        <w:ind w:left="100"/>
        <w:spacing w:after="0"/>
        <w:rPr>
          <w:sz w:val="20"/>
          <w:szCs w:val="20"/>
          <w:color w:val="auto"/>
        </w:rPr>
      </w:pPr>
      <w:r>
        <w:rPr>
          <w:rFonts w:ascii="Times New Roman" w:cs="Times New Roman" w:eastAsia="Times New Roman" w:hAnsi="Times New Roman"/>
          <w:sz w:val="13"/>
          <w:szCs w:val="13"/>
          <w:color w:val="auto"/>
        </w:rPr>
        <w:t>32.2**</w:t>
      </w:r>
    </w:p>
    <w:p>
      <w:pPr>
        <w:spacing w:after="0" w:line="21" w:lineRule="exact"/>
        <w:rPr>
          <w:sz w:val="20"/>
          <w:szCs w:val="20"/>
          <w:color w:val="auto"/>
        </w:rPr>
      </w:pPr>
    </w:p>
    <w:p>
      <w:pPr>
        <w:jc w:val="center"/>
        <w:ind w:left="100"/>
        <w:spacing w:after="0"/>
        <w:rPr>
          <w:sz w:val="20"/>
          <w:szCs w:val="20"/>
          <w:color w:val="auto"/>
        </w:rPr>
      </w:pPr>
      <w:r>
        <w:rPr>
          <w:rFonts w:ascii="Times New Roman" w:cs="Times New Roman" w:eastAsia="Times New Roman" w:hAnsi="Times New Roman"/>
          <w:sz w:val="13"/>
          <w:szCs w:val="13"/>
          <w:color w:val="auto"/>
        </w:rPr>
        <w:t>32.3**</w:t>
      </w:r>
    </w:p>
    <w:p>
      <w:pPr>
        <w:spacing w:after="0" w:line="21" w:lineRule="exact"/>
        <w:rPr>
          <w:sz w:val="20"/>
          <w:szCs w:val="20"/>
          <w:color w:val="auto"/>
        </w:rPr>
      </w:pPr>
    </w:p>
    <w:p>
      <w:pPr>
        <w:jc w:val="center"/>
        <w:ind w:left="100"/>
        <w:spacing w:after="0"/>
        <w:rPr>
          <w:sz w:val="20"/>
          <w:szCs w:val="20"/>
          <w:color w:val="auto"/>
        </w:rPr>
      </w:pPr>
      <w:r>
        <w:rPr>
          <w:rFonts w:ascii="Times New Roman" w:cs="Times New Roman" w:eastAsia="Times New Roman" w:hAnsi="Times New Roman"/>
          <w:sz w:val="13"/>
          <w:szCs w:val="13"/>
          <w:color w:val="auto"/>
        </w:rPr>
        <w:t>101.INS</w:t>
      </w:r>
    </w:p>
    <w:p>
      <w:pPr>
        <w:spacing w:after="0" w:line="21" w:lineRule="exact"/>
        <w:rPr>
          <w:sz w:val="20"/>
          <w:szCs w:val="20"/>
          <w:color w:val="auto"/>
        </w:rPr>
      </w:pPr>
    </w:p>
    <w:p>
      <w:pPr>
        <w:jc w:val="center"/>
        <w:ind w:left="100"/>
        <w:spacing w:after="0"/>
        <w:rPr>
          <w:sz w:val="20"/>
          <w:szCs w:val="20"/>
          <w:color w:val="auto"/>
        </w:rPr>
      </w:pPr>
      <w:r>
        <w:rPr>
          <w:rFonts w:ascii="Times New Roman" w:cs="Times New Roman" w:eastAsia="Times New Roman" w:hAnsi="Times New Roman"/>
          <w:sz w:val="13"/>
          <w:szCs w:val="13"/>
          <w:color w:val="auto"/>
        </w:rPr>
        <w:t>101.SCH</w:t>
      </w:r>
    </w:p>
    <w:p>
      <w:pPr>
        <w:spacing w:after="0" w:line="21" w:lineRule="exact"/>
        <w:rPr>
          <w:sz w:val="20"/>
          <w:szCs w:val="20"/>
          <w:color w:val="auto"/>
        </w:rPr>
      </w:pPr>
    </w:p>
    <w:p>
      <w:pPr>
        <w:jc w:val="center"/>
        <w:ind w:left="100"/>
        <w:spacing w:after="0"/>
        <w:rPr>
          <w:sz w:val="20"/>
          <w:szCs w:val="20"/>
          <w:color w:val="auto"/>
        </w:rPr>
      </w:pPr>
      <w:r>
        <w:rPr>
          <w:rFonts w:ascii="Times New Roman" w:cs="Times New Roman" w:eastAsia="Times New Roman" w:hAnsi="Times New Roman"/>
          <w:sz w:val="13"/>
          <w:szCs w:val="13"/>
          <w:color w:val="auto"/>
        </w:rPr>
        <w:t>101.CAL</w:t>
      </w:r>
    </w:p>
    <w:p>
      <w:pPr>
        <w:spacing w:after="0" w:line="21" w:lineRule="exact"/>
        <w:rPr>
          <w:sz w:val="20"/>
          <w:szCs w:val="20"/>
          <w:color w:val="auto"/>
        </w:rPr>
      </w:pPr>
    </w:p>
    <w:p>
      <w:pPr>
        <w:jc w:val="center"/>
        <w:ind w:left="100"/>
        <w:spacing w:after="0"/>
        <w:rPr>
          <w:sz w:val="20"/>
          <w:szCs w:val="20"/>
          <w:color w:val="auto"/>
        </w:rPr>
      </w:pPr>
      <w:r>
        <w:rPr>
          <w:rFonts w:ascii="Times New Roman" w:cs="Times New Roman" w:eastAsia="Times New Roman" w:hAnsi="Times New Roman"/>
          <w:sz w:val="13"/>
          <w:szCs w:val="13"/>
          <w:color w:val="auto"/>
        </w:rPr>
        <w:t>101.DEF</w:t>
      </w:r>
    </w:p>
    <w:p>
      <w:pPr>
        <w:spacing w:after="0" w:line="21" w:lineRule="exact"/>
        <w:rPr>
          <w:sz w:val="20"/>
          <w:szCs w:val="20"/>
          <w:color w:val="auto"/>
        </w:rPr>
      </w:pPr>
    </w:p>
    <w:p>
      <w:pPr>
        <w:jc w:val="center"/>
        <w:ind w:left="100"/>
        <w:spacing w:after="0"/>
        <w:rPr>
          <w:sz w:val="20"/>
          <w:szCs w:val="20"/>
          <w:color w:val="auto"/>
        </w:rPr>
      </w:pPr>
      <w:r>
        <w:rPr>
          <w:rFonts w:ascii="Times New Roman" w:cs="Times New Roman" w:eastAsia="Times New Roman" w:hAnsi="Times New Roman"/>
          <w:sz w:val="13"/>
          <w:szCs w:val="13"/>
          <w:color w:val="auto"/>
        </w:rPr>
        <w:t>101.LAB</w:t>
      </w:r>
    </w:p>
    <w:p>
      <w:pPr>
        <w:spacing w:after="0" w:line="21" w:lineRule="exact"/>
        <w:rPr>
          <w:sz w:val="20"/>
          <w:szCs w:val="20"/>
          <w:color w:val="auto"/>
        </w:rPr>
      </w:pPr>
    </w:p>
    <w:p>
      <w:pPr>
        <w:jc w:val="center"/>
        <w:ind w:left="100"/>
        <w:spacing w:after="0"/>
        <w:rPr>
          <w:sz w:val="20"/>
          <w:szCs w:val="20"/>
          <w:color w:val="auto"/>
        </w:rPr>
      </w:pPr>
      <w:r>
        <w:rPr>
          <w:rFonts w:ascii="Times New Roman" w:cs="Times New Roman" w:eastAsia="Times New Roman" w:hAnsi="Times New Roman"/>
          <w:sz w:val="13"/>
          <w:szCs w:val="13"/>
          <w:color w:val="auto"/>
        </w:rPr>
        <w:t>101.PRE</w:t>
      </w:r>
    </w:p>
    <w:p>
      <w:pPr>
        <w:spacing w:after="0" w:line="21" w:lineRule="exact"/>
        <w:rPr>
          <w:sz w:val="20"/>
          <w:szCs w:val="20"/>
          <w:color w:val="auto"/>
        </w:rPr>
      </w:pPr>
    </w:p>
    <w:p>
      <w:pPr>
        <w:jc w:val="center"/>
        <w:ind w:left="100"/>
        <w:spacing w:after="0"/>
        <w:rPr>
          <w:sz w:val="20"/>
          <w:szCs w:val="20"/>
          <w:color w:val="auto"/>
        </w:rPr>
      </w:pPr>
      <w:r>
        <w:rPr>
          <w:rFonts w:ascii="Times New Roman" w:cs="Times New Roman" w:eastAsia="Times New Roman" w:hAnsi="Times New Roman"/>
          <w:sz w:val="13"/>
          <w:szCs w:val="13"/>
          <w:color w:val="auto"/>
        </w:rPr>
        <w:t>104</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-786765</wp:posOffset>
            </wp:positionH>
            <wp:positionV relativeFrom="paragraph">
              <wp:posOffset>-90170</wp:posOffset>
            </wp:positionV>
            <wp:extent cx="7142480" cy="1143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2480" cy="114300"/>
                    </a:xfrm>
                    <a:prstGeom prst="rect">
                      <a:avLst/>
                    </a:prstGeom>
                    <a:noFill/>
                  </pic:spPr>
                </pic:pic>
              </a:graphicData>
            </a:graphic>
          </wp:anchor>
        </w:drawing>
      </w:r>
    </w:p>
    <w:p>
      <w:pPr>
        <w:spacing w:after="0" w:line="15" w:lineRule="exact"/>
        <w:rPr>
          <w:sz w:val="20"/>
          <w:szCs w:val="20"/>
          <w:color w:val="auto"/>
        </w:rPr>
      </w:pPr>
    </w:p>
    <w:p>
      <w:pPr>
        <w:ind w:right="420"/>
        <w:spacing w:after="0" w:line="275" w:lineRule="auto"/>
        <w:rPr>
          <w:rFonts w:ascii="Times New Roman" w:cs="Times New Roman" w:eastAsia="Times New Roman" w:hAnsi="Times New Roman"/>
          <w:sz w:val="13"/>
          <w:szCs w:val="13"/>
          <w:u w:val="single" w:color="auto"/>
          <w:color w:val="0000FF"/>
        </w:rPr>
      </w:pPr>
      <w:hyperlink r:id="rId106">
        <w:r>
          <w:rPr>
            <w:rFonts w:ascii="Times New Roman" w:cs="Times New Roman" w:eastAsia="Times New Roman" w:hAnsi="Times New Roman"/>
            <w:sz w:val="13"/>
            <w:szCs w:val="13"/>
            <w:u w:val="single" w:color="auto"/>
            <w:color w:val="0000FF"/>
          </w:rPr>
          <w:t>Restated Certificate of Incorporation of OPAL Fuels Inc. (incorporated by reference to Exhibit 3.1 to the Current Report on Form 8-K/A filed by the Company on August 10, 2022).</w:t>
        </w:r>
      </w:hyperlink>
      <w:r>
        <w:rPr>
          <w:rFonts w:ascii="Times New Roman" w:cs="Times New Roman" w:eastAsia="Times New Roman" w:hAnsi="Times New Roman"/>
          <w:sz w:val="13"/>
          <w:szCs w:val="13"/>
          <w:u w:val="single" w:color="auto"/>
          <w:color w:val="0000FF"/>
        </w:rPr>
        <w:t xml:space="preserve"> </w:t>
      </w:r>
      <w:hyperlink r:id="rId107">
        <w:r>
          <w:rPr>
            <w:rFonts w:ascii="Times New Roman" w:cs="Times New Roman" w:eastAsia="Times New Roman" w:hAnsi="Times New Roman"/>
            <w:sz w:val="13"/>
            <w:szCs w:val="13"/>
            <w:u w:val="single" w:color="auto"/>
            <w:color w:val="0000FF"/>
          </w:rPr>
          <w:t>Bylaws of OPAL Fuels Inc. (incorporated by reference to Exhibit 3.2 to the Current Report on Form 8-K filed by the Company on July 27,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-786765</wp:posOffset>
            </wp:positionH>
            <wp:positionV relativeFrom="paragraph">
              <wp:posOffset>-107315</wp:posOffset>
            </wp:positionV>
            <wp:extent cx="7142480" cy="1079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7142480" cy="107950"/>
                    </a:xfrm>
                    <a:prstGeom prst="rect">
                      <a:avLst/>
                    </a:prstGeom>
                    <a:noFill/>
                  </pic:spPr>
                </pic:pic>
              </a:graphicData>
            </a:graphic>
          </wp:anchor>
        </w:drawing>
      </w:r>
    </w:p>
    <w:p>
      <w:pPr>
        <w:ind w:right="400"/>
        <w:spacing w:after="0" w:line="249" w:lineRule="auto"/>
        <w:rPr>
          <w:rFonts w:ascii="Times New Roman" w:cs="Times New Roman" w:eastAsia="Times New Roman" w:hAnsi="Times New Roman"/>
          <w:sz w:val="13"/>
          <w:szCs w:val="13"/>
          <w:u w:val="single" w:color="auto"/>
          <w:color w:val="0000FF"/>
        </w:rPr>
      </w:pPr>
      <w:hyperlink r:id="rId109">
        <w:r>
          <w:rPr>
            <w:rFonts w:ascii="Times New Roman" w:cs="Times New Roman" w:eastAsia="Times New Roman" w:hAnsi="Times New Roman"/>
            <w:sz w:val="13"/>
            <w:szCs w:val="13"/>
            <w:u w:val="single" w:color="auto"/>
            <w:color w:val="0000FF"/>
          </w:rPr>
          <w:t>First Amendment to Amended and Restated Credit and Guaranty Agreement, dated March 5, 2024, by and among Paragon RNG LLC, as Borrower, the guarantors, the lenders party</w:t>
        </w:r>
      </w:hyperlink>
      <w:r>
        <w:rPr>
          <w:rFonts w:ascii="Times New Roman" w:cs="Times New Roman" w:eastAsia="Times New Roman" w:hAnsi="Times New Roman"/>
          <w:sz w:val="13"/>
          <w:szCs w:val="13"/>
          <w:u w:val="single" w:color="auto"/>
          <w:color w:val="0000FF"/>
        </w:rPr>
        <w:t xml:space="preserve"> </w:t>
      </w:r>
      <w:hyperlink r:id="rId109">
        <w:r>
          <w:rPr>
            <w:rFonts w:ascii="Times New Roman" w:cs="Times New Roman" w:eastAsia="Times New Roman" w:hAnsi="Times New Roman"/>
            <w:sz w:val="13"/>
            <w:szCs w:val="13"/>
            <w:u w:val="single" w:color="auto"/>
            <w:color w:val="0000FF"/>
          </w:rPr>
          <w:t>thereto, and Bank of Montreal, as administrative agent (incorporated by reference to Exhibit 10.1 to the Current Report on Form 8-K filed by the Company on March 11, 2024).</w:t>
        </w:r>
      </w:hyperlink>
    </w:p>
    <w:p>
      <w:pPr>
        <w:ind w:right="480"/>
        <w:spacing w:after="0" w:line="249" w:lineRule="auto"/>
        <w:rPr>
          <w:rFonts w:ascii="Times New Roman" w:cs="Times New Roman" w:eastAsia="Times New Roman" w:hAnsi="Times New Roman"/>
          <w:sz w:val="13"/>
          <w:szCs w:val="13"/>
          <w:u w:val="single" w:color="auto"/>
          <w:color w:val="0000FF"/>
        </w:rPr>
      </w:pPr>
      <w:hyperlink r:id="rId110">
        <w:r>
          <w:rPr>
            <w:rFonts w:ascii="Times New Roman" w:cs="Times New Roman" w:eastAsia="Times New Roman" w:hAnsi="Times New Roman"/>
            <w:sz w:val="13"/>
            <w:szCs w:val="13"/>
            <w:u w:val="single" w:color="auto"/>
            <w:color w:val="0000FF"/>
          </w:rPr>
          <w:t>First Amendment to Depositary Agreement, dated March 5, 2024, by Paragon RNG LLC, as Borrower, Bank of Montreal, as administrative agent, and Wilmington Trust, National</w:t>
        </w:r>
      </w:hyperlink>
      <w:r>
        <w:rPr>
          <w:rFonts w:ascii="Times New Roman" w:cs="Times New Roman" w:eastAsia="Times New Roman" w:hAnsi="Times New Roman"/>
          <w:sz w:val="13"/>
          <w:szCs w:val="13"/>
          <w:u w:val="single" w:color="auto"/>
          <w:color w:val="0000FF"/>
        </w:rPr>
        <w:t xml:space="preserve"> </w:t>
      </w:r>
      <w:hyperlink r:id="rId110">
        <w:r>
          <w:rPr>
            <w:rFonts w:ascii="Times New Roman" w:cs="Times New Roman" w:eastAsia="Times New Roman" w:hAnsi="Times New Roman"/>
            <w:sz w:val="13"/>
            <w:szCs w:val="13"/>
            <w:u w:val="single" w:color="auto"/>
            <w:color w:val="0000FF"/>
          </w:rPr>
          <w:t>Association, as collateral agent and depositary agent (incorporated by reference to Exhibit 10.2 to the Current Report on Form 8-K filed by the Company on March 11,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-786765</wp:posOffset>
            </wp:positionH>
            <wp:positionV relativeFrom="paragraph">
              <wp:posOffset>-196215</wp:posOffset>
            </wp:positionV>
            <wp:extent cx="7142480" cy="1968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1">
                      <a:extLst>
                        <a:ext uri="{28A0092B-C50C-407E-A947-70E740481C1C}"/>
                      </a:extLst>
                    </a:blip>
                    <a:srcRect/>
                    <a:stretch>
                      <a:fillRect/>
                    </a:stretch>
                  </pic:blipFill>
                  <pic:spPr bwMode="auto">
                    <a:xfrm>
                      <a:off x="0" y="0"/>
                      <a:ext cx="7142480" cy="196850"/>
                    </a:xfrm>
                    <a:prstGeom prst="rect">
                      <a:avLst/>
                    </a:prstGeom>
                    <a:noFill/>
                  </pic:spPr>
                </pic:pic>
              </a:graphicData>
            </a:graphic>
          </wp:anchor>
        </w:drawing>
      </w:r>
    </w:p>
    <w:p>
      <w:pPr>
        <w:ind w:right="80"/>
        <w:spacing w:after="0" w:line="249" w:lineRule="auto"/>
        <w:rPr>
          <w:rFonts w:ascii="Times New Roman" w:cs="Times New Roman" w:eastAsia="Times New Roman" w:hAnsi="Times New Roman"/>
          <w:sz w:val="13"/>
          <w:szCs w:val="13"/>
          <w:u w:val="single" w:color="auto"/>
          <w:color w:val="0000FF"/>
        </w:rPr>
      </w:pPr>
      <w:hyperlink r:id="rId112">
        <w:r>
          <w:rPr>
            <w:rFonts w:ascii="Times New Roman" w:cs="Times New Roman" w:eastAsia="Times New Roman" w:hAnsi="Times New Roman"/>
            <w:sz w:val="13"/>
            <w:szCs w:val="13"/>
            <w:u w:val="single" w:color="auto"/>
            <w:color w:val="0000FF"/>
          </w:rPr>
          <w:t>First Amendment to Landfill Gas Purchase Agreement, dated March 27, 2024 (effective as of March 6 , 2024) (incorporated by reference to Exhibit 10.1 to the Current Report on Form 8-</w:t>
        </w:r>
      </w:hyperlink>
      <w:hyperlink r:id="rId112">
        <w:r>
          <w:rPr>
            <w:rFonts w:ascii="Times New Roman" w:cs="Times New Roman" w:eastAsia="Times New Roman" w:hAnsi="Times New Roman"/>
            <w:sz w:val="13"/>
            <w:szCs w:val="13"/>
            <w:u w:val="single" w:color="auto"/>
            <w:color w:val="0000FF"/>
          </w:rPr>
          <w:t>K filed by the Company on March 28, 2024).</w:t>
        </w:r>
      </w:hyperlink>
    </w:p>
    <w:p>
      <w:pPr>
        <w:ind w:right="100"/>
        <w:spacing w:after="0" w:line="249" w:lineRule="auto"/>
        <w:rPr>
          <w:rFonts w:ascii="Times New Roman" w:cs="Times New Roman" w:eastAsia="Times New Roman" w:hAnsi="Times New Roman"/>
          <w:sz w:val="13"/>
          <w:szCs w:val="13"/>
          <w:u w:val="single" w:color="auto"/>
          <w:color w:val="0000FF"/>
        </w:rPr>
      </w:pPr>
      <w:hyperlink r:id="rId113">
        <w:r>
          <w:rPr>
            <w:rFonts w:ascii="Times New Roman" w:cs="Times New Roman" w:eastAsia="Times New Roman" w:hAnsi="Times New Roman"/>
            <w:sz w:val="13"/>
            <w:szCs w:val="13"/>
            <w:u w:val="single" w:color="auto"/>
            <w:color w:val="0000FF"/>
          </w:rPr>
          <w:t>Lease and Access Agreement, dated March 27, 2024 (effective as of March 20, 2024) (incorporated by reference to Exhibit 10.2 to the Current Report on Form 8-K filed by the Company</w:t>
        </w:r>
      </w:hyperlink>
      <w:r>
        <w:rPr>
          <w:rFonts w:ascii="Times New Roman" w:cs="Times New Roman" w:eastAsia="Times New Roman" w:hAnsi="Times New Roman"/>
          <w:sz w:val="13"/>
          <w:szCs w:val="13"/>
          <w:u w:val="single" w:color="auto"/>
          <w:color w:val="0000FF"/>
        </w:rPr>
        <w:t xml:space="preserve"> </w:t>
      </w:r>
      <w:hyperlink r:id="rId113">
        <w:r>
          <w:rPr>
            <w:rFonts w:ascii="Times New Roman" w:cs="Times New Roman" w:eastAsia="Times New Roman" w:hAnsi="Times New Roman"/>
            <w:sz w:val="13"/>
            <w:szCs w:val="13"/>
            <w:u w:val="single" w:color="auto"/>
            <w:color w:val="0000FF"/>
          </w:rPr>
          <w:t>on March 28,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-786765</wp:posOffset>
            </wp:positionH>
            <wp:positionV relativeFrom="paragraph">
              <wp:posOffset>-196215</wp:posOffset>
            </wp:positionV>
            <wp:extent cx="7142480" cy="1968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4">
                      <a:extLst>
                        <a:ext uri="{28A0092B-C50C-407E-A947-70E740481C1C}"/>
                      </a:extLst>
                    </a:blip>
                    <a:srcRect/>
                    <a:stretch>
                      <a:fillRect/>
                    </a:stretch>
                  </pic:blipFill>
                  <pic:spPr bwMode="auto">
                    <a:xfrm>
                      <a:off x="0" y="0"/>
                      <a:ext cx="7142480" cy="196850"/>
                    </a:xfrm>
                    <a:prstGeom prst="rect">
                      <a:avLst/>
                    </a:prstGeom>
                    <a:noFill/>
                  </pic:spPr>
                </pic:pic>
              </a:graphicData>
            </a:graphic>
          </wp:anchor>
        </w:drawing>
      </w:r>
    </w:p>
    <w:p>
      <w:pPr>
        <w:ind w:right="580"/>
        <w:spacing w:after="0" w:line="249" w:lineRule="auto"/>
        <w:rPr>
          <w:sz w:val="20"/>
          <w:szCs w:val="20"/>
          <w:color w:val="auto"/>
        </w:rPr>
      </w:pPr>
      <w:r>
        <w:rPr>
          <w:rFonts w:ascii="Times New Roman" w:cs="Times New Roman" w:eastAsia="Times New Roman" w:hAnsi="Times New Roman"/>
          <w:sz w:val="13"/>
          <w:szCs w:val="13"/>
          <w:u w:val="single" w:color="auto"/>
          <w:color w:val="0000FF"/>
        </w:rPr>
        <w:t>Certification of Co-Principal Executive Officer Pursuant to Rules 13a-14(a) and 15d-14(a) under the Securities Exchange Act of 1934, as Adopted Pursuant to Section 302 of the Sarbanes-Oxley Act of 2002.</w:t>
      </w:r>
    </w:p>
    <w:p>
      <w:pPr>
        <w:ind w:right="580"/>
        <w:spacing w:after="0" w:line="249" w:lineRule="auto"/>
        <w:rPr>
          <w:sz w:val="20"/>
          <w:szCs w:val="20"/>
          <w:color w:val="auto"/>
        </w:rPr>
      </w:pPr>
      <w:r>
        <w:rPr>
          <w:rFonts w:ascii="Times New Roman" w:cs="Times New Roman" w:eastAsia="Times New Roman" w:hAnsi="Times New Roman"/>
          <w:sz w:val="13"/>
          <w:szCs w:val="13"/>
          <w:u w:val="single" w:color="auto"/>
          <w:color w:val="0000FF"/>
        </w:rPr>
        <w:t>Certification of Co-Principal Executive Officer Pursuant to Rules 13a-14(a) and 15d-14(a) under the Securities Exchange Act of 1934, as Adopted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-786765</wp:posOffset>
            </wp:positionH>
            <wp:positionV relativeFrom="paragraph">
              <wp:posOffset>-196215</wp:posOffset>
            </wp:positionV>
            <wp:extent cx="7142480" cy="1968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5">
                      <a:extLst>
                        <a:ext uri="{28A0092B-C50C-407E-A947-70E740481C1C}"/>
                      </a:extLst>
                    </a:blip>
                    <a:srcRect/>
                    <a:stretch>
                      <a:fillRect/>
                    </a:stretch>
                  </pic:blipFill>
                  <pic:spPr bwMode="auto">
                    <a:xfrm>
                      <a:off x="0" y="0"/>
                      <a:ext cx="7142480" cy="196850"/>
                    </a:xfrm>
                    <a:prstGeom prst="rect">
                      <a:avLst/>
                    </a:prstGeom>
                    <a:noFill/>
                  </pic:spPr>
                </pic:pic>
              </a:graphicData>
            </a:graphic>
          </wp:anchor>
        </w:drawing>
      </w:r>
    </w:p>
    <w:p>
      <w:pPr>
        <w:ind w:right="260"/>
        <w:spacing w:after="0" w:line="249" w:lineRule="auto"/>
        <w:rPr>
          <w:sz w:val="20"/>
          <w:szCs w:val="20"/>
          <w:color w:val="auto"/>
        </w:rPr>
      </w:pPr>
      <w:r>
        <w:rPr>
          <w:rFonts w:ascii="Times New Roman" w:cs="Times New Roman" w:eastAsia="Times New Roman" w:hAnsi="Times New Roman"/>
          <w:sz w:val="13"/>
          <w:szCs w:val="13"/>
          <w:u w:val="single" w:color="auto"/>
          <w:color w:val="0000FF"/>
        </w:rPr>
        <w:t>Certification of Principal Financial Officer Pursuant to Rules 13a-14(a) and 15d-14(a) under the Securities Exchange Act of 1934, as Adopted Pursuant to Section 302 of the Sarbanes-Oxley Act of 2002.</w:t>
      </w:r>
    </w:p>
    <w:p>
      <w:pPr>
        <w:spacing w:after="0"/>
        <w:rPr>
          <w:sz w:val="20"/>
          <w:szCs w:val="20"/>
          <w:color w:val="auto"/>
        </w:rPr>
      </w:pPr>
      <w:r>
        <w:rPr>
          <w:rFonts w:ascii="Times New Roman" w:cs="Times New Roman" w:eastAsia="Times New Roman" w:hAnsi="Times New Roman"/>
          <w:sz w:val="13"/>
          <w:szCs w:val="13"/>
          <w:u w:val="single" w:color="auto"/>
          <w:color w:val="0000FF"/>
        </w:rPr>
        <w:t>Certification of Co-Principal Executive Officer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-786765</wp:posOffset>
            </wp:positionH>
            <wp:positionV relativeFrom="paragraph">
              <wp:posOffset>-93980</wp:posOffset>
            </wp:positionV>
            <wp:extent cx="7142480" cy="1079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6">
                      <a:extLst>
                        <a:ext uri="{28A0092B-C50C-407E-A947-70E740481C1C}"/>
                      </a:extLst>
                    </a:blip>
                    <a:srcRect/>
                    <a:stretch>
                      <a:fillRect/>
                    </a:stretch>
                  </pic:blipFill>
                  <pic:spPr bwMode="auto">
                    <a:xfrm>
                      <a:off x="0" y="0"/>
                      <a:ext cx="7142480" cy="10795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Certification of Co-Principal Executive Officer Pursuant to 18 U.S.C. Section 1350, as Adopted Pursuant to Section 906 of the Sarbanes-Oxley Act of 2002.</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Certification of Principal Financial Officer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-786765</wp:posOffset>
            </wp:positionH>
            <wp:positionV relativeFrom="paragraph">
              <wp:posOffset>-93980</wp:posOffset>
            </wp:positionV>
            <wp:extent cx="7142480" cy="1079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7">
                      <a:extLst>
                        <a:ext uri="{28A0092B-C50C-407E-A947-70E740481C1C}"/>
                      </a:extLst>
                    </a:blip>
                    <a:srcRect/>
                    <a:stretch>
                      <a:fillRect/>
                    </a:stretch>
                  </pic:blipFill>
                  <pic:spPr bwMode="auto">
                    <a:xfrm>
                      <a:off x="0" y="0"/>
                      <a:ext cx="7142480" cy="10795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Inline XBRL Instance Document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Inline XBRL Taxonomy Extension Schema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-786765</wp:posOffset>
            </wp:positionH>
            <wp:positionV relativeFrom="paragraph">
              <wp:posOffset>-93980</wp:posOffset>
            </wp:positionV>
            <wp:extent cx="7142480" cy="1079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8">
                      <a:extLst>
                        <a:ext uri="{28A0092B-C50C-407E-A947-70E740481C1C}"/>
                      </a:extLst>
                    </a:blip>
                    <a:srcRect/>
                    <a:stretch>
                      <a:fillRect/>
                    </a:stretch>
                  </pic:blipFill>
                  <pic:spPr bwMode="auto">
                    <a:xfrm>
                      <a:off x="0" y="0"/>
                      <a:ext cx="7142480" cy="10795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Inline XBRL Taxonomy Extension Calculation Linkbase Document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Inline XBRL Taxonomy Extension Definition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-786765</wp:posOffset>
            </wp:positionH>
            <wp:positionV relativeFrom="paragraph">
              <wp:posOffset>-93980</wp:posOffset>
            </wp:positionV>
            <wp:extent cx="7142480" cy="1079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9">
                      <a:extLst>
                        <a:ext uri="{28A0092B-C50C-407E-A947-70E740481C1C}"/>
                      </a:extLst>
                    </a:blip>
                    <a:srcRect/>
                    <a:stretch>
                      <a:fillRect/>
                    </a:stretch>
                  </pic:blipFill>
                  <pic:spPr bwMode="auto">
                    <a:xfrm>
                      <a:off x="0" y="0"/>
                      <a:ext cx="7142480" cy="10795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Inline XBRL Taxonomy Extension Label Linkbase Document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Inline XBRL Taxonomy Extension Presentation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-786765</wp:posOffset>
            </wp:positionH>
            <wp:positionV relativeFrom="paragraph">
              <wp:posOffset>-93980</wp:posOffset>
            </wp:positionV>
            <wp:extent cx="7142480" cy="1079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0">
                      <a:extLst>
                        <a:ext uri="{28A0092B-C50C-407E-A947-70E740481C1C}"/>
                      </a:extLst>
                    </a:blip>
                    <a:srcRect/>
                    <a:stretch>
                      <a:fillRect/>
                    </a:stretch>
                  </pic:blipFill>
                  <pic:spPr bwMode="auto">
                    <a:xfrm>
                      <a:off x="0" y="0"/>
                      <a:ext cx="7142480" cy="10795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Cover Page Interactive Data File (embedded within the Inline XBRL document).</w:t>
      </w:r>
    </w:p>
    <w:p>
      <w:pPr>
        <w:spacing w:after="0" w:line="200" w:lineRule="exact"/>
        <w:rPr>
          <w:sz w:val="20"/>
          <w:szCs w:val="20"/>
          <w:color w:val="auto"/>
        </w:rPr>
      </w:pPr>
    </w:p>
    <w:p>
      <w:pPr>
        <w:sectPr>
          <w:pgSz w:w="11900" w:h="16838" w:orient="portrait"/>
          <w:cols w:equalWidth="0" w:num="2">
            <w:col w:w="1040" w:space="200"/>
            <w:col w:w="10040"/>
          </w:cols>
          <w:pgMar w:left="300" w:top="723" w:right="319" w:bottom="1440" w:gutter="0" w:footer="0" w:header="0"/>
          <w:type w:val="continuous"/>
        </w:sect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161290</wp:posOffset>
            </wp:positionV>
            <wp:extent cx="7193280"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1">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723" w:right="319" w:bottom="1440" w:gutter="0" w:footer="0" w:header="0"/>
          <w:type w:val="continuous"/>
        </w:sectPr>
      </w:pPr>
    </w:p>
    <w:bookmarkStart w:id="65" w:name="page66"/>
    <w:bookmarkEnd w:id="65"/>
    <w:p>
      <w:pPr>
        <w:ind w:left="627" w:hanging="627"/>
        <w:spacing w:after="0"/>
        <w:tabs>
          <w:tab w:leader="none" w:pos="627"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Previously filed.</w:t>
      </w:r>
    </w:p>
    <w:p>
      <w:pPr>
        <w:spacing w:after="0" w:line="23" w:lineRule="exact"/>
        <w:rPr>
          <w:sz w:val="20"/>
          <w:szCs w:val="20"/>
          <w:color w:val="auto"/>
        </w:rPr>
      </w:pPr>
    </w:p>
    <w:p>
      <w:pPr>
        <w:ind w:left="627" w:hanging="627"/>
        <w:spacing w:after="0" w:line="241" w:lineRule="auto"/>
        <w:tabs>
          <w:tab w:leader="none" w:pos="627"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certification is deemed not filed for purposes of Section 18 of the Securities Exchange Act of 1934, as amended (Exchange Act), or otherwise subject to the liability of that section, nor shall it be deemed incorporated by reference into any filing under the Securities Act of 1933, as amended, or the Exchange Act.</w:t>
      </w:r>
    </w:p>
    <w:p>
      <w:pPr>
        <w:spacing w:after="0" w:line="7" w:lineRule="exact"/>
        <w:rPr>
          <w:sz w:val="20"/>
          <w:szCs w:val="20"/>
          <w:color w:val="auto"/>
        </w:rPr>
      </w:pPr>
    </w:p>
    <w:p>
      <w:pPr>
        <w:ind w:left="627" w:hanging="627"/>
        <w:spacing w:after="0" w:line="246" w:lineRule="auto"/>
        <w:tabs>
          <w:tab w:leader="none" w:pos="627"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Certain of the schedules and exhibits to this exhibit have been omitted pursuant to Regulation S-K Item 601(a)(5). The Company agrees to furnish supplementally a copy of any omitted schedule or exhibit to the SEC upon its request.</w:t>
      </w:r>
    </w:p>
    <w:p>
      <w:pPr>
        <w:spacing w:after="0" w:line="324" w:lineRule="exact"/>
        <w:rPr>
          <w:sz w:val="20"/>
          <w:szCs w:val="20"/>
          <w:color w:val="auto"/>
        </w:rPr>
      </w:pPr>
    </w:p>
    <w:p>
      <w:pPr>
        <w:ind w:left="5567"/>
        <w:spacing w:after="0"/>
        <w:rPr>
          <w:sz w:val="20"/>
          <w:szCs w:val="20"/>
          <w:color w:val="auto"/>
        </w:rPr>
      </w:pPr>
      <w:r>
        <w:rPr>
          <w:rFonts w:ascii="Times New Roman" w:cs="Times New Roman" w:eastAsia="Times New Roman" w:hAnsi="Times New Roman"/>
          <w:sz w:val="13"/>
          <w:szCs w:val="13"/>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167640</wp:posOffset>
            </wp:positionV>
            <wp:extent cx="7193280"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2">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0467"/>
          </w:cols>
          <w:pgMar w:left="313" w:top="757" w:right="1119" w:bottom="1440" w:gutter="0" w:footer="0" w:header="0"/>
        </w:sectPr>
      </w:pPr>
    </w:p>
    <w:bookmarkStart w:id="66" w:name="page67"/>
    <w:bookmarkEnd w:id="66"/>
    <w:p>
      <w:pPr>
        <w:ind w:left="4980"/>
        <w:spacing w:after="0"/>
        <w:rPr>
          <w:sz w:val="20"/>
          <w:szCs w:val="20"/>
          <w:color w:val="auto"/>
        </w:rPr>
      </w:pPr>
      <w:r>
        <w:rPr>
          <w:rFonts w:ascii="Times New Roman" w:cs="Times New Roman" w:eastAsia="Times New Roman" w:hAnsi="Times New Roman"/>
          <w:sz w:val="13"/>
          <w:szCs w:val="13"/>
          <w:b w:val="1"/>
          <w:bCs w:val="1"/>
          <w:color w:val="auto"/>
        </w:rPr>
        <w:t>SIGNATURES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Pursuant to the requirements of the Securities Exchange Act of 1934, the registrant has duly caused this report to be signed on its behalf by the undersigned thereunto duly authorized.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Date: May 10, 2024</w:t>
      </w:r>
    </w:p>
    <w:p>
      <w:pPr>
        <w:spacing w:after="0" w:line="187" w:lineRule="exact"/>
        <w:rPr>
          <w:sz w:val="20"/>
          <w:szCs w:val="20"/>
          <w:color w:val="auto"/>
        </w:rPr>
      </w:pPr>
    </w:p>
    <w:tbl>
      <w:tblPr>
        <w:tblLayout w:type="fixed"/>
        <w:tblInd w:w="5700" w:type="dxa"/>
        <w:tblCellMar>
          <w:top w:w="0" w:type="dxa"/>
          <w:left w:w="0" w:type="dxa"/>
          <w:bottom w:w="0" w:type="dxa"/>
          <w:right w:w="0" w:type="dxa"/>
        </w:tblCellMar>
      </w:tblPr>
      <w:tr>
        <w:trPr>
          <w:trHeight w:val="177"/>
        </w:trPr>
        <w:tc>
          <w:tcPr>
            <w:tcW w:w="53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OPAL Fuels Inc.</w:t>
            </w:r>
          </w:p>
        </w:tc>
      </w:tr>
      <w:tr>
        <w:trPr>
          <w:trHeight w:val="270"/>
        </w:trPr>
        <w:tc>
          <w:tcPr>
            <w:tcW w:w="820" w:type="dxa"/>
            <w:vAlign w:val="bottom"/>
          </w:tcPr>
          <w:p>
            <w:pPr>
              <w:spacing w:after="0"/>
              <w:rPr>
                <w:sz w:val="20"/>
                <w:szCs w:val="20"/>
                <w:color w:val="auto"/>
              </w:rPr>
            </w:pPr>
            <w:r>
              <w:rPr>
                <w:rFonts w:ascii="Times New Roman" w:cs="Times New Roman" w:eastAsia="Times New Roman" w:hAnsi="Times New Roman"/>
                <w:sz w:val="13"/>
                <w:szCs w:val="13"/>
                <w:color w:val="auto"/>
              </w:rPr>
              <w:t>By:</w:t>
            </w:r>
          </w:p>
        </w:tc>
        <w:tc>
          <w:tcPr>
            <w:tcW w:w="4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/s/ Jonathan Maurer</w:t>
            </w:r>
          </w:p>
        </w:tc>
      </w:tr>
      <w:tr>
        <w:trPr>
          <w:trHeight w:val="180"/>
        </w:trPr>
        <w:tc>
          <w:tcPr>
            <w:tcW w:w="820" w:type="dxa"/>
            <w:vAlign w:val="bottom"/>
          </w:tcPr>
          <w:p>
            <w:pPr>
              <w:spacing w:after="0"/>
              <w:rPr>
                <w:sz w:val="20"/>
                <w:szCs w:val="20"/>
                <w:color w:val="auto"/>
              </w:rPr>
            </w:pPr>
            <w:r>
              <w:rPr>
                <w:rFonts w:ascii="Times New Roman" w:cs="Times New Roman" w:eastAsia="Times New Roman" w:hAnsi="Times New Roman"/>
                <w:sz w:val="13"/>
                <w:szCs w:val="13"/>
                <w:color w:val="auto"/>
              </w:rPr>
              <w:t>Name:</w:t>
            </w:r>
          </w:p>
        </w:tc>
        <w:tc>
          <w:tcPr>
            <w:tcW w:w="4520" w:type="dxa"/>
            <w:vAlign w:val="bottom"/>
          </w:tcPr>
          <w:p>
            <w:pPr>
              <w:spacing w:after="0"/>
              <w:rPr>
                <w:sz w:val="20"/>
                <w:szCs w:val="20"/>
                <w:color w:val="auto"/>
              </w:rPr>
            </w:pPr>
            <w:r>
              <w:rPr>
                <w:rFonts w:ascii="Times New Roman" w:cs="Times New Roman" w:eastAsia="Times New Roman" w:hAnsi="Times New Roman"/>
                <w:sz w:val="13"/>
                <w:szCs w:val="13"/>
                <w:color w:val="auto"/>
              </w:rPr>
              <w:t>Jonathan Maurer</w:t>
            </w:r>
          </w:p>
        </w:tc>
      </w:tr>
      <w:tr>
        <w:trPr>
          <w:trHeight w:val="190"/>
        </w:trPr>
        <w:tc>
          <w:tcPr>
            <w:tcW w:w="820" w:type="dxa"/>
            <w:vAlign w:val="bottom"/>
          </w:tcPr>
          <w:p>
            <w:pPr>
              <w:spacing w:after="0"/>
              <w:rPr>
                <w:sz w:val="20"/>
                <w:szCs w:val="20"/>
                <w:color w:val="auto"/>
              </w:rPr>
            </w:pPr>
            <w:r>
              <w:rPr>
                <w:rFonts w:ascii="Times New Roman" w:cs="Times New Roman" w:eastAsia="Times New Roman" w:hAnsi="Times New Roman"/>
                <w:sz w:val="13"/>
                <w:szCs w:val="13"/>
                <w:color w:val="auto"/>
              </w:rPr>
              <w:t>Title:</w:t>
            </w:r>
          </w:p>
        </w:tc>
        <w:tc>
          <w:tcPr>
            <w:tcW w:w="4520" w:type="dxa"/>
            <w:vAlign w:val="bottom"/>
          </w:tcPr>
          <w:p>
            <w:pPr>
              <w:spacing w:after="0"/>
              <w:rPr>
                <w:sz w:val="20"/>
                <w:szCs w:val="20"/>
                <w:color w:val="auto"/>
              </w:rPr>
            </w:pPr>
            <w:r>
              <w:rPr>
                <w:rFonts w:ascii="Times New Roman" w:cs="Times New Roman" w:eastAsia="Times New Roman" w:hAnsi="Times New Roman"/>
                <w:sz w:val="13"/>
                <w:szCs w:val="13"/>
                <w:color w:val="auto"/>
              </w:rPr>
              <w:t>Co- Chief Executive Officer</w:t>
            </w:r>
          </w:p>
        </w:tc>
      </w:tr>
    </w:tbl>
    <w:p>
      <w:pPr>
        <w:spacing w:after="0" w:line="253" w:lineRule="exact"/>
        <w:rPr>
          <w:sz w:val="20"/>
          <w:szCs w:val="20"/>
          <w:color w:val="auto"/>
        </w:rPr>
      </w:pPr>
    </w:p>
    <w:tbl>
      <w:tblPr>
        <w:tblLayout w:type="fixed"/>
        <w:tblInd w:w="7320" w:type="dxa"/>
        <w:tblCellMar>
          <w:top w:w="0" w:type="dxa"/>
          <w:left w:w="0" w:type="dxa"/>
          <w:bottom w:w="0" w:type="dxa"/>
          <w:right w:w="0" w:type="dxa"/>
        </w:tblCellMar>
      </w:tblPr>
      <w:tr>
        <w:trPr>
          <w:trHeight w:val="177"/>
        </w:trPr>
        <w:tc>
          <w:tcPr>
            <w:tcW w:w="580" w:type="dxa"/>
            <w:vAlign w:val="bottom"/>
          </w:tcPr>
          <w:p>
            <w:pPr>
              <w:spacing w:after="0"/>
              <w:rPr>
                <w:sz w:val="15"/>
                <w:szCs w:val="15"/>
                <w:color w:val="auto"/>
              </w:rPr>
            </w:pPr>
          </w:p>
        </w:tc>
        <w:tc>
          <w:tcPr>
            <w:tcW w:w="3140" w:type="dxa"/>
            <w:vAlign w:val="bottom"/>
            <w:gridSpan w:val="2"/>
          </w:tcPr>
          <w:p>
            <w:pPr>
              <w:ind w:left="340"/>
              <w:spacing w:after="0"/>
              <w:rPr>
                <w:sz w:val="20"/>
                <w:szCs w:val="20"/>
                <w:color w:val="auto"/>
              </w:rPr>
            </w:pPr>
            <w:r>
              <w:rPr>
                <w:rFonts w:ascii="Times New Roman" w:cs="Times New Roman" w:eastAsia="Times New Roman" w:hAnsi="Times New Roman"/>
                <w:sz w:val="13"/>
                <w:szCs w:val="13"/>
                <w:b w:val="1"/>
                <w:bCs w:val="1"/>
                <w:color w:val="auto"/>
              </w:rPr>
              <w:t>OPAL Fuels Inc.</w:t>
            </w:r>
          </w:p>
        </w:tc>
      </w:tr>
      <w:tr>
        <w:trPr>
          <w:trHeight w:val="270"/>
        </w:trPr>
        <w:tc>
          <w:tcPr>
            <w:tcW w:w="580" w:type="dxa"/>
            <w:vAlign w:val="bottom"/>
          </w:tcPr>
          <w:p>
            <w:pPr>
              <w:spacing w:after="0"/>
              <w:rPr>
                <w:sz w:val="23"/>
                <w:szCs w:val="23"/>
                <w:color w:val="auto"/>
              </w:rPr>
            </w:pPr>
          </w:p>
        </w:tc>
        <w:tc>
          <w:tcPr>
            <w:tcW w:w="76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By:</w:t>
            </w:r>
          </w:p>
        </w:tc>
        <w:tc>
          <w:tcPr>
            <w:tcW w:w="2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/s/ Adam Comora</w:t>
            </w:r>
          </w:p>
        </w:tc>
      </w:tr>
      <w:tr>
        <w:trPr>
          <w:trHeight w:val="180"/>
        </w:trPr>
        <w:tc>
          <w:tcPr>
            <w:tcW w:w="580" w:type="dxa"/>
            <w:vAlign w:val="bottom"/>
          </w:tcPr>
          <w:p>
            <w:pPr>
              <w:spacing w:after="0"/>
              <w:rPr>
                <w:sz w:val="15"/>
                <w:szCs w:val="15"/>
                <w:color w:val="auto"/>
              </w:rPr>
            </w:pPr>
          </w:p>
        </w:tc>
        <w:tc>
          <w:tcPr>
            <w:tcW w:w="76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Name:</w:t>
            </w:r>
          </w:p>
        </w:tc>
        <w:tc>
          <w:tcPr>
            <w:tcW w:w="2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Adam Comora</w:t>
            </w:r>
          </w:p>
        </w:tc>
      </w:tr>
      <w:tr>
        <w:trPr>
          <w:trHeight w:val="190"/>
        </w:trPr>
        <w:tc>
          <w:tcPr>
            <w:tcW w:w="580" w:type="dxa"/>
            <w:vAlign w:val="bottom"/>
          </w:tcPr>
          <w:p>
            <w:pPr>
              <w:spacing w:after="0"/>
              <w:rPr>
                <w:sz w:val="16"/>
                <w:szCs w:val="16"/>
                <w:color w:val="auto"/>
              </w:rPr>
            </w:pPr>
          </w:p>
        </w:tc>
        <w:tc>
          <w:tcPr>
            <w:tcW w:w="76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Title:</w:t>
            </w:r>
          </w:p>
        </w:tc>
        <w:tc>
          <w:tcPr>
            <w:tcW w:w="2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 Chief Executive Officer</w:t>
            </w:r>
          </w:p>
        </w:tc>
      </w:tr>
      <w:tr>
        <w:trPr>
          <w:trHeight w:val="440"/>
        </w:trPr>
        <w:tc>
          <w:tcPr>
            <w:tcW w:w="13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OPAL Fuels Inc.</w:t>
            </w:r>
          </w:p>
        </w:tc>
        <w:tc>
          <w:tcPr>
            <w:tcW w:w="2380" w:type="dxa"/>
            <w:vAlign w:val="bottom"/>
          </w:tcPr>
          <w:p>
            <w:pPr>
              <w:spacing w:after="0"/>
              <w:rPr>
                <w:sz w:val="24"/>
                <w:szCs w:val="24"/>
                <w:color w:val="auto"/>
              </w:rPr>
            </w:pPr>
          </w:p>
        </w:tc>
      </w:tr>
      <w:tr>
        <w:trPr>
          <w:trHeight w:val="270"/>
        </w:trPr>
        <w:tc>
          <w:tcPr>
            <w:tcW w:w="580" w:type="dxa"/>
            <w:vAlign w:val="bottom"/>
          </w:tcPr>
          <w:p>
            <w:pPr>
              <w:spacing w:after="0"/>
              <w:rPr>
                <w:sz w:val="20"/>
                <w:szCs w:val="20"/>
                <w:color w:val="auto"/>
              </w:rPr>
            </w:pPr>
            <w:r>
              <w:rPr>
                <w:rFonts w:ascii="Times New Roman" w:cs="Times New Roman" w:eastAsia="Times New Roman" w:hAnsi="Times New Roman"/>
                <w:sz w:val="13"/>
                <w:szCs w:val="13"/>
                <w:color w:val="auto"/>
              </w:rPr>
              <w:t>By:</w:t>
            </w:r>
          </w:p>
        </w:tc>
        <w:tc>
          <w:tcPr>
            <w:tcW w:w="3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color w:val="auto"/>
              </w:rPr>
              <w:t>/s/ Scott Contino</w:t>
            </w:r>
          </w:p>
        </w:tc>
      </w:tr>
      <w:tr>
        <w:trPr>
          <w:trHeight w:val="180"/>
        </w:trPr>
        <w:tc>
          <w:tcPr>
            <w:tcW w:w="580" w:type="dxa"/>
            <w:vAlign w:val="bottom"/>
          </w:tcPr>
          <w:p>
            <w:pPr>
              <w:spacing w:after="0"/>
              <w:rPr>
                <w:sz w:val="20"/>
                <w:szCs w:val="20"/>
                <w:color w:val="auto"/>
              </w:rPr>
            </w:pPr>
            <w:r>
              <w:rPr>
                <w:rFonts w:ascii="Times New Roman" w:cs="Times New Roman" w:eastAsia="Times New Roman" w:hAnsi="Times New Roman"/>
                <w:sz w:val="13"/>
                <w:szCs w:val="13"/>
                <w:color w:val="auto"/>
              </w:rPr>
              <w:t>Name:</w:t>
            </w:r>
          </w:p>
        </w:tc>
        <w:tc>
          <w:tcPr>
            <w:tcW w:w="760" w:type="dxa"/>
            <w:vAlign w:val="bottom"/>
          </w:tcPr>
          <w:p>
            <w:pPr>
              <w:spacing w:after="0"/>
              <w:rPr>
                <w:sz w:val="20"/>
                <w:szCs w:val="20"/>
                <w:color w:val="auto"/>
              </w:rPr>
            </w:pPr>
            <w:r>
              <w:rPr>
                <w:rFonts w:ascii="Times New Roman" w:cs="Times New Roman" w:eastAsia="Times New Roman" w:hAnsi="Times New Roman"/>
                <w:sz w:val="13"/>
                <w:szCs w:val="13"/>
                <w:color w:val="auto"/>
              </w:rPr>
              <w:t>Scott Contino</w:t>
            </w:r>
          </w:p>
        </w:tc>
        <w:tc>
          <w:tcPr>
            <w:tcW w:w="2380" w:type="dxa"/>
            <w:vAlign w:val="bottom"/>
          </w:tcPr>
          <w:p>
            <w:pPr>
              <w:spacing w:after="0"/>
              <w:rPr>
                <w:sz w:val="15"/>
                <w:szCs w:val="15"/>
                <w:color w:val="auto"/>
              </w:rPr>
            </w:pPr>
          </w:p>
        </w:tc>
      </w:tr>
      <w:tr>
        <w:trPr>
          <w:trHeight w:val="190"/>
        </w:trPr>
        <w:tc>
          <w:tcPr>
            <w:tcW w:w="580" w:type="dxa"/>
            <w:vAlign w:val="bottom"/>
          </w:tcPr>
          <w:p>
            <w:pPr>
              <w:spacing w:after="0"/>
              <w:rPr>
                <w:sz w:val="20"/>
                <w:szCs w:val="20"/>
                <w:color w:val="auto"/>
              </w:rPr>
            </w:pPr>
            <w:r>
              <w:rPr>
                <w:rFonts w:ascii="Times New Roman" w:cs="Times New Roman" w:eastAsia="Times New Roman" w:hAnsi="Times New Roman"/>
                <w:sz w:val="13"/>
                <w:szCs w:val="13"/>
                <w:color w:val="auto"/>
              </w:rPr>
              <w:t>Title:</w:t>
            </w:r>
          </w:p>
        </w:tc>
        <w:tc>
          <w:tcPr>
            <w:tcW w:w="3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Interim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3"/>
          <w:szCs w:val="13"/>
          <w:color w:val="auto"/>
        </w:rPr>
        <w:t>63</w:t>
      </w:r>
    </w:p>
    <w:p>
      <w:pPr>
        <w:sectPr>
          <w:pgSz w:w="11900" w:h="16838" w:orient="portrait"/>
          <w:cols w:equalWidth="0" w:num="1">
            <w:col w:w="11040"/>
          </w:cols>
          <w:pgMar w:left="540" w:top="883" w:right="31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3"/>
          <w:szCs w:val="13"/>
          <w:b w:val="1"/>
          <w:bCs w:val="1"/>
          <w:color w:val="auto"/>
        </w:rPr>
        <w:t>EXHIBIT 31.1</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CERTIFICATION PURSUANT TO RULES 13a-14(a) AND 15d-14(a)</w:t>
      </w:r>
    </w:p>
    <w:p>
      <w:pPr>
        <w:jc w:val="center"/>
        <w:spacing w:after="0" w:line="208" w:lineRule="auto"/>
        <w:rPr>
          <w:sz w:val="20"/>
          <w:szCs w:val="20"/>
          <w:color w:val="auto"/>
        </w:rPr>
      </w:pPr>
      <w:r>
        <w:rPr>
          <w:rFonts w:ascii="Times New Roman" w:cs="Times New Roman" w:eastAsia="Times New Roman" w:hAnsi="Times New Roman"/>
          <w:sz w:val="13"/>
          <w:szCs w:val="13"/>
          <w:b w:val="1"/>
          <w:bCs w:val="1"/>
          <w:color w:val="auto"/>
        </w:rPr>
        <w:t>UNDER THE SECURITIES EXCHANGE ACT OF 1934, AS ADOPTED PURSUANT 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SECTION 302 OF THE SARBANES-OXLEY ACT OF 2002</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 Adam Comora, certify that:</w:t>
      </w:r>
    </w:p>
    <w:p>
      <w:pPr>
        <w:spacing w:after="0" w:line="111" w:lineRule="exact"/>
        <w:rPr>
          <w:sz w:val="20"/>
          <w:szCs w:val="20"/>
          <w:color w:val="auto"/>
        </w:rPr>
      </w:pPr>
    </w:p>
    <w:p>
      <w:pPr>
        <w:ind w:left="460" w:hanging="447"/>
        <w:spacing w:after="0"/>
        <w:tabs>
          <w:tab w:leader="none" w:pos="46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have reviewed this Quarterly Report on Form 10-Q of OPAL Fuels Inc.;</w:t>
      </w:r>
    </w:p>
    <w:p>
      <w:pPr>
        <w:spacing w:after="0" w:line="230" w:lineRule="exact"/>
        <w:rPr>
          <w:rFonts w:ascii="Times New Roman" w:cs="Times New Roman" w:eastAsia="Times New Roman" w:hAnsi="Times New Roman"/>
          <w:sz w:val="13"/>
          <w:szCs w:val="13"/>
          <w:color w:val="auto"/>
        </w:rPr>
      </w:pPr>
    </w:p>
    <w:p>
      <w:pPr>
        <w:ind w:left="460" w:right="220" w:hanging="447"/>
        <w:spacing w:after="0" w:line="294" w:lineRule="auto"/>
        <w:tabs>
          <w:tab w:leader="none" w:pos="46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4" w:lineRule="exact"/>
        <w:rPr>
          <w:rFonts w:ascii="Times New Roman" w:cs="Times New Roman" w:eastAsia="Times New Roman" w:hAnsi="Times New Roman"/>
          <w:sz w:val="13"/>
          <w:szCs w:val="13"/>
          <w:color w:val="auto"/>
        </w:rPr>
      </w:pPr>
    </w:p>
    <w:p>
      <w:pPr>
        <w:ind w:left="460" w:right="20" w:hanging="447"/>
        <w:spacing w:after="0" w:line="310" w:lineRule="auto"/>
        <w:tabs>
          <w:tab w:leader="none" w:pos="46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4" w:lineRule="exact"/>
        <w:rPr>
          <w:rFonts w:ascii="Times New Roman" w:cs="Times New Roman" w:eastAsia="Times New Roman" w:hAnsi="Times New Roman"/>
          <w:sz w:val="13"/>
          <w:szCs w:val="13"/>
          <w:color w:val="auto"/>
        </w:rPr>
      </w:pPr>
    </w:p>
    <w:p>
      <w:pPr>
        <w:ind w:left="460" w:right="340" w:hanging="447"/>
        <w:spacing w:after="0" w:line="310" w:lineRule="auto"/>
        <w:tabs>
          <w:tab w:leader="none" w:pos="46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4" w:lineRule="exact"/>
        <w:rPr>
          <w:rFonts w:ascii="Times New Roman" w:cs="Times New Roman" w:eastAsia="Times New Roman" w:hAnsi="Times New Roman"/>
          <w:sz w:val="13"/>
          <w:szCs w:val="13"/>
          <w:color w:val="auto"/>
        </w:rPr>
      </w:pPr>
    </w:p>
    <w:p>
      <w:pPr>
        <w:ind w:left="1040" w:right="160" w:hanging="566"/>
        <w:spacing w:after="0" w:line="294" w:lineRule="auto"/>
        <w:tabs>
          <w:tab w:leader="none" w:pos="1040" w:val="left"/>
        </w:tabs>
        <w:numPr>
          <w:ilvl w:val="1"/>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4" w:lineRule="exact"/>
        <w:rPr>
          <w:rFonts w:ascii="Times New Roman" w:cs="Times New Roman" w:eastAsia="Times New Roman" w:hAnsi="Times New Roman"/>
          <w:sz w:val="13"/>
          <w:szCs w:val="13"/>
          <w:color w:val="auto"/>
        </w:rPr>
      </w:pPr>
    </w:p>
    <w:p>
      <w:pPr>
        <w:ind w:left="1040" w:right="20" w:hanging="566"/>
        <w:spacing w:after="0" w:line="310" w:lineRule="auto"/>
        <w:tabs>
          <w:tab w:leader="none" w:pos="1040" w:val="left"/>
        </w:tabs>
        <w:numPr>
          <w:ilvl w:val="1"/>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4" w:lineRule="exact"/>
        <w:rPr>
          <w:rFonts w:ascii="Times New Roman" w:cs="Times New Roman" w:eastAsia="Times New Roman" w:hAnsi="Times New Roman"/>
          <w:sz w:val="13"/>
          <w:szCs w:val="13"/>
          <w:color w:val="auto"/>
        </w:rPr>
      </w:pPr>
    </w:p>
    <w:p>
      <w:pPr>
        <w:ind w:left="1040" w:right="80" w:hanging="566"/>
        <w:spacing w:after="0" w:line="310" w:lineRule="auto"/>
        <w:tabs>
          <w:tab w:leader="none" w:pos="1040" w:val="left"/>
        </w:tabs>
        <w:numPr>
          <w:ilvl w:val="1"/>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4" w:lineRule="exact"/>
        <w:rPr>
          <w:rFonts w:ascii="Times New Roman" w:cs="Times New Roman" w:eastAsia="Times New Roman" w:hAnsi="Times New Roman"/>
          <w:sz w:val="13"/>
          <w:szCs w:val="13"/>
          <w:color w:val="auto"/>
        </w:rPr>
      </w:pPr>
    </w:p>
    <w:p>
      <w:pPr>
        <w:ind w:left="1040" w:right="400" w:hanging="566"/>
        <w:spacing w:after="0" w:line="294" w:lineRule="auto"/>
        <w:tabs>
          <w:tab w:leader="none" w:pos="1040" w:val="left"/>
        </w:tabs>
        <w:numPr>
          <w:ilvl w:val="1"/>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4" w:lineRule="exact"/>
        <w:rPr>
          <w:rFonts w:ascii="Times New Roman" w:cs="Times New Roman" w:eastAsia="Times New Roman" w:hAnsi="Times New Roman"/>
          <w:sz w:val="13"/>
          <w:szCs w:val="13"/>
          <w:color w:val="auto"/>
        </w:rPr>
      </w:pPr>
    </w:p>
    <w:p>
      <w:pPr>
        <w:ind w:left="460" w:right="80" w:hanging="447"/>
        <w:spacing w:after="0" w:line="310" w:lineRule="auto"/>
        <w:tabs>
          <w:tab w:leader="none" w:pos="46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4" w:lineRule="exact"/>
        <w:rPr>
          <w:rFonts w:ascii="Times New Roman" w:cs="Times New Roman" w:eastAsia="Times New Roman" w:hAnsi="Times New Roman"/>
          <w:sz w:val="13"/>
          <w:szCs w:val="13"/>
          <w:color w:val="auto"/>
        </w:rPr>
      </w:pPr>
    </w:p>
    <w:p>
      <w:pPr>
        <w:ind w:left="1040" w:right="60" w:hanging="566"/>
        <w:spacing w:after="0" w:line="310" w:lineRule="auto"/>
        <w:tabs>
          <w:tab w:leader="none" w:pos="1040" w:val="left"/>
        </w:tabs>
        <w:numPr>
          <w:ilvl w:val="1"/>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4" w:lineRule="exact"/>
        <w:rPr>
          <w:rFonts w:ascii="Times New Roman" w:cs="Times New Roman" w:eastAsia="Times New Roman" w:hAnsi="Times New Roman"/>
          <w:sz w:val="13"/>
          <w:szCs w:val="13"/>
          <w:color w:val="auto"/>
        </w:rPr>
      </w:pPr>
    </w:p>
    <w:p>
      <w:pPr>
        <w:ind w:left="1040" w:hanging="566"/>
        <w:spacing w:after="0"/>
        <w:tabs>
          <w:tab w:leader="none" w:pos="1040" w:val="left"/>
        </w:tabs>
        <w:numPr>
          <w:ilvl w:val="1"/>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01" w:lineRule="exact"/>
        <w:rPr>
          <w:sz w:val="20"/>
          <w:szCs w:val="20"/>
          <w:color w:val="auto"/>
        </w:rPr>
      </w:pPr>
    </w:p>
    <w:p>
      <w:pPr>
        <w:ind w:left="20"/>
        <w:spacing w:after="0"/>
        <w:tabs>
          <w:tab w:leader="none" w:pos="5760" w:val="left"/>
          <w:tab w:leader="none" w:pos="6240" w:val="left"/>
        </w:tabs>
        <w:rPr>
          <w:sz w:val="20"/>
          <w:szCs w:val="20"/>
          <w:color w:val="auto"/>
        </w:rPr>
      </w:pPr>
      <w:r>
        <w:rPr>
          <w:rFonts w:ascii="Times New Roman" w:cs="Times New Roman" w:eastAsia="Times New Roman" w:hAnsi="Times New Roman"/>
          <w:sz w:val="13"/>
          <w:szCs w:val="13"/>
          <w:color w:val="auto"/>
        </w:rPr>
        <w:t>Date: May 10, 2024</w:t>
      </w:r>
      <w:r>
        <w:rPr>
          <w:sz w:val="20"/>
          <w:szCs w:val="20"/>
          <w:color w:val="auto"/>
        </w:rPr>
        <w:tab/>
      </w:r>
      <w:r>
        <w:rPr>
          <w:rFonts w:ascii="Times New Roman" w:cs="Times New Roman" w:eastAsia="Times New Roman" w:hAnsi="Times New Roman"/>
          <w:sz w:val="13"/>
          <w:szCs w:val="13"/>
          <w:color w:val="auto"/>
        </w:rPr>
        <w:t>By:</w:t>
      </w:r>
      <w:r>
        <w:rPr>
          <w:sz w:val="20"/>
          <w:szCs w:val="20"/>
          <w:color w:val="auto"/>
        </w:rPr>
        <w:tab/>
      </w:r>
      <w:r>
        <w:rPr>
          <w:rFonts w:ascii="Times New Roman" w:cs="Times New Roman" w:eastAsia="Times New Roman" w:hAnsi="Times New Roman"/>
          <w:sz w:val="13"/>
          <w:szCs w:val="13"/>
          <w:color w:val="auto"/>
        </w:rPr>
        <w:t>/s/ Adam Comora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3964940</wp:posOffset>
            </wp:positionH>
            <wp:positionV relativeFrom="paragraph">
              <wp:posOffset>33655</wp:posOffset>
            </wp:positionV>
            <wp:extent cx="3202940" cy="63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3">
                      <a:extLst>
                        <a:ext uri="{28A0092B-C50C-407E-A947-70E740481C1C}"/>
                      </a:extLst>
                    </a:blip>
                    <a:srcRect/>
                    <a:stretch>
                      <a:fillRect/>
                    </a:stretch>
                  </pic:blipFill>
                  <pic:spPr bwMode="auto">
                    <a:xfrm>
                      <a:off x="0" y="0"/>
                      <a:ext cx="3202940" cy="6350"/>
                    </a:xfrm>
                    <a:prstGeom prst="rect">
                      <a:avLst/>
                    </a:prstGeom>
                    <a:noFill/>
                  </pic:spPr>
                </pic:pic>
              </a:graphicData>
            </a:graphic>
          </wp:anchor>
        </w:drawing>
      </w:r>
    </w:p>
    <w:p>
      <w:pPr>
        <w:spacing w:after="0" w:line="51"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3"/>
          <w:szCs w:val="13"/>
          <w:color w:val="auto"/>
        </w:rPr>
        <w:t>Co-Chief Executive Officer</w:t>
      </w:r>
    </w:p>
    <w:p>
      <w:pPr>
        <w:spacing w:after="0" w:line="61"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3"/>
          <w:szCs w:val="13"/>
          <w:color w:val="auto"/>
        </w:rPr>
        <w:t>(Co-Principal Executive Officer)</w:t>
      </w:r>
    </w:p>
    <w:p>
      <w:pPr>
        <w:sectPr>
          <w:pgSz w:w="11900" w:h="16838" w:orient="portrait"/>
          <w:cols w:equalWidth="0" w:num="1">
            <w:col w:w="11280"/>
          </w:cols>
          <w:pgMar w:left="300" w:top="493" w:right="319" w:bottom="1440" w:gutter="0" w:footer="0" w:header="0"/>
        </w:sectPr>
      </w:pPr>
    </w:p>
    <w:bookmarkStart w:id="68" w:name="page69"/>
    <w:bookmarkEnd w:id="6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13"/>
          <w:szCs w:val="13"/>
          <w:b w:val="1"/>
          <w:bCs w:val="1"/>
          <w:color w:val="auto"/>
        </w:rPr>
        <w:t>EXHIBIT 31.2</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CERTIFICATION PURSUANT TO RULES 13a-14(a) AND 15d-14(a)</w:t>
      </w:r>
    </w:p>
    <w:p>
      <w:pPr>
        <w:jc w:val="center"/>
        <w:spacing w:after="0" w:line="208" w:lineRule="auto"/>
        <w:rPr>
          <w:sz w:val="20"/>
          <w:szCs w:val="20"/>
          <w:color w:val="auto"/>
        </w:rPr>
      </w:pPr>
      <w:r>
        <w:rPr>
          <w:rFonts w:ascii="Times New Roman" w:cs="Times New Roman" w:eastAsia="Times New Roman" w:hAnsi="Times New Roman"/>
          <w:sz w:val="13"/>
          <w:szCs w:val="13"/>
          <w:b w:val="1"/>
          <w:bCs w:val="1"/>
          <w:color w:val="auto"/>
        </w:rPr>
        <w:t>UNDER THE SECURITIES EXCHANGE ACT OF 1934, AS ADOPTED PURSUANT 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SECTION 302 OF THE SARBANES-OXLEY ACT OF 2002</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 Jonathan Maurer, certify that:</w:t>
      </w:r>
    </w:p>
    <w:p>
      <w:pPr>
        <w:spacing w:after="0" w:line="111" w:lineRule="exact"/>
        <w:rPr>
          <w:sz w:val="20"/>
          <w:szCs w:val="20"/>
          <w:color w:val="auto"/>
        </w:rPr>
      </w:pPr>
    </w:p>
    <w:p>
      <w:pPr>
        <w:ind w:left="460" w:hanging="447"/>
        <w:spacing w:after="0"/>
        <w:tabs>
          <w:tab w:leader="none" w:pos="460"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have reviewed this Quarterly Report on Form 10-Q of OPAL Fuels Inc.;</w:t>
      </w:r>
    </w:p>
    <w:p>
      <w:pPr>
        <w:spacing w:after="0" w:line="230" w:lineRule="exact"/>
        <w:rPr>
          <w:rFonts w:ascii="Times New Roman" w:cs="Times New Roman" w:eastAsia="Times New Roman" w:hAnsi="Times New Roman"/>
          <w:sz w:val="13"/>
          <w:szCs w:val="13"/>
          <w:color w:val="auto"/>
        </w:rPr>
      </w:pPr>
    </w:p>
    <w:p>
      <w:pPr>
        <w:ind w:left="460" w:right="220" w:hanging="447"/>
        <w:spacing w:after="0" w:line="294" w:lineRule="auto"/>
        <w:tabs>
          <w:tab w:leader="none" w:pos="460"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4" w:lineRule="exact"/>
        <w:rPr>
          <w:rFonts w:ascii="Times New Roman" w:cs="Times New Roman" w:eastAsia="Times New Roman" w:hAnsi="Times New Roman"/>
          <w:sz w:val="13"/>
          <w:szCs w:val="13"/>
          <w:color w:val="auto"/>
        </w:rPr>
      </w:pPr>
    </w:p>
    <w:p>
      <w:pPr>
        <w:ind w:left="460" w:right="20" w:hanging="447"/>
        <w:spacing w:after="0" w:line="310" w:lineRule="auto"/>
        <w:tabs>
          <w:tab w:leader="none" w:pos="460"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4" w:lineRule="exact"/>
        <w:rPr>
          <w:rFonts w:ascii="Times New Roman" w:cs="Times New Roman" w:eastAsia="Times New Roman" w:hAnsi="Times New Roman"/>
          <w:sz w:val="13"/>
          <w:szCs w:val="13"/>
          <w:color w:val="auto"/>
        </w:rPr>
      </w:pPr>
    </w:p>
    <w:p>
      <w:pPr>
        <w:ind w:left="460" w:right="340" w:hanging="447"/>
        <w:spacing w:after="0" w:line="310" w:lineRule="auto"/>
        <w:tabs>
          <w:tab w:leader="none" w:pos="460"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4" w:lineRule="exact"/>
        <w:rPr>
          <w:rFonts w:ascii="Times New Roman" w:cs="Times New Roman" w:eastAsia="Times New Roman" w:hAnsi="Times New Roman"/>
          <w:sz w:val="13"/>
          <w:szCs w:val="13"/>
          <w:color w:val="auto"/>
        </w:rPr>
      </w:pPr>
    </w:p>
    <w:p>
      <w:pPr>
        <w:ind w:left="1040" w:right="160" w:hanging="566"/>
        <w:spacing w:after="0" w:line="294" w:lineRule="auto"/>
        <w:tabs>
          <w:tab w:leader="none" w:pos="1040" w:val="left"/>
        </w:tabs>
        <w:numPr>
          <w:ilvl w:val="1"/>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4" w:lineRule="exact"/>
        <w:rPr>
          <w:rFonts w:ascii="Times New Roman" w:cs="Times New Roman" w:eastAsia="Times New Roman" w:hAnsi="Times New Roman"/>
          <w:sz w:val="13"/>
          <w:szCs w:val="13"/>
          <w:color w:val="auto"/>
        </w:rPr>
      </w:pPr>
    </w:p>
    <w:p>
      <w:pPr>
        <w:ind w:left="1040" w:right="20" w:hanging="566"/>
        <w:spacing w:after="0" w:line="310" w:lineRule="auto"/>
        <w:tabs>
          <w:tab w:leader="none" w:pos="1040" w:val="left"/>
        </w:tabs>
        <w:numPr>
          <w:ilvl w:val="1"/>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4" w:lineRule="exact"/>
        <w:rPr>
          <w:rFonts w:ascii="Times New Roman" w:cs="Times New Roman" w:eastAsia="Times New Roman" w:hAnsi="Times New Roman"/>
          <w:sz w:val="13"/>
          <w:szCs w:val="13"/>
          <w:color w:val="auto"/>
        </w:rPr>
      </w:pPr>
    </w:p>
    <w:p>
      <w:pPr>
        <w:ind w:left="1040" w:right="80" w:hanging="566"/>
        <w:spacing w:after="0" w:line="310" w:lineRule="auto"/>
        <w:tabs>
          <w:tab w:leader="none" w:pos="1040" w:val="left"/>
        </w:tabs>
        <w:numPr>
          <w:ilvl w:val="1"/>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4" w:lineRule="exact"/>
        <w:rPr>
          <w:rFonts w:ascii="Times New Roman" w:cs="Times New Roman" w:eastAsia="Times New Roman" w:hAnsi="Times New Roman"/>
          <w:sz w:val="13"/>
          <w:szCs w:val="13"/>
          <w:color w:val="auto"/>
        </w:rPr>
      </w:pPr>
    </w:p>
    <w:p>
      <w:pPr>
        <w:ind w:left="1040" w:right="400" w:hanging="566"/>
        <w:spacing w:after="0" w:line="294" w:lineRule="auto"/>
        <w:tabs>
          <w:tab w:leader="none" w:pos="1040" w:val="left"/>
        </w:tabs>
        <w:numPr>
          <w:ilvl w:val="1"/>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4" w:lineRule="exact"/>
        <w:rPr>
          <w:rFonts w:ascii="Times New Roman" w:cs="Times New Roman" w:eastAsia="Times New Roman" w:hAnsi="Times New Roman"/>
          <w:sz w:val="13"/>
          <w:szCs w:val="13"/>
          <w:color w:val="auto"/>
        </w:rPr>
      </w:pPr>
    </w:p>
    <w:p>
      <w:pPr>
        <w:ind w:left="460" w:right="80" w:hanging="447"/>
        <w:spacing w:after="0" w:line="310" w:lineRule="auto"/>
        <w:tabs>
          <w:tab w:leader="none" w:pos="460"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4" w:lineRule="exact"/>
        <w:rPr>
          <w:rFonts w:ascii="Times New Roman" w:cs="Times New Roman" w:eastAsia="Times New Roman" w:hAnsi="Times New Roman"/>
          <w:sz w:val="13"/>
          <w:szCs w:val="13"/>
          <w:color w:val="auto"/>
        </w:rPr>
      </w:pPr>
    </w:p>
    <w:p>
      <w:pPr>
        <w:ind w:left="1040" w:right="60" w:hanging="566"/>
        <w:spacing w:after="0" w:line="310" w:lineRule="auto"/>
        <w:tabs>
          <w:tab w:leader="none" w:pos="1040" w:val="left"/>
        </w:tabs>
        <w:numPr>
          <w:ilvl w:val="1"/>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4" w:lineRule="exact"/>
        <w:rPr>
          <w:rFonts w:ascii="Times New Roman" w:cs="Times New Roman" w:eastAsia="Times New Roman" w:hAnsi="Times New Roman"/>
          <w:sz w:val="13"/>
          <w:szCs w:val="13"/>
          <w:color w:val="auto"/>
        </w:rPr>
      </w:pPr>
    </w:p>
    <w:p>
      <w:pPr>
        <w:ind w:left="1040" w:hanging="566"/>
        <w:spacing w:after="0"/>
        <w:tabs>
          <w:tab w:leader="none" w:pos="1040" w:val="left"/>
        </w:tabs>
        <w:numPr>
          <w:ilvl w:val="1"/>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01" w:lineRule="exact"/>
        <w:rPr>
          <w:sz w:val="20"/>
          <w:szCs w:val="20"/>
          <w:color w:val="auto"/>
        </w:rPr>
      </w:pPr>
    </w:p>
    <w:p>
      <w:pPr>
        <w:ind w:left="20"/>
        <w:spacing w:after="0"/>
        <w:tabs>
          <w:tab w:leader="none" w:pos="5760" w:val="left"/>
          <w:tab w:leader="none" w:pos="6240" w:val="left"/>
        </w:tabs>
        <w:rPr>
          <w:sz w:val="20"/>
          <w:szCs w:val="20"/>
          <w:color w:val="auto"/>
        </w:rPr>
      </w:pPr>
      <w:r>
        <w:rPr>
          <w:rFonts w:ascii="Times New Roman" w:cs="Times New Roman" w:eastAsia="Times New Roman" w:hAnsi="Times New Roman"/>
          <w:sz w:val="13"/>
          <w:szCs w:val="13"/>
          <w:color w:val="auto"/>
        </w:rPr>
        <w:t>Date: May 10, 2024</w:t>
      </w:r>
      <w:r>
        <w:rPr>
          <w:sz w:val="20"/>
          <w:szCs w:val="20"/>
          <w:color w:val="auto"/>
        </w:rPr>
        <w:tab/>
      </w:r>
      <w:r>
        <w:rPr>
          <w:rFonts w:ascii="Times New Roman" w:cs="Times New Roman" w:eastAsia="Times New Roman" w:hAnsi="Times New Roman"/>
          <w:sz w:val="13"/>
          <w:szCs w:val="13"/>
          <w:color w:val="auto"/>
        </w:rPr>
        <w:t>By:</w:t>
      </w:r>
      <w:r>
        <w:rPr>
          <w:sz w:val="20"/>
          <w:szCs w:val="20"/>
          <w:color w:val="auto"/>
        </w:rPr>
        <w:tab/>
      </w:r>
      <w:r>
        <w:rPr>
          <w:rFonts w:ascii="Times New Roman" w:cs="Times New Roman" w:eastAsia="Times New Roman" w:hAnsi="Times New Roman"/>
          <w:sz w:val="13"/>
          <w:szCs w:val="13"/>
          <w:color w:val="auto"/>
        </w:rPr>
        <w:t>/s/ Jonathan Maurer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3964940</wp:posOffset>
            </wp:positionH>
            <wp:positionV relativeFrom="paragraph">
              <wp:posOffset>33655</wp:posOffset>
            </wp:positionV>
            <wp:extent cx="3202940" cy="63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4">
                      <a:extLst>
                        <a:ext uri="{28A0092B-C50C-407E-A947-70E740481C1C}"/>
                      </a:extLst>
                    </a:blip>
                    <a:srcRect/>
                    <a:stretch>
                      <a:fillRect/>
                    </a:stretch>
                  </pic:blipFill>
                  <pic:spPr bwMode="auto">
                    <a:xfrm>
                      <a:off x="0" y="0"/>
                      <a:ext cx="3202940" cy="6350"/>
                    </a:xfrm>
                    <a:prstGeom prst="rect">
                      <a:avLst/>
                    </a:prstGeom>
                    <a:noFill/>
                  </pic:spPr>
                </pic:pic>
              </a:graphicData>
            </a:graphic>
          </wp:anchor>
        </w:drawing>
      </w:r>
    </w:p>
    <w:p>
      <w:pPr>
        <w:spacing w:after="0" w:line="51"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3"/>
          <w:szCs w:val="13"/>
          <w:color w:val="auto"/>
        </w:rPr>
        <w:t>Co-Chief Executive Officer</w:t>
      </w:r>
    </w:p>
    <w:p>
      <w:pPr>
        <w:spacing w:after="0" w:line="61"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3"/>
          <w:szCs w:val="13"/>
          <w:color w:val="auto"/>
        </w:rPr>
        <w:t>(Co-Principal Executive Officer)</w:t>
      </w:r>
    </w:p>
    <w:p>
      <w:pPr>
        <w:sectPr>
          <w:pgSz w:w="11900" w:h="16838" w:orient="portrait"/>
          <w:cols w:equalWidth="0" w:num="1">
            <w:col w:w="11280"/>
          </w:cols>
          <w:pgMar w:left="300" w:top="493" w:right="319" w:bottom="1440" w:gutter="0" w:footer="0" w:header="0"/>
        </w:sectPr>
      </w:pPr>
    </w:p>
    <w:bookmarkStart w:id="70" w:name="page71"/>
    <w:bookmarkEnd w:id="7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3"/>
          <w:szCs w:val="13"/>
          <w:b w:val="1"/>
          <w:bCs w:val="1"/>
          <w:color w:val="auto"/>
        </w:rPr>
        <w:t>EXHIBIT 31.3</w:t>
      </w:r>
    </w:p>
    <w:p>
      <w:pPr>
        <w:spacing w:after="0" w:line="30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3"/>
          <w:szCs w:val="13"/>
          <w:b w:val="1"/>
          <w:bCs w:val="1"/>
          <w:color w:val="auto"/>
        </w:rPr>
        <w:t>CERTIFICATION PURSUANT TO RULES 13a-14(a) AND 15d-14(a)</w:t>
      </w:r>
    </w:p>
    <w:p>
      <w:pPr>
        <w:ind w:left="3060"/>
        <w:spacing w:after="0" w:line="222" w:lineRule="auto"/>
        <w:rPr>
          <w:sz w:val="20"/>
          <w:szCs w:val="20"/>
          <w:color w:val="auto"/>
        </w:rPr>
      </w:pPr>
      <w:r>
        <w:rPr>
          <w:rFonts w:ascii="Times New Roman" w:cs="Times New Roman" w:eastAsia="Times New Roman" w:hAnsi="Times New Roman"/>
          <w:sz w:val="13"/>
          <w:szCs w:val="13"/>
          <w:b w:val="1"/>
          <w:bCs w:val="1"/>
          <w:color w:val="auto"/>
        </w:rPr>
        <w:t>UNDER THE SECURITIES EXCHANGE ACT OF 1934, AS ADOPTED PURSUANT TO</w:t>
      </w:r>
    </w:p>
    <w:p>
      <w:pPr>
        <w:jc w:val="center"/>
        <w:spacing w:after="0"/>
        <w:rPr>
          <w:sz w:val="20"/>
          <w:szCs w:val="20"/>
          <w:color w:val="auto"/>
        </w:rPr>
      </w:pPr>
      <w:r>
        <w:rPr>
          <w:rFonts w:ascii="Times New Roman" w:cs="Times New Roman" w:eastAsia="Times New Roman" w:hAnsi="Times New Roman"/>
          <w:sz w:val="13"/>
          <w:szCs w:val="13"/>
          <w:b w:val="1"/>
          <w:bCs w:val="1"/>
          <w:color w:val="auto"/>
        </w:rPr>
        <w:t>SECTION 302 OF THE SARBANES-OXLEY ACT OF 2002</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 Scott Contino, certify that:</w:t>
      </w:r>
    </w:p>
    <w:p>
      <w:pPr>
        <w:spacing w:after="0" w:line="121" w:lineRule="exact"/>
        <w:rPr>
          <w:sz w:val="20"/>
          <w:szCs w:val="20"/>
          <w:color w:val="auto"/>
        </w:rPr>
      </w:pPr>
    </w:p>
    <w:p>
      <w:pPr>
        <w:ind w:left="460" w:hanging="447"/>
        <w:spacing w:after="0"/>
        <w:tabs>
          <w:tab w:leader="none" w:pos="460"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have reviewed this Quarterly Report on Form 10-Q of OPAL Fuels Inc.;</w:t>
      </w:r>
    </w:p>
    <w:p>
      <w:pPr>
        <w:spacing w:after="0" w:line="220" w:lineRule="exact"/>
        <w:rPr>
          <w:rFonts w:ascii="Times New Roman" w:cs="Times New Roman" w:eastAsia="Times New Roman" w:hAnsi="Times New Roman"/>
          <w:sz w:val="13"/>
          <w:szCs w:val="13"/>
          <w:color w:val="auto"/>
        </w:rPr>
      </w:pPr>
    </w:p>
    <w:p>
      <w:pPr>
        <w:ind w:left="460" w:right="220" w:hanging="447"/>
        <w:spacing w:after="0" w:line="310" w:lineRule="auto"/>
        <w:tabs>
          <w:tab w:leader="none" w:pos="460"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4" w:lineRule="exact"/>
        <w:rPr>
          <w:rFonts w:ascii="Times New Roman" w:cs="Times New Roman" w:eastAsia="Times New Roman" w:hAnsi="Times New Roman"/>
          <w:sz w:val="13"/>
          <w:szCs w:val="13"/>
          <w:color w:val="auto"/>
        </w:rPr>
      </w:pPr>
    </w:p>
    <w:p>
      <w:pPr>
        <w:ind w:left="460" w:right="20" w:hanging="447"/>
        <w:spacing w:after="0" w:line="310" w:lineRule="auto"/>
        <w:tabs>
          <w:tab w:leader="none" w:pos="460"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4" w:lineRule="exact"/>
        <w:rPr>
          <w:rFonts w:ascii="Times New Roman" w:cs="Times New Roman" w:eastAsia="Times New Roman" w:hAnsi="Times New Roman"/>
          <w:sz w:val="13"/>
          <w:szCs w:val="13"/>
          <w:color w:val="auto"/>
        </w:rPr>
      </w:pPr>
    </w:p>
    <w:p>
      <w:pPr>
        <w:ind w:left="460" w:right="340" w:hanging="447"/>
        <w:spacing w:after="0" w:line="294" w:lineRule="auto"/>
        <w:tabs>
          <w:tab w:leader="none" w:pos="460"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4" w:lineRule="exact"/>
        <w:rPr>
          <w:rFonts w:ascii="Times New Roman" w:cs="Times New Roman" w:eastAsia="Times New Roman" w:hAnsi="Times New Roman"/>
          <w:sz w:val="13"/>
          <w:szCs w:val="13"/>
          <w:color w:val="auto"/>
        </w:rPr>
      </w:pPr>
    </w:p>
    <w:p>
      <w:pPr>
        <w:ind w:left="1040" w:right="140" w:hanging="576"/>
        <w:spacing w:after="0" w:line="310" w:lineRule="auto"/>
        <w:tabs>
          <w:tab w:leader="none" w:pos="1040" w:val="left"/>
        </w:tabs>
        <w:numPr>
          <w:ilvl w:val="1"/>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4" w:lineRule="exact"/>
        <w:rPr>
          <w:rFonts w:ascii="Times New Roman" w:cs="Times New Roman" w:eastAsia="Times New Roman" w:hAnsi="Times New Roman"/>
          <w:sz w:val="13"/>
          <w:szCs w:val="13"/>
          <w:color w:val="auto"/>
        </w:rPr>
      </w:pPr>
    </w:p>
    <w:p>
      <w:pPr>
        <w:ind w:left="1040" w:right="540" w:hanging="576"/>
        <w:spacing w:after="0" w:line="310" w:lineRule="auto"/>
        <w:tabs>
          <w:tab w:leader="none" w:pos="1040" w:val="left"/>
        </w:tabs>
        <w:numPr>
          <w:ilvl w:val="1"/>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4" w:lineRule="exact"/>
        <w:rPr>
          <w:rFonts w:ascii="Times New Roman" w:cs="Times New Roman" w:eastAsia="Times New Roman" w:hAnsi="Times New Roman"/>
          <w:sz w:val="13"/>
          <w:szCs w:val="13"/>
          <w:color w:val="auto"/>
        </w:rPr>
      </w:pPr>
    </w:p>
    <w:p>
      <w:pPr>
        <w:ind w:left="1040" w:right="60" w:hanging="576"/>
        <w:spacing w:after="0" w:line="294" w:lineRule="auto"/>
        <w:tabs>
          <w:tab w:leader="none" w:pos="1040" w:val="left"/>
        </w:tabs>
        <w:numPr>
          <w:ilvl w:val="1"/>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4" w:lineRule="exact"/>
        <w:rPr>
          <w:rFonts w:ascii="Times New Roman" w:cs="Times New Roman" w:eastAsia="Times New Roman" w:hAnsi="Times New Roman"/>
          <w:sz w:val="13"/>
          <w:szCs w:val="13"/>
          <w:color w:val="auto"/>
        </w:rPr>
      </w:pPr>
    </w:p>
    <w:p>
      <w:pPr>
        <w:ind w:left="1040" w:right="380" w:hanging="576"/>
        <w:spacing w:after="0" w:line="310" w:lineRule="auto"/>
        <w:tabs>
          <w:tab w:leader="none" w:pos="1040" w:val="left"/>
        </w:tabs>
        <w:numPr>
          <w:ilvl w:val="1"/>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4" w:lineRule="exact"/>
        <w:rPr>
          <w:rFonts w:ascii="Times New Roman" w:cs="Times New Roman" w:eastAsia="Times New Roman" w:hAnsi="Times New Roman"/>
          <w:sz w:val="13"/>
          <w:szCs w:val="13"/>
          <w:color w:val="auto"/>
        </w:rPr>
      </w:pPr>
    </w:p>
    <w:p>
      <w:pPr>
        <w:ind w:left="460" w:right="80" w:hanging="447"/>
        <w:spacing w:after="0" w:line="310" w:lineRule="auto"/>
        <w:tabs>
          <w:tab w:leader="none" w:pos="460"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4" w:lineRule="exact"/>
        <w:rPr>
          <w:rFonts w:ascii="Times New Roman" w:cs="Times New Roman" w:eastAsia="Times New Roman" w:hAnsi="Times New Roman"/>
          <w:sz w:val="13"/>
          <w:szCs w:val="13"/>
          <w:color w:val="auto"/>
        </w:rPr>
      </w:pPr>
    </w:p>
    <w:p>
      <w:pPr>
        <w:ind w:left="1040" w:right="40" w:hanging="576"/>
        <w:spacing w:after="0" w:line="294" w:lineRule="auto"/>
        <w:tabs>
          <w:tab w:leader="none" w:pos="1040" w:val="left"/>
        </w:tabs>
        <w:numPr>
          <w:ilvl w:val="1"/>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4" w:lineRule="exact"/>
        <w:rPr>
          <w:rFonts w:ascii="Times New Roman" w:cs="Times New Roman" w:eastAsia="Times New Roman" w:hAnsi="Times New Roman"/>
          <w:sz w:val="13"/>
          <w:szCs w:val="13"/>
          <w:color w:val="auto"/>
        </w:rPr>
      </w:pPr>
    </w:p>
    <w:p>
      <w:pPr>
        <w:ind w:left="1040" w:hanging="576"/>
        <w:spacing w:after="0"/>
        <w:tabs>
          <w:tab w:leader="none" w:pos="1040" w:val="left"/>
        </w:tabs>
        <w:numPr>
          <w:ilvl w:val="1"/>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80"/>
          </w:cols>
          <w:pgMar w:left="300" w:top="1073" w:right="319" w:bottom="1440" w:gutter="0" w:footer="0" w:header="0"/>
        </w:sectPr>
      </w:pPr>
    </w:p>
    <w:bookmarkStart w:id="72" w:name="page73"/>
    <w:bookmarkEnd w:id="72"/>
    <w:p>
      <w:pPr>
        <w:spacing w:after="0"/>
        <w:tabs>
          <w:tab w:leader="none" w:pos="5700" w:val="left"/>
          <w:tab w:leader="none" w:pos="6220" w:val="left"/>
        </w:tabs>
        <w:rPr>
          <w:sz w:val="20"/>
          <w:szCs w:val="20"/>
          <w:color w:val="auto"/>
        </w:rPr>
      </w:pPr>
      <w:r>
        <w:rPr>
          <w:rFonts w:ascii="Times New Roman" w:cs="Times New Roman" w:eastAsia="Times New Roman" w:hAnsi="Times New Roman"/>
          <w:sz w:val="13"/>
          <w:szCs w:val="13"/>
          <w:color w:val="auto"/>
        </w:rPr>
        <w:t>Date: May 10, 2024</w:t>
      </w:r>
      <w:r>
        <w:rPr>
          <w:sz w:val="20"/>
          <w:szCs w:val="20"/>
          <w:color w:val="auto"/>
        </w:rPr>
        <w:tab/>
      </w:r>
      <w:r>
        <w:rPr>
          <w:rFonts w:ascii="Times New Roman" w:cs="Times New Roman" w:eastAsia="Times New Roman" w:hAnsi="Times New Roman"/>
          <w:sz w:val="13"/>
          <w:szCs w:val="13"/>
          <w:color w:val="auto"/>
        </w:rPr>
        <w:t>By:</w:t>
      </w:r>
      <w:r>
        <w:rPr>
          <w:sz w:val="20"/>
          <w:szCs w:val="20"/>
          <w:color w:val="auto"/>
        </w:rPr>
        <w:tab/>
      </w:r>
      <w:r>
        <w:rPr>
          <w:rFonts w:ascii="Times New Roman" w:cs="Times New Roman" w:eastAsia="Times New Roman" w:hAnsi="Times New Roman"/>
          <w:sz w:val="13"/>
          <w:szCs w:val="13"/>
          <w:color w:val="auto"/>
        </w:rPr>
        <w:t>/s/ Scott Contino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3952240</wp:posOffset>
            </wp:positionH>
            <wp:positionV relativeFrom="paragraph">
              <wp:posOffset>33655</wp:posOffset>
            </wp:positionV>
            <wp:extent cx="3202940" cy="63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5">
                      <a:extLst>
                        <a:ext uri="{28A0092B-C50C-407E-A947-70E740481C1C}"/>
                      </a:extLst>
                    </a:blip>
                    <a:srcRect/>
                    <a:stretch>
                      <a:fillRect/>
                    </a:stretch>
                  </pic:blipFill>
                  <pic:spPr bwMode="auto">
                    <a:xfrm>
                      <a:off x="0" y="0"/>
                      <a:ext cx="3202940" cy="6350"/>
                    </a:xfrm>
                    <a:prstGeom prst="rect">
                      <a:avLst/>
                    </a:prstGeom>
                    <a:noFill/>
                  </pic:spPr>
                </pic:pic>
              </a:graphicData>
            </a:graphic>
          </wp:anchor>
        </w:drawing>
      </w:r>
    </w:p>
    <w:p>
      <w:pPr>
        <w:spacing w:after="0" w:line="51"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3"/>
          <w:szCs w:val="13"/>
          <w:color w:val="auto"/>
        </w:rPr>
        <w:t>Interim Chief Financial Officer</w:t>
      </w:r>
    </w:p>
    <w:p>
      <w:pPr>
        <w:spacing w:after="0" w:line="61"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3"/>
          <w:szCs w:val="13"/>
          <w:color w:val="auto"/>
        </w:rPr>
        <w:t>(Principal Financial Officer)</w:t>
      </w:r>
    </w:p>
    <w:p>
      <w:pPr>
        <w:sectPr>
          <w:pgSz w:w="11900" w:h="16838" w:orient="portrait"/>
          <w:cols w:equalWidth="0" w:num="1">
            <w:col w:w="10139"/>
          </w:cols>
          <w:pgMar w:left="320" w:top="1328" w:right="1440" w:bottom="1440" w:gutter="0" w:footer="0" w:header="0"/>
        </w:sectPr>
      </w:pPr>
    </w:p>
    <w:bookmarkStart w:id="73" w:name="page74"/>
    <w:bookmarkEnd w:id="7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3"/>
          <w:szCs w:val="13"/>
          <w:b w:val="1"/>
          <w:bCs w:val="1"/>
          <w:color w:val="auto"/>
        </w:rPr>
        <w:t>EXHIBIT 32.1</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CERTIFICATION PURSUANT TO</w:t>
      </w:r>
    </w:p>
    <w:p>
      <w:pPr>
        <w:ind w:left="3960"/>
        <w:spacing w:after="0" w:line="222" w:lineRule="auto"/>
        <w:rPr>
          <w:sz w:val="20"/>
          <w:szCs w:val="20"/>
          <w:color w:val="auto"/>
        </w:rPr>
      </w:pPr>
      <w:r>
        <w:rPr>
          <w:rFonts w:ascii="Times New Roman" w:cs="Times New Roman" w:eastAsia="Times New Roman" w:hAnsi="Times New Roman"/>
          <w:sz w:val="13"/>
          <w:szCs w:val="13"/>
          <w:b w:val="1"/>
          <w:bCs w:val="1"/>
          <w:color w:val="auto"/>
        </w:rPr>
        <w:t>18 U.S.C. SECTION 1350, AS ADOPTED PURSUANT TO</w:t>
      </w:r>
    </w:p>
    <w:p>
      <w:pPr>
        <w:ind w:left="3920"/>
        <w:spacing w:after="0"/>
        <w:rPr>
          <w:sz w:val="20"/>
          <w:szCs w:val="20"/>
          <w:color w:val="auto"/>
        </w:rPr>
      </w:pPr>
      <w:r>
        <w:rPr>
          <w:rFonts w:ascii="Times New Roman" w:cs="Times New Roman" w:eastAsia="Times New Roman" w:hAnsi="Times New Roman"/>
          <w:sz w:val="13"/>
          <w:szCs w:val="13"/>
          <w:b w:val="1"/>
          <w:bCs w:val="1"/>
          <w:color w:val="auto"/>
        </w:rPr>
        <w:t>SECTION 906 OF THE SARBANES-OXLEY ACT OF 2002</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 connection with the Quarterly Report of OPAL Fuels Inc. (the “</w:t>
      </w:r>
      <w:r>
        <w:rPr>
          <w:rFonts w:ascii="Times New Roman" w:cs="Times New Roman" w:eastAsia="Times New Roman" w:hAnsi="Times New Roman"/>
          <w:sz w:val="13"/>
          <w:szCs w:val="13"/>
          <w:u w:val="single" w:color="auto"/>
          <w:color w:val="auto"/>
        </w:rPr>
        <w:t>Company</w:t>
      </w:r>
      <w:r>
        <w:rPr>
          <w:rFonts w:ascii="Times New Roman" w:cs="Times New Roman" w:eastAsia="Times New Roman" w:hAnsi="Times New Roman"/>
          <w:sz w:val="13"/>
          <w:szCs w:val="13"/>
          <w:color w:val="auto"/>
        </w:rPr>
        <w:t>”) on Form 10-Q for the three months ended March 31, 2024, as filed with the Securities and Exchange Commission on the date hereof</w:t>
      </w:r>
    </w:p>
    <w:p>
      <w:pPr>
        <w:spacing w:after="0" w:line="5"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13"/>
          <w:szCs w:val="13"/>
          <w:color w:val="auto"/>
        </w:rPr>
        <w:t>(the “Repor</w:t>
      </w:r>
      <w:r>
        <w:rPr>
          <w:rFonts w:ascii="Times New Roman" w:cs="Times New Roman" w:eastAsia="Times New Roman" w:hAnsi="Times New Roman"/>
          <w:sz w:val="13"/>
          <w:szCs w:val="13"/>
          <w:u w:val="single" w:color="auto"/>
          <w:color w:val="auto"/>
        </w:rPr>
        <w:t>t</w:t>
      </w:r>
      <w:r>
        <w:rPr>
          <w:rFonts w:ascii="Times New Roman" w:cs="Times New Roman" w:eastAsia="Times New Roman" w:hAnsi="Times New Roman"/>
          <w:sz w:val="13"/>
          <w:szCs w:val="13"/>
          <w:color w:val="auto"/>
          <w:highlight w:val="white"/>
        </w:rPr>
        <w:t>”), I, Adam Comora, Co-Chief Executive Officer of the Company, certify, pursuant to 18 U.S.C. Section 1350, as adopted pursuant to Section 906 of the Sarbanes-Oxley Act of 2002, that, to my</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color w:val="auto"/>
          <w:highlight w:val="white"/>
        </w:rPr>
        <w:t>knowledge: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12700" cy="571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6">
                      <a:extLst>
                        <a:ext uri="{28A0092B-C50C-407E-A947-70E740481C1C}"/>
                      </a:extLst>
                    </a:blip>
                    <a:srcRect/>
                    <a:stretch>
                      <a:fillRect/>
                    </a:stretch>
                  </pic:blipFill>
                  <pic:spPr bwMode="auto">
                    <a:xfrm>
                      <a:off x="0" y="0"/>
                      <a:ext cx="12700" cy="57150"/>
                    </a:xfrm>
                    <a:prstGeom prst="rect">
                      <a:avLst/>
                    </a:prstGeom>
                    <a:noFill/>
                  </pic:spPr>
                </pic:pic>
              </a:graphicData>
            </a:graphic>
          </wp:anchor>
        </w:drawing>
      </w:r>
    </w:p>
    <w:p>
      <w:pPr>
        <w:spacing w:after="0" w:line="69" w:lineRule="exact"/>
        <w:rPr>
          <w:sz w:val="20"/>
          <w:szCs w:val="20"/>
          <w:color w:val="auto"/>
        </w:rPr>
      </w:pPr>
    </w:p>
    <w:p>
      <w:pPr>
        <w:ind w:left="460" w:hanging="447"/>
        <w:spacing w:after="0"/>
        <w:tabs>
          <w:tab w:leader="none" w:pos="460"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Report fully complies with the requirements of Section 13(a) or 15(d) of the Securities Exchange Act of 1934; and</w:t>
      </w:r>
    </w:p>
    <w:p>
      <w:pPr>
        <w:spacing w:after="0" w:line="230" w:lineRule="exact"/>
        <w:rPr>
          <w:rFonts w:ascii="Times New Roman" w:cs="Times New Roman" w:eastAsia="Times New Roman" w:hAnsi="Times New Roman"/>
          <w:sz w:val="13"/>
          <w:szCs w:val="13"/>
          <w:color w:val="auto"/>
        </w:rPr>
      </w:pPr>
    </w:p>
    <w:p>
      <w:pPr>
        <w:ind w:left="460" w:hanging="447"/>
        <w:spacing w:after="0"/>
        <w:tabs>
          <w:tab w:leader="none" w:pos="460"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Date: May 10, 2024</w:t>
      </w:r>
    </w:p>
    <w:p>
      <w:pPr>
        <w:spacing w:after="0" w:line="61"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3"/>
          <w:szCs w:val="13"/>
          <w:color w:val="auto"/>
        </w:rPr>
        <w:t>/s/ Adam Comora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3907790</wp:posOffset>
            </wp:positionH>
            <wp:positionV relativeFrom="paragraph">
              <wp:posOffset>33655</wp:posOffset>
            </wp:positionV>
            <wp:extent cx="3260090" cy="63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7">
                      <a:extLst>
                        <a:ext uri="{28A0092B-C50C-407E-A947-70E740481C1C}"/>
                      </a:extLst>
                    </a:blip>
                    <a:srcRect/>
                    <a:stretch>
                      <a:fillRect/>
                    </a:stretch>
                  </pic:blipFill>
                  <pic:spPr bwMode="auto">
                    <a:xfrm>
                      <a:off x="0" y="0"/>
                      <a:ext cx="3260090" cy="6350"/>
                    </a:xfrm>
                    <a:prstGeom prst="rect">
                      <a:avLst/>
                    </a:prstGeom>
                    <a:noFill/>
                  </pic:spPr>
                </pic:pic>
              </a:graphicData>
            </a:graphic>
          </wp:anchor>
        </w:drawing>
      </w:r>
    </w:p>
    <w:p>
      <w:pPr>
        <w:spacing w:after="0" w:line="51"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3"/>
          <w:szCs w:val="13"/>
          <w:color w:val="auto"/>
        </w:rPr>
        <w:t>Name: Adam Comora</w:t>
      </w:r>
    </w:p>
    <w:p>
      <w:pPr>
        <w:spacing w:after="0" w:line="61"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3"/>
          <w:szCs w:val="13"/>
          <w:color w:val="auto"/>
        </w:rPr>
        <w:t>Title: Co-Chief Executive Officer</w:t>
      </w:r>
    </w:p>
    <w:p>
      <w:pPr>
        <w:spacing w:after="0" w:line="61"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3"/>
          <w:szCs w:val="13"/>
          <w:color w:val="auto"/>
        </w:rPr>
        <w:t>(Co-Principal Executive Officer)</w:t>
      </w:r>
    </w:p>
    <w:p>
      <w:pPr>
        <w:sectPr>
          <w:pgSz w:w="11900" w:h="16838" w:orient="portrait"/>
          <w:cols w:equalWidth="0" w:num="1">
            <w:col w:w="11280"/>
          </w:cols>
          <w:pgMar w:left="300" w:top="1074" w:right="319" w:bottom="1440" w:gutter="0" w:footer="0" w:header="0"/>
        </w:sectPr>
      </w:pPr>
    </w:p>
    <w:bookmarkStart w:id="75" w:name="page76"/>
    <w:bookmarkEnd w:id="7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3"/>
          <w:szCs w:val="13"/>
          <w:b w:val="1"/>
          <w:bCs w:val="1"/>
          <w:color w:val="auto"/>
        </w:rPr>
        <w:t>EXHIBIT 32.2</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CERTIFICATION PURSUANT TO</w:t>
      </w:r>
    </w:p>
    <w:p>
      <w:pPr>
        <w:ind w:left="3960"/>
        <w:spacing w:after="0" w:line="222" w:lineRule="auto"/>
        <w:rPr>
          <w:sz w:val="20"/>
          <w:szCs w:val="20"/>
          <w:color w:val="auto"/>
        </w:rPr>
      </w:pPr>
      <w:r>
        <w:rPr>
          <w:rFonts w:ascii="Times New Roman" w:cs="Times New Roman" w:eastAsia="Times New Roman" w:hAnsi="Times New Roman"/>
          <w:sz w:val="13"/>
          <w:szCs w:val="13"/>
          <w:b w:val="1"/>
          <w:bCs w:val="1"/>
          <w:color w:val="auto"/>
        </w:rPr>
        <w:t>18 U.S.C. SECTION 1350, AS ADOPTED PURSUANT TO</w:t>
      </w:r>
    </w:p>
    <w:p>
      <w:pPr>
        <w:ind w:left="3920"/>
        <w:spacing w:after="0"/>
        <w:rPr>
          <w:sz w:val="20"/>
          <w:szCs w:val="20"/>
          <w:color w:val="auto"/>
        </w:rPr>
      </w:pPr>
      <w:r>
        <w:rPr>
          <w:rFonts w:ascii="Times New Roman" w:cs="Times New Roman" w:eastAsia="Times New Roman" w:hAnsi="Times New Roman"/>
          <w:sz w:val="13"/>
          <w:szCs w:val="13"/>
          <w:b w:val="1"/>
          <w:bCs w:val="1"/>
          <w:color w:val="auto"/>
        </w:rPr>
        <w:t>SECTION 906 OF THE SARBANES-OXLEY ACT OF 2002</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 connection with the Quarterly Report of OPAL Fuels Inc. (the “</w:t>
      </w:r>
      <w:r>
        <w:rPr>
          <w:rFonts w:ascii="Times New Roman" w:cs="Times New Roman" w:eastAsia="Times New Roman" w:hAnsi="Times New Roman"/>
          <w:sz w:val="13"/>
          <w:szCs w:val="13"/>
          <w:u w:val="single" w:color="auto"/>
          <w:color w:val="auto"/>
        </w:rPr>
        <w:t>Company</w:t>
      </w:r>
      <w:r>
        <w:rPr>
          <w:rFonts w:ascii="Times New Roman" w:cs="Times New Roman" w:eastAsia="Times New Roman" w:hAnsi="Times New Roman"/>
          <w:sz w:val="13"/>
          <w:szCs w:val="13"/>
          <w:color w:val="auto"/>
        </w:rPr>
        <w:t>”) on Form 10-Q for the three months ended March 31, 2024, as filed with the Securities and Exchange Commission on the date hereof</w:t>
      </w:r>
    </w:p>
    <w:p>
      <w:pPr>
        <w:spacing w:after="0" w:line="5"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13"/>
          <w:szCs w:val="13"/>
          <w:color w:val="auto"/>
        </w:rPr>
        <w:t>(the “Repor</w:t>
      </w:r>
      <w:r>
        <w:rPr>
          <w:rFonts w:ascii="Times New Roman" w:cs="Times New Roman" w:eastAsia="Times New Roman" w:hAnsi="Times New Roman"/>
          <w:sz w:val="13"/>
          <w:szCs w:val="13"/>
          <w:u w:val="single" w:color="auto"/>
          <w:color w:val="auto"/>
        </w:rPr>
        <w:t>t</w:t>
      </w:r>
      <w:r>
        <w:rPr>
          <w:rFonts w:ascii="Times New Roman" w:cs="Times New Roman" w:eastAsia="Times New Roman" w:hAnsi="Times New Roman"/>
          <w:sz w:val="13"/>
          <w:szCs w:val="13"/>
          <w:color w:val="auto"/>
          <w:highlight w:val="white"/>
        </w:rPr>
        <w:t>”), I, Jonathan Maurer, Co-Chief Executive Officer of the Company, certify, pursuant to 18 U.S.C. Section 1350, as adopted pursuant to Section 906 of the Sarbanes-Oxley Act of 2002, that, to my</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color w:val="auto"/>
          <w:highlight w:val="white"/>
        </w:rPr>
        <w:t>knowledge: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12700" cy="571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8">
                      <a:extLst>
                        <a:ext uri="{28A0092B-C50C-407E-A947-70E740481C1C}"/>
                      </a:extLst>
                    </a:blip>
                    <a:srcRect/>
                    <a:stretch>
                      <a:fillRect/>
                    </a:stretch>
                  </pic:blipFill>
                  <pic:spPr bwMode="auto">
                    <a:xfrm>
                      <a:off x="0" y="0"/>
                      <a:ext cx="12700" cy="57150"/>
                    </a:xfrm>
                    <a:prstGeom prst="rect">
                      <a:avLst/>
                    </a:prstGeom>
                    <a:noFill/>
                  </pic:spPr>
                </pic:pic>
              </a:graphicData>
            </a:graphic>
          </wp:anchor>
        </w:drawing>
      </w:r>
    </w:p>
    <w:p>
      <w:pPr>
        <w:spacing w:after="0" w:line="69" w:lineRule="exact"/>
        <w:rPr>
          <w:sz w:val="20"/>
          <w:szCs w:val="20"/>
          <w:color w:val="auto"/>
        </w:rPr>
      </w:pPr>
    </w:p>
    <w:p>
      <w:pPr>
        <w:ind w:left="460" w:hanging="447"/>
        <w:spacing w:after="0"/>
        <w:tabs>
          <w:tab w:leader="none" w:pos="460" w:val="left"/>
        </w:tabs>
        <w:numPr>
          <w:ilvl w:val="0"/>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Report fully complies with the requirements of Section 13(a) or 15(d) of the Securities Exchange Act of 1934; and</w:t>
      </w:r>
    </w:p>
    <w:p>
      <w:pPr>
        <w:spacing w:after="0" w:line="230" w:lineRule="exact"/>
        <w:rPr>
          <w:rFonts w:ascii="Times New Roman" w:cs="Times New Roman" w:eastAsia="Times New Roman" w:hAnsi="Times New Roman"/>
          <w:sz w:val="13"/>
          <w:szCs w:val="13"/>
          <w:color w:val="auto"/>
        </w:rPr>
      </w:pPr>
    </w:p>
    <w:p>
      <w:pPr>
        <w:ind w:left="460" w:hanging="447"/>
        <w:spacing w:after="0"/>
        <w:tabs>
          <w:tab w:leader="none" w:pos="460" w:val="left"/>
        </w:tabs>
        <w:numPr>
          <w:ilvl w:val="0"/>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Date: May 10, 2024</w:t>
      </w:r>
    </w:p>
    <w:p>
      <w:pPr>
        <w:spacing w:after="0" w:line="61"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3"/>
          <w:szCs w:val="13"/>
          <w:color w:val="auto"/>
        </w:rPr>
        <w:t>/s/ Jonathan Maurer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3907790</wp:posOffset>
            </wp:positionH>
            <wp:positionV relativeFrom="paragraph">
              <wp:posOffset>33655</wp:posOffset>
            </wp:positionV>
            <wp:extent cx="3260090" cy="63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9">
                      <a:extLst>
                        <a:ext uri="{28A0092B-C50C-407E-A947-70E740481C1C}"/>
                      </a:extLst>
                    </a:blip>
                    <a:srcRect/>
                    <a:stretch>
                      <a:fillRect/>
                    </a:stretch>
                  </pic:blipFill>
                  <pic:spPr bwMode="auto">
                    <a:xfrm>
                      <a:off x="0" y="0"/>
                      <a:ext cx="3260090" cy="6350"/>
                    </a:xfrm>
                    <a:prstGeom prst="rect">
                      <a:avLst/>
                    </a:prstGeom>
                    <a:noFill/>
                  </pic:spPr>
                </pic:pic>
              </a:graphicData>
            </a:graphic>
          </wp:anchor>
        </w:drawing>
      </w:r>
    </w:p>
    <w:p>
      <w:pPr>
        <w:spacing w:after="0" w:line="51"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3"/>
          <w:szCs w:val="13"/>
          <w:color w:val="auto"/>
        </w:rPr>
        <w:t>Name: Jonathan Maurer</w:t>
      </w:r>
    </w:p>
    <w:p>
      <w:pPr>
        <w:spacing w:after="0" w:line="61"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3"/>
          <w:szCs w:val="13"/>
          <w:color w:val="auto"/>
        </w:rPr>
        <w:t>Title: Co-Chief Executive Officer</w:t>
      </w:r>
    </w:p>
    <w:p>
      <w:pPr>
        <w:spacing w:after="0" w:line="61"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3"/>
          <w:szCs w:val="13"/>
          <w:color w:val="auto"/>
        </w:rPr>
        <w:t>(Co-Principal Executive Officer)</w:t>
      </w:r>
    </w:p>
    <w:p>
      <w:pPr>
        <w:sectPr>
          <w:pgSz w:w="11900" w:h="16838" w:orient="portrait"/>
          <w:cols w:equalWidth="0" w:num="1">
            <w:col w:w="11280"/>
          </w:cols>
          <w:pgMar w:left="300" w:top="1254" w:right="319" w:bottom="1440" w:gutter="0" w:footer="0" w:header="0"/>
        </w:sectPr>
      </w:pPr>
    </w:p>
    <w:bookmarkStart w:id="77" w:name="page78"/>
    <w:bookmarkEnd w:id="7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3"/>
          <w:szCs w:val="13"/>
          <w:b w:val="1"/>
          <w:bCs w:val="1"/>
          <w:color w:val="auto"/>
        </w:rPr>
        <w:t>EXHIBIT 32.3</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CERTIFICATION PURSUANT TO</w:t>
      </w:r>
    </w:p>
    <w:p>
      <w:pPr>
        <w:ind w:left="3960"/>
        <w:spacing w:after="0" w:line="222" w:lineRule="auto"/>
        <w:rPr>
          <w:sz w:val="20"/>
          <w:szCs w:val="20"/>
          <w:color w:val="auto"/>
        </w:rPr>
      </w:pPr>
      <w:r>
        <w:rPr>
          <w:rFonts w:ascii="Times New Roman" w:cs="Times New Roman" w:eastAsia="Times New Roman" w:hAnsi="Times New Roman"/>
          <w:sz w:val="13"/>
          <w:szCs w:val="13"/>
          <w:b w:val="1"/>
          <w:bCs w:val="1"/>
          <w:color w:val="auto"/>
        </w:rPr>
        <w:t>18 U.S.C. SECTION 1350, AS ADOPTED PURSUANT TO</w:t>
      </w:r>
    </w:p>
    <w:p>
      <w:pPr>
        <w:ind w:left="3920"/>
        <w:spacing w:after="0"/>
        <w:rPr>
          <w:sz w:val="20"/>
          <w:szCs w:val="20"/>
          <w:color w:val="auto"/>
        </w:rPr>
      </w:pPr>
      <w:r>
        <w:rPr>
          <w:rFonts w:ascii="Times New Roman" w:cs="Times New Roman" w:eastAsia="Times New Roman" w:hAnsi="Times New Roman"/>
          <w:sz w:val="13"/>
          <w:szCs w:val="13"/>
          <w:b w:val="1"/>
          <w:bCs w:val="1"/>
          <w:color w:val="auto"/>
        </w:rPr>
        <w:t>SECTION 906 OF THE SARBANES-OXLEY ACT OF 2002</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 connection with the Quarterly Report of OPAL Fuels Inc. (the “</w:t>
      </w:r>
      <w:r>
        <w:rPr>
          <w:rFonts w:ascii="Times New Roman" w:cs="Times New Roman" w:eastAsia="Times New Roman" w:hAnsi="Times New Roman"/>
          <w:sz w:val="13"/>
          <w:szCs w:val="13"/>
          <w:u w:val="single" w:color="auto"/>
          <w:color w:val="auto"/>
        </w:rPr>
        <w:t>Company</w:t>
      </w:r>
      <w:r>
        <w:rPr>
          <w:rFonts w:ascii="Times New Roman" w:cs="Times New Roman" w:eastAsia="Times New Roman" w:hAnsi="Times New Roman"/>
          <w:sz w:val="13"/>
          <w:szCs w:val="13"/>
          <w:color w:val="auto"/>
        </w:rPr>
        <w:t>”) on Form 10-Q for the three months ended March 31, 2024, as filed with the Securities and Exchange Commission on the date hereof</w:t>
      </w:r>
    </w:p>
    <w:p>
      <w:pPr>
        <w:spacing w:after="0" w:line="5"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13"/>
          <w:szCs w:val="13"/>
          <w:color w:val="auto"/>
        </w:rPr>
        <w:t>(the “Repor</w:t>
      </w:r>
      <w:r>
        <w:rPr>
          <w:rFonts w:ascii="Times New Roman" w:cs="Times New Roman" w:eastAsia="Times New Roman" w:hAnsi="Times New Roman"/>
          <w:sz w:val="13"/>
          <w:szCs w:val="13"/>
          <w:u w:val="single" w:color="auto"/>
          <w:color w:val="auto"/>
        </w:rPr>
        <w:t>t</w:t>
      </w:r>
      <w:r>
        <w:rPr>
          <w:rFonts w:ascii="Times New Roman" w:cs="Times New Roman" w:eastAsia="Times New Roman" w:hAnsi="Times New Roman"/>
          <w:sz w:val="13"/>
          <w:szCs w:val="13"/>
          <w:color w:val="auto"/>
          <w:highlight w:val="white"/>
        </w:rPr>
        <w:t>”), I, Scott Contino, Interim Chief Financial Officer of the Company, certify, pursuant to 18 U.S.C. Section 1350, as adopted pursuant to Section 906 of the Sarbanes-Oxley Act of 2002, that, to my</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color w:val="auto"/>
          <w:highlight w:val="white"/>
        </w:rPr>
        <w:t>knowledge: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12700" cy="571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0">
                      <a:extLst>
                        <a:ext uri="{28A0092B-C50C-407E-A947-70E740481C1C}"/>
                      </a:extLst>
                    </a:blip>
                    <a:srcRect/>
                    <a:stretch>
                      <a:fillRect/>
                    </a:stretch>
                  </pic:blipFill>
                  <pic:spPr bwMode="auto">
                    <a:xfrm>
                      <a:off x="0" y="0"/>
                      <a:ext cx="12700" cy="57150"/>
                    </a:xfrm>
                    <a:prstGeom prst="rect">
                      <a:avLst/>
                    </a:prstGeom>
                    <a:noFill/>
                  </pic:spPr>
                </pic:pic>
              </a:graphicData>
            </a:graphic>
          </wp:anchor>
        </w:drawing>
      </w:r>
    </w:p>
    <w:p>
      <w:pPr>
        <w:spacing w:after="0" w:line="69" w:lineRule="exact"/>
        <w:rPr>
          <w:sz w:val="20"/>
          <w:szCs w:val="20"/>
          <w:color w:val="auto"/>
        </w:rPr>
      </w:pPr>
    </w:p>
    <w:p>
      <w:pPr>
        <w:ind w:left="460" w:hanging="447"/>
        <w:spacing w:after="0"/>
        <w:tabs>
          <w:tab w:leader="none" w:pos="460"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Report fully complies with the requirements of Section 13(a) or 15(d) of the Securities Exchange Act of 1934; and</w:t>
      </w:r>
    </w:p>
    <w:p>
      <w:pPr>
        <w:spacing w:after="0" w:line="230" w:lineRule="exact"/>
        <w:rPr>
          <w:rFonts w:ascii="Times New Roman" w:cs="Times New Roman" w:eastAsia="Times New Roman" w:hAnsi="Times New Roman"/>
          <w:sz w:val="13"/>
          <w:szCs w:val="13"/>
          <w:color w:val="auto"/>
        </w:rPr>
      </w:pPr>
    </w:p>
    <w:p>
      <w:pPr>
        <w:ind w:left="460" w:hanging="447"/>
        <w:spacing w:after="0"/>
        <w:tabs>
          <w:tab w:leader="none" w:pos="460"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Date: May 10, 2024</w:t>
      </w:r>
    </w:p>
    <w:p>
      <w:pPr>
        <w:spacing w:after="0" w:line="61"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3"/>
          <w:szCs w:val="13"/>
          <w:color w:val="auto"/>
        </w:rPr>
        <w:t>/s/ Scott Contino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3907790</wp:posOffset>
            </wp:positionH>
            <wp:positionV relativeFrom="paragraph">
              <wp:posOffset>33655</wp:posOffset>
            </wp:positionV>
            <wp:extent cx="3260090" cy="63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1">
                      <a:extLst>
                        <a:ext uri="{28A0092B-C50C-407E-A947-70E740481C1C}"/>
                      </a:extLst>
                    </a:blip>
                    <a:srcRect/>
                    <a:stretch>
                      <a:fillRect/>
                    </a:stretch>
                  </pic:blipFill>
                  <pic:spPr bwMode="auto">
                    <a:xfrm>
                      <a:off x="0" y="0"/>
                      <a:ext cx="3260090" cy="6350"/>
                    </a:xfrm>
                    <a:prstGeom prst="rect">
                      <a:avLst/>
                    </a:prstGeom>
                    <a:noFill/>
                  </pic:spPr>
                </pic:pic>
              </a:graphicData>
            </a:graphic>
          </wp:anchor>
        </w:drawing>
      </w:r>
    </w:p>
    <w:p>
      <w:pPr>
        <w:spacing w:after="0" w:line="51"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3"/>
          <w:szCs w:val="13"/>
          <w:color w:val="auto"/>
        </w:rPr>
        <w:t>Name: Scott Contino</w:t>
      </w:r>
    </w:p>
    <w:p>
      <w:pPr>
        <w:spacing w:after="0" w:line="61"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3"/>
          <w:szCs w:val="13"/>
          <w:color w:val="auto"/>
        </w:rPr>
        <w:t>Title: Interim Chief Financial Officer</w:t>
      </w:r>
    </w:p>
    <w:p>
      <w:pPr>
        <w:spacing w:after="0" w:line="61"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3"/>
          <w:szCs w:val="13"/>
          <w:color w:val="auto"/>
        </w:rPr>
        <w:t>(Principal Financial Officer)</w:t>
      </w:r>
    </w:p>
    <w:sectPr>
      <w:pgSz w:w="11900" w:h="16838" w:orient="portrait"/>
      <w:cols w:equalWidth="0" w:num="1">
        <w:col w:w="11280"/>
      </w:cols>
      <w:pgMar w:left="300" w:top="1434"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1)"/>
      <w:numFmt w:val="decimal"/>
      <w:start w:val="1"/>
    </w:lvl>
  </w:abstractNum>
  <w:abstractNum w:abstractNumId="4">
    <w:nsid w:val="4353D0CD"/>
    <w:multiLevelType w:val="hybridMultilevel"/>
    <w:lvl w:ilvl="0">
      <w:lvlJc w:val="left"/>
      <w:lvlText w:val="(%1)"/>
      <w:numFmt w:val="decimal"/>
      <w:start w:val="1"/>
    </w:lvl>
  </w:abstractNum>
  <w:abstractNum w:abstractNumId="5">
    <w:nsid w:val="B03E0C6"/>
    <w:multiLevelType w:val="hybridMultilevel"/>
    <w:lvl w:ilvl="0">
      <w:lvlJc w:val="left"/>
      <w:lvlText w:val="(%1)"/>
      <w:numFmt w:val="decimal"/>
      <w:start w:val="1"/>
    </w:lvl>
  </w:abstractNum>
  <w:abstractNum w:abstractNumId="6">
    <w:nsid w:val="189A769B"/>
    <w:multiLevelType w:val="hybridMultilevel"/>
    <w:lvl w:ilvl="0">
      <w:lvlJc w:val="left"/>
      <w:lvlText w:val="(%1)"/>
      <w:numFmt w:val="decimal"/>
      <w:start w:val="1"/>
    </w:lvl>
  </w:abstractNum>
  <w:abstractNum w:abstractNumId="7">
    <w:nsid w:val="54E49EB4"/>
    <w:multiLevelType w:val="hybridMultilevel"/>
    <w:lvl w:ilvl="0">
      <w:lvlJc w:val="left"/>
      <w:lvlText w:val="(%1)"/>
      <w:numFmt w:val="decimal"/>
      <w:start w:val="1"/>
    </w:lvl>
  </w:abstractNum>
  <w:abstractNum w:abstractNumId="8">
    <w:nsid w:val="71F32454"/>
    <w:multiLevelType w:val="hybridMultilevel"/>
    <w:lvl w:ilvl="0">
      <w:lvlJc w:val="left"/>
      <w:lvlText w:val="(%1)"/>
      <w:numFmt w:val="decimal"/>
      <w:start w:val="1"/>
    </w:lvl>
  </w:abstractNum>
  <w:abstractNum w:abstractNumId="9">
    <w:nsid w:val="2CA88611"/>
    <w:multiLevelType w:val="hybridMultilevel"/>
    <w:lvl w:ilvl="0">
      <w:lvlJc w:val="left"/>
      <w:lvlText w:val="(%1)"/>
      <w:numFmt w:val="decimal"/>
      <w:start w:val="1"/>
    </w:lvl>
  </w:abstractNum>
  <w:abstractNum w:abstractNumId="10">
    <w:nsid w:val="836C40E"/>
    <w:multiLevelType w:val="hybridMultilevel"/>
    <w:lvl w:ilvl="0">
      <w:lvlJc w:val="left"/>
      <w:lvlText w:val="(%1)"/>
      <w:numFmt w:val="decimal"/>
      <w:start w:val="1"/>
    </w:lvl>
  </w:abstractNum>
  <w:abstractNum w:abstractNumId="11">
    <w:nsid w:val="2901D82"/>
    <w:multiLevelType w:val="hybridMultilevel"/>
    <w:lvl w:ilvl="0">
      <w:lvlJc w:val="left"/>
      <w:lvlText w:val="(%1)"/>
      <w:numFmt w:val="decimal"/>
      <w:start w:val="1"/>
    </w:lvl>
  </w:abstractNum>
  <w:abstractNum w:abstractNumId="12">
    <w:nsid w:val="3A95F874"/>
    <w:multiLevelType w:val="hybridMultilevel"/>
    <w:lvl w:ilvl="0">
      <w:lvlJc w:val="left"/>
      <w:lvlText w:val="(%1)"/>
      <w:numFmt w:val="decimal"/>
      <w:start w:val="1"/>
    </w:lvl>
  </w:abstractNum>
  <w:abstractNum w:abstractNumId="13">
    <w:nsid w:val="8138641"/>
    <w:multiLevelType w:val="hybridMultilevel"/>
    <w:lvl w:ilvl="0">
      <w:lvlJc w:val="left"/>
      <w:lvlText w:val="(%1)"/>
      <w:numFmt w:val="decimal"/>
      <w:start w:val="1"/>
    </w:lvl>
  </w:abstractNum>
  <w:abstractNum w:abstractNumId="14">
    <w:nsid w:val="1E7FF521"/>
    <w:multiLevelType w:val="hybridMultilevel"/>
    <w:lvl w:ilvl="0">
      <w:lvlJc w:val="left"/>
      <w:lvlText w:val="•"/>
      <w:numFmt w:val="bullet"/>
      <w:start w:val="1"/>
    </w:lvl>
  </w:abstractNum>
  <w:abstractNum w:abstractNumId="15">
    <w:nsid w:val="7C3DBD3D"/>
    <w:multiLevelType w:val="hybridMultilevel"/>
    <w:lvl w:ilvl="0">
      <w:lvlJc w:val="left"/>
      <w:lvlText w:val="•"/>
      <w:numFmt w:val="bullet"/>
      <w:start w:val="1"/>
    </w:lvl>
  </w:abstractNum>
  <w:abstractNum w:abstractNumId="16">
    <w:nsid w:val="737B8DDC"/>
    <w:multiLevelType w:val="hybridMultilevel"/>
    <w:lvl w:ilvl="0">
      <w:lvlJc w:val="left"/>
      <w:lvlText w:val="•"/>
      <w:numFmt w:val="bullet"/>
      <w:start w:val="1"/>
    </w:lvl>
  </w:abstractNum>
  <w:abstractNum w:abstractNumId="17">
    <w:nsid w:val="6CEAF087"/>
    <w:multiLevelType w:val="hybridMultilevel"/>
    <w:lvl w:ilvl="0">
      <w:lvlJc w:val="left"/>
      <w:lvlText w:val="•"/>
      <w:numFmt w:val="bullet"/>
      <w:start w:val="1"/>
    </w:lvl>
  </w:abstractNum>
  <w:abstractNum w:abstractNumId="18">
    <w:nsid w:val="22221A70"/>
    <w:multiLevelType w:val="hybridMultilevel"/>
    <w:lvl w:ilvl="0">
      <w:lvlJc w:val="left"/>
      <w:lvlText w:val="(%1)"/>
      <w:numFmt w:val="decimal"/>
      <w:start w:val="1"/>
    </w:lvl>
  </w:abstractNum>
  <w:abstractNum w:abstractNumId="19">
    <w:nsid w:val="4516DDE9"/>
    <w:multiLevelType w:val="hybridMultilevel"/>
    <w:lvl w:ilvl="0">
      <w:lvlJc w:val="left"/>
      <w:lvlText w:val="•"/>
      <w:numFmt w:val="bullet"/>
      <w:start w:val="1"/>
    </w:lvl>
    <w:lvl w:ilvl="1">
      <w:lvlJc w:val="left"/>
      <w:lvlText w:val="◦"/>
      <w:numFmt w:val="bullet"/>
      <w:start w:val="1"/>
    </w:lvl>
  </w:abstractNum>
  <w:abstractNum w:abstractNumId="20">
    <w:nsid w:val="3006C83E"/>
    <w:multiLevelType w:val="hybridMultilevel"/>
    <w:lvl w:ilvl="0">
      <w:lvlJc w:val="left"/>
      <w:lvlText w:val="•"/>
      <w:numFmt w:val="bullet"/>
      <w:start w:val="1"/>
    </w:lvl>
    <w:lvl w:ilvl="1">
      <w:lvlJc w:val="left"/>
      <w:lvlText w:val="◦"/>
      <w:numFmt w:val="bullet"/>
      <w:start w:val="1"/>
    </w:lvl>
  </w:abstractNum>
  <w:abstractNum w:abstractNumId="21">
    <w:nsid w:val="614FD4A1"/>
    <w:multiLevelType w:val="hybridMultilevel"/>
    <w:lvl w:ilvl="0">
      <w:lvlJc w:val="left"/>
      <w:lvlText w:val="•"/>
      <w:numFmt w:val="bullet"/>
      <w:start w:val="1"/>
    </w:lvl>
    <w:lvl w:ilvl="1">
      <w:lvlJc w:val="left"/>
      <w:lvlText w:val="◦"/>
      <w:numFmt w:val="bullet"/>
      <w:start w:val="1"/>
    </w:lvl>
  </w:abstractNum>
  <w:abstractNum w:abstractNumId="22">
    <w:nsid w:val="419AC241"/>
    <w:multiLevelType w:val="hybridMultilevel"/>
    <w:lvl w:ilvl="0">
      <w:lvlJc w:val="left"/>
      <w:lvlText w:val="(%1)"/>
      <w:numFmt w:val="decimal"/>
      <w:start w:val="1"/>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
      <w:numFmt w:val="bullet"/>
      <w:start w:val="1"/>
    </w:lvl>
  </w:abstractNum>
  <w:abstractNum w:abstractNumId="25">
    <w:nsid w:val="5072367"/>
    <w:multiLevelType w:val="hybridMultilevel"/>
    <w:lvl w:ilvl="0">
      <w:lvlJc w:val="left"/>
      <w:lvlText w:val="(%1)"/>
      <w:numFmt w:val="lowerRoman"/>
      <w:start w:val="1"/>
    </w:lvl>
  </w:abstractNum>
  <w:abstractNum w:abstractNumId="26">
    <w:nsid w:val="3804823E"/>
    <w:multiLevelType w:val="hybridMultilevel"/>
    <w:lvl w:ilvl="0">
      <w:lvlJc w:val="left"/>
      <w:lvlText w:val="(%1)"/>
      <w:numFmt w:val="lowerRoman"/>
      <w:start w:val="1"/>
    </w:lvl>
  </w:abstractNum>
  <w:abstractNum w:abstractNumId="27">
    <w:nsid w:val="77465F01"/>
    <w:multiLevelType w:val="hybridMultilevel"/>
    <w:lvl w:ilvl="0">
      <w:lvlJc w:val="left"/>
      <w:lvlText w:val="%1."/>
      <w:numFmt w:val="decimal"/>
      <w:start w:val="1"/>
    </w:lvl>
  </w:abstractNum>
  <w:abstractNum w:abstractNumId="28">
    <w:nsid w:val="7724C67E"/>
    <w:multiLevelType w:val="hybridMultilevel"/>
    <w:lvl w:ilvl="0">
      <w:lvlJc w:val="left"/>
      <w:lvlText w:val="•"/>
      <w:numFmt w:val="bullet"/>
      <w:start w:val="1"/>
    </w:lvl>
    <w:lvl w:ilvl="1">
      <w:lvlJc w:val="left"/>
      <w:lvlText w:val="◦"/>
      <w:numFmt w:val="bullet"/>
      <w:start w:val="1"/>
    </w:lvl>
  </w:abstractNum>
  <w:abstractNum w:abstractNumId="29">
    <w:nsid w:val="5C482A97"/>
    <w:multiLevelType w:val="hybridMultilevel"/>
    <w:lvl w:ilvl="0">
      <w:lvlJc w:val="left"/>
      <w:lvlText w:val="•"/>
      <w:numFmt w:val="bullet"/>
      <w:start w:val="1"/>
    </w:lvl>
    <w:lvl w:ilvl="1">
      <w:lvlJc w:val="left"/>
      <w:lvlText w:val="◦"/>
      <w:numFmt w:val="bullet"/>
      <w:start w:val="1"/>
    </w:lvl>
  </w:abstractNum>
  <w:abstractNum w:abstractNumId="30">
    <w:nsid w:val="2463B9EA"/>
    <w:multiLevelType w:val="hybridMultilevel"/>
    <w:lvl w:ilvl="0">
      <w:lvlJc w:val="left"/>
      <w:lvlText w:val="•"/>
      <w:numFmt w:val="bullet"/>
      <w:start w:val="1"/>
    </w:lvl>
  </w:abstractNum>
  <w:abstractNum w:abstractNumId="31">
    <w:nsid w:val="5E884ADC"/>
    <w:multiLevelType w:val="hybridMultilevel"/>
    <w:lvl w:ilvl="0">
      <w:lvlJc w:val="left"/>
      <w:lvlText w:val="(%1)"/>
      <w:numFmt w:val="decimal"/>
      <w:start w:val="1"/>
    </w:lvl>
  </w:abstractNum>
  <w:abstractNum w:abstractNumId="32">
    <w:nsid w:val="51EAD36B"/>
    <w:multiLevelType w:val="hybridMultilevel"/>
    <w:lvl w:ilvl="0">
      <w:lvlJc w:val="left"/>
      <w:lvlText w:val="(%1)"/>
      <w:numFmt w:val="decimal"/>
      <w:start w:val="1"/>
    </w:lvl>
  </w:abstractNum>
  <w:abstractNum w:abstractNumId="33">
    <w:nsid w:val="2D517796"/>
    <w:multiLevelType w:val="hybridMultilevel"/>
    <w:lvl w:ilvl="0">
      <w:lvlJc w:val="left"/>
      <w:lvlText w:val="(%1)"/>
      <w:numFmt w:val="decimal"/>
      <w:start w:val="1"/>
    </w:lvl>
  </w:abstractNum>
  <w:abstractNum w:abstractNumId="34">
    <w:nsid w:val="580BD78F"/>
    <w:multiLevelType w:val="hybridMultilevel"/>
    <w:lvl w:ilvl="0">
      <w:lvlJc w:val="left"/>
      <w:lvlText w:val="(%1)"/>
      <w:numFmt w:val="decimal"/>
      <w:start w:val="1"/>
    </w:lvl>
  </w:abstractNum>
  <w:abstractNum w:abstractNumId="35">
    <w:nsid w:val="153EA438"/>
    <w:multiLevelType w:val="hybridMultilevel"/>
    <w:lvl w:ilvl="0">
      <w:lvlJc w:val="left"/>
      <w:lvlText w:val="(%1)"/>
      <w:numFmt w:val="decimal"/>
      <w:start w:val="1"/>
    </w:lvl>
  </w:abstractNum>
  <w:abstractNum w:abstractNumId="36">
    <w:nsid w:val="3855585C"/>
    <w:multiLevelType w:val="hybridMultilevel"/>
    <w:lvl w:ilvl="0">
      <w:lvlJc w:val="left"/>
      <w:lvlText w:val="(%1)"/>
      <w:numFmt w:val="decimal"/>
      <w:start w:val="1"/>
    </w:lvl>
  </w:abstractNum>
  <w:abstractNum w:abstractNumId="37">
    <w:nsid w:val="70A64E2A"/>
    <w:multiLevelType w:val="hybridMultilevel"/>
    <w:lvl w:ilvl="0">
      <w:lvlJc w:val="left"/>
      <w:lvlText w:val="*"/>
      <w:numFmt w:val="bullet"/>
      <w:start w:val="1"/>
    </w:lvl>
  </w:abstractNum>
  <w:abstractNum w:abstractNumId="38">
    <w:nsid w:val="6A2342EC"/>
    <w:multiLevelType w:val="hybridMultilevel"/>
    <w:lvl w:ilvl="0">
      <w:lvlJc w:val="left"/>
      <w:lvlText w:val="**"/>
      <w:numFmt w:val="bullet"/>
      <w:start w:val="1"/>
    </w:lvl>
  </w:abstractNum>
  <w:abstractNum w:abstractNumId="39">
    <w:nsid w:val="2A487CB0"/>
    <w:multiLevelType w:val="hybridMultilevel"/>
    <w:lvl w:ilvl="0">
      <w:lvlJc w:val="left"/>
      <w:lvlText w:val="†"/>
      <w:numFmt w:val="bullet"/>
      <w:start w:val="1"/>
    </w:lvl>
  </w:abstractNum>
  <w:abstractNum w:abstractNumId="40">
    <w:nsid w:val="1D4ED43B"/>
    <w:multiLevelType w:val="hybridMultilevel"/>
    <w:lvl w:ilvl="0">
      <w:lvlJc w:val="left"/>
      <w:lvlText w:val="%1."/>
      <w:numFmt w:val="decimal"/>
      <w:start w:val="1"/>
    </w:lvl>
    <w:lvl w:ilvl="1">
      <w:lvlJc w:val="left"/>
      <w:lvlText w:val="%2."/>
      <w:numFmt w:val="lowerLetter"/>
      <w:start w:val="1"/>
    </w:lvl>
  </w:abstractNum>
  <w:abstractNum w:abstractNumId="41">
    <w:nsid w:val="725A06FB"/>
    <w:multiLevelType w:val="hybridMultilevel"/>
    <w:lvl w:ilvl="0">
      <w:lvlJc w:val="left"/>
      <w:lvlText w:val="%1."/>
      <w:numFmt w:val="decimal"/>
      <w:start w:val="1"/>
    </w:lvl>
    <w:lvl w:ilvl="1">
      <w:lvlJc w:val="left"/>
      <w:lvlText w:val="%2."/>
      <w:numFmt w:val="lowerLetter"/>
      <w:start w:val="1"/>
    </w:lvl>
  </w:abstractNum>
  <w:abstractNum w:abstractNumId="42">
    <w:nsid w:val="2CD89A32"/>
    <w:multiLevelType w:val="hybridMultilevel"/>
    <w:lvl w:ilvl="0">
      <w:lvlJc w:val="left"/>
      <w:lvlText w:val="%1."/>
      <w:numFmt w:val="decimal"/>
      <w:start w:val="1"/>
    </w:lvl>
    <w:lvl w:ilvl="1">
      <w:lvlJc w:val="left"/>
      <w:lvlText w:val="%2."/>
      <w:numFmt w:val="lowerLetter"/>
      <w:start w:val="1"/>
    </w:lvl>
  </w:abstractNum>
  <w:abstractNum w:abstractNumId="43">
    <w:nsid w:val="57E4CCAF"/>
    <w:multiLevelType w:val="hybridMultilevel"/>
    <w:lvl w:ilvl="0">
      <w:lvlJc w:val="left"/>
      <w:lvlText w:val="(%1)"/>
      <w:numFmt w:val="decimal"/>
      <w:start w:val="1"/>
    </w:lvl>
  </w:abstractNum>
  <w:abstractNum w:abstractNumId="44">
    <w:nsid w:val="7A6D8D3C"/>
    <w:multiLevelType w:val="hybridMultilevel"/>
    <w:lvl w:ilvl="0">
      <w:lvlJc w:val="left"/>
      <w:lvlText w:val="(%1)"/>
      <w:numFmt w:val="decimal"/>
      <w:start w:val="1"/>
    </w:lvl>
  </w:abstractNum>
  <w:abstractNum w:abstractNumId="45">
    <w:nsid w:val="4B588F5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8" Type="http://schemas.openxmlformats.org/officeDocument/2006/relationships/image" Target="media/image99.png"/><Relationship Id="rId111" Type="http://schemas.openxmlformats.org/officeDocument/2006/relationships/image" Target="media/image100.png"/><Relationship Id="rId114" Type="http://schemas.openxmlformats.org/officeDocument/2006/relationships/image" Target="media/image101.png"/><Relationship Id="rId115" Type="http://schemas.openxmlformats.org/officeDocument/2006/relationships/image" Target="media/image102.png"/><Relationship Id="rId116" Type="http://schemas.openxmlformats.org/officeDocument/2006/relationships/image" Target="media/image103.png"/><Relationship Id="rId117" Type="http://schemas.openxmlformats.org/officeDocument/2006/relationships/image" Target="media/image104.png"/><Relationship Id="rId118" Type="http://schemas.openxmlformats.org/officeDocument/2006/relationships/image" Target="media/image105.png"/><Relationship Id="rId119" Type="http://schemas.openxmlformats.org/officeDocument/2006/relationships/image" Target="media/image106.png"/><Relationship Id="rId120" Type="http://schemas.openxmlformats.org/officeDocument/2006/relationships/image" Target="media/image107.png"/><Relationship Id="rId121" Type="http://schemas.openxmlformats.org/officeDocument/2006/relationships/image" Target="media/image108.png"/><Relationship Id="rId122" Type="http://schemas.openxmlformats.org/officeDocument/2006/relationships/image" Target="media/image109.png"/><Relationship Id="rId123" Type="http://schemas.openxmlformats.org/officeDocument/2006/relationships/image" Target="media/image110.png"/><Relationship Id="rId124" Type="http://schemas.openxmlformats.org/officeDocument/2006/relationships/image" Target="media/image111.png"/><Relationship Id="rId125" Type="http://schemas.openxmlformats.org/officeDocument/2006/relationships/image" Target="media/image112.png"/><Relationship Id="rId126" Type="http://schemas.openxmlformats.org/officeDocument/2006/relationships/image" Target="media/image113.png"/><Relationship Id="rId127" Type="http://schemas.openxmlformats.org/officeDocument/2006/relationships/image" Target="media/image114.png"/><Relationship Id="rId128" Type="http://schemas.openxmlformats.org/officeDocument/2006/relationships/image" Target="media/image115.png"/><Relationship Id="rId129" Type="http://schemas.openxmlformats.org/officeDocument/2006/relationships/image" Target="media/image116.png"/><Relationship Id="rId130" Type="http://schemas.openxmlformats.org/officeDocument/2006/relationships/image" Target="media/image117.png"/><Relationship Id="rId131" Type="http://schemas.openxmlformats.org/officeDocument/2006/relationships/image" Target="media/image118.png"/><Relationship Id="rId106" Type="http://schemas.openxmlformats.org/officeDocument/2006/relationships/hyperlink" Target="https://www.sec.gov/Archives/edgar/data/1842279/000121390022046338/ea164030ex3-1_opal.htm" TargetMode="External"/><Relationship Id="rId107" Type="http://schemas.openxmlformats.org/officeDocument/2006/relationships/hyperlink" Target="https://www.sec.gov/Archives/edgar/data/1842279/000121390022042020/ea163248ex3-2_opal.htm" TargetMode="External"/><Relationship Id="rId109" Type="http://schemas.openxmlformats.org/officeDocument/2006/relationships/hyperlink" Target="https://www.sec.gov/Archives/edgar/data/1842279/000184227924000003/a101opal-paragonxfirstamen.htm" TargetMode="External"/><Relationship Id="rId110" Type="http://schemas.openxmlformats.org/officeDocument/2006/relationships/hyperlink" Target="https://www.sec.gov/Archives/edgar/data/1842279/000184227924000003/a102opal-paragonxfirstamen.htm" TargetMode="External"/><Relationship Id="rId112" Type="http://schemas.openxmlformats.org/officeDocument/2006/relationships/hyperlink" Target="https://www.sec.gov/Archives/edgar/data/1842279/000184227924000016/a1stamdtopiggybackagmtfo.htm" TargetMode="External"/><Relationship Id="rId113" Type="http://schemas.openxmlformats.org/officeDocument/2006/relationships/hyperlink" Target="https://www.sec.gov/Archives/edgar/data/1842279/000184227924000016/leaseandaccessagmt_xnclf.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2024-05-10T15:59:46Z</dcterms:created>
  <dcterms:modified xsi:type="dcterms:W3CDTF">2024-05-10T15:59:46Z</dcterms:modified>
</cp:coreProperties>
</file>