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8, 2025</w:t>
      </w:r>
    </w:p>
    <w:p>
      <w:pPr>
        <w:spacing w:after="0" w:line="6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auto"/>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30"/>
        </w:trPr>
        <w:tc>
          <w:tcPr>
            <w:tcW w:w="1560" w:type="dxa"/>
            <w:vAlign w:val="bottom"/>
          </w:tcPr>
          <w:p>
            <w:pPr>
              <w:spacing w:after="0"/>
              <w:rPr>
                <w:sz w:val="19"/>
                <w:szCs w:val="19"/>
                <w:color w:val="auto"/>
              </w:rPr>
            </w:pPr>
          </w:p>
        </w:tc>
        <w:tc>
          <w:tcPr>
            <w:tcW w:w="296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15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3340" w:type="dxa"/>
            <w:vAlign w:val="bottom"/>
            <w:shd w:val="clear" w:color="auto" w:fill="000000"/>
          </w:tcPr>
          <w:p>
            <w:pPr>
              <w:spacing w:after="0"/>
              <w:rPr>
                <w:sz w:val="2"/>
                <w:szCs w:val="2"/>
                <w:color w:val="auto"/>
              </w:rPr>
            </w:pPr>
          </w:p>
        </w:tc>
      </w:tr>
      <w:tr>
        <w:trPr>
          <w:trHeight w:val="297"/>
        </w:trPr>
        <w:tc>
          <w:tcPr>
            <w:tcW w:w="45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380" w:type="dxa"/>
            <w:vAlign w:val="bottom"/>
          </w:tcPr>
          <w:p>
            <w:pPr>
              <w:spacing w:after="0"/>
              <w:rPr>
                <w:sz w:val="24"/>
                <w:szCs w:val="24"/>
                <w:color w:val="auto"/>
              </w:rPr>
            </w:pPr>
          </w:p>
        </w:tc>
        <w:tc>
          <w:tcPr>
            <w:tcW w:w="240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7"/>
              </w:rPr>
              <w:t>OPAL</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45" w:right="85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ind w:firstLine="594"/>
        <w:spacing w:after="0" w:line="282" w:lineRule="auto"/>
        <w:rPr>
          <w:sz w:val="20"/>
          <w:szCs w:val="20"/>
          <w:color w:val="auto"/>
        </w:rPr>
      </w:pPr>
      <w:r>
        <w:rPr>
          <w:rFonts w:ascii="Times New Roman" w:cs="Times New Roman" w:eastAsia="Times New Roman" w:hAnsi="Times New Roman"/>
          <w:sz w:val="18"/>
          <w:szCs w:val="18"/>
          <w:color w:val="auto"/>
        </w:rPr>
        <w:t>On May 8, 2025, OPAL Fuels Inc. (the "Company") issued a press release regarding its financial results for the three months ended March 31, 2025. A copy of the press release is furnished as Exhibit 99.1 hereto.</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disclosed under this Item 2.02 of this Current Report on Form 8-K,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2.02 or the exhibit attached hereto.</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Current Report on Form 8-K,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to supplement the Company’s financial statements presented in accordance with accounting principles generally accepted in the United States of America ("GAAP") in Exhibit 99.1, the Company uses a non-GAAP financial measure that it calls adjusted EBITDA ("Adjusted EBITDA"). This non-GAAP financial measure adjusts net income for interest and financing expense, net, net (income) loss attributable to non-redeemable non-controlling interests, depreciation, amortization and accretion expense, adjustments to reflect Adjusted EBITDA from equity method investments, unrealized (gain) loss on derivative instruments, non-cash charges, one-time non-recurring charges, major maintenance on Renewable Power, RNG development costs, virtual pipeline costs, and ITC proceeds, net. Management believes this non-GAAP financial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(3) the measure better aligns revenues with expenses; and (4)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spacing w:after="0" w:line="2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Non-GAAP financial measures are limited as an analytical tool and should not be considered in isolation from, or as a substitute for, the Company’s GAAP results. The Company expects to continue reporting non-GAAP financial measures, adjusting for the items described above (and/or other items that may arise in the future as the Company’s management deems appropriate), and the Company expects to continue to incur expenses, charges or gains like the non-GAAP adjustments described above. Accordingly, unless expressly stated otherwise, the exclusion of these and other similar items in the presentation of non-GAAP financial measures should not be construed as an inference that these costs are unusual, infrequent, or non-recurring. Adjusted EBITDA is not a recognized term under GAAP and does not purport to be an alternative to GAAP net income or any other GAAP measure as an indicator of operating performance. Moreover, because not all companies use identical measures and calculations, the Company’s presentation of Adjusted EBITDA may not be comparable to other similarly titled measures used by other companies. Reconciliations of the non-GAAP financial measure to its most directly comparable GAAP financial measure can be found in the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2064385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Borders>
              <w:bottom w:val="single" w:sz="8" w:color="CCEEFF"/>
            </w:tcBorders>
            <w:shd w:val="clear" w:color="auto" w:fill="CCEEFF"/>
          </w:tcPr>
          <w:p>
            <w:pPr>
              <w:spacing w:after="0"/>
              <w:rPr>
                <w:sz w:val="24"/>
                <w:szCs w:val="24"/>
                <w:color w:val="auto"/>
              </w:rPr>
            </w:pPr>
          </w:p>
        </w:tc>
        <w:tc>
          <w:tcPr>
            <w:tcW w:w="8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Pr>
          <w:p>
            <w:pPr>
              <w:spacing w:after="0"/>
              <w:rPr>
                <w:sz w:val="24"/>
                <w:szCs w:val="24"/>
                <w:color w:val="auto"/>
              </w:rPr>
            </w:pPr>
          </w:p>
        </w:tc>
      </w:tr>
      <w:tr>
        <w:trPr>
          <w:trHeight w:val="250"/>
        </w:trPr>
        <w:tc>
          <w:tcPr>
            <w:tcW w:w="22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440" w:type="dxa"/>
            <w:vAlign w:val="bottom"/>
            <w:tcBorders>
              <w:top w:val="single" w:sz="8" w:color="auto"/>
            </w:tcBorders>
          </w:tcPr>
          <w:p>
            <w:pPr>
              <w:spacing w:after="0"/>
              <w:rPr>
                <w:sz w:val="21"/>
                <w:szCs w:val="21"/>
                <w:color w:val="auto"/>
              </w:rPr>
            </w:pPr>
          </w:p>
        </w:tc>
        <w:tc>
          <w:tcPr>
            <w:tcW w:w="414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r>
      <w:tr>
        <w:trPr>
          <w:trHeight w:val="203"/>
        </w:trPr>
        <w:tc>
          <w:tcPr>
            <w:tcW w:w="22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5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Press release, issued by OPAL Fuels Inc., dated May 8, 2025.</w:t>
            </w:r>
          </w:p>
        </w:tc>
        <w:tc>
          <w:tcPr>
            <w:tcW w:w="320" w:type="dxa"/>
            <w:vAlign w:val="bottom"/>
          </w:tcPr>
          <w:p>
            <w:pPr>
              <w:spacing w:after="0"/>
              <w:rPr>
                <w:sz w:val="17"/>
                <w:szCs w:val="17"/>
                <w:color w:val="auto"/>
              </w:rPr>
            </w:pPr>
          </w:p>
        </w:tc>
      </w:tr>
      <w:tr>
        <w:trPr>
          <w:trHeight w:val="61"/>
        </w:trPr>
        <w:tc>
          <w:tcPr>
            <w:tcW w:w="2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40" w:type="dxa"/>
            <w:vAlign w:val="bottom"/>
            <w:tcBorders>
              <w:top w:val="single" w:sz="8" w:color="0000FF"/>
            </w:tcBorders>
            <w:shd w:val="clear" w:color="auto" w:fill="CCEEFF"/>
          </w:tcPr>
          <w:p>
            <w:pPr>
              <w:spacing w:after="0"/>
              <w:rPr>
                <w:sz w:val="5"/>
                <w:szCs w:val="5"/>
                <w:color w:val="auto"/>
              </w:rPr>
            </w:pPr>
          </w:p>
        </w:tc>
        <w:tc>
          <w:tcPr>
            <w:tcW w:w="4140" w:type="dxa"/>
            <w:vAlign w:val="bottom"/>
            <w:tcBorders>
              <w:top w:val="single" w:sz="8" w:color="CCEEFF"/>
            </w:tcBorders>
            <w:shd w:val="clear" w:color="auto" w:fill="CCEEFF"/>
          </w:tcPr>
          <w:p>
            <w:pPr>
              <w:spacing w:after="0"/>
              <w:rPr>
                <w:sz w:val="5"/>
                <w:szCs w:val="5"/>
                <w:color w:val="auto"/>
              </w:rPr>
            </w:pPr>
          </w:p>
        </w:tc>
        <w:tc>
          <w:tcPr>
            <w:tcW w:w="320" w:type="dxa"/>
            <w:vAlign w:val="bottom"/>
          </w:tcPr>
          <w:p>
            <w:pPr>
              <w:spacing w:after="0"/>
              <w:rPr>
                <w:sz w:val="5"/>
                <w:szCs w:val="5"/>
                <w:color w:val="auto"/>
              </w:rPr>
            </w:pPr>
          </w:p>
        </w:tc>
      </w:tr>
      <w:tr>
        <w:trPr>
          <w:trHeight w:val="24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r>
      <w:tr>
        <w:trPr>
          <w:trHeight w:val="1681"/>
        </w:trPr>
        <w:tc>
          <w:tcPr>
            <w:tcW w:w="2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 w:name="page5"/>
    <w:bookmarkEnd w:id="4"/>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7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May 8, 2025</w:t>
      </w:r>
    </w:p>
    <w:p>
      <w:pPr>
        <w:spacing w:after="0" w:line="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Kazi Hasan</w:t>
            </w:r>
          </w:p>
        </w:tc>
        <w:tc>
          <w:tcPr>
            <w:tcW w:w="0" w:type="dxa"/>
            <w:vAlign w:val="bottom"/>
          </w:tcPr>
          <w:p>
            <w:pPr>
              <w:spacing w:after="0"/>
              <w:rPr>
                <w:sz w:val="1"/>
                <w:szCs w:val="1"/>
                <w:color w:val="auto"/>
              </w:rPr>
            </w:pPr>
          </w:p>
        </w:tc>
      </w:tr>
      <w:tr>
        <w:trPr>
          <w:trHeight w:val="41"/>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Kazi Hasan</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1577340"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57734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IMMEDIATE RELEASE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OPAL Fuels Reports First Quarter 2025 Results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 xml:space="preserve">WHITE PLAINS, N.Y. – (May 8, 2025) – </w:t>
      </w:r>
      <w:r>
        <w:rPr>
          <w:rFonts w:ascii="Times New Roman" w:cs="Times New Roman" w:eastAsia="Times New Roman" w:hAnsi="Times New Roman"/>
          <w:sz w:val="22"/>
          <w:szCs w:val="22"/>
          <w:u w:val="single" w:color="auto"/>
          <w:color w:val="0000FF"/>
        </w:rPr>
        <w:t>OPAL Fuels Inc.</w:t>
      </w:r>
      <w:r>
        <w:rPr>
          <w:rFonts w:ascii="Times New Roman" w:cs="Times New Roman" w:eastAsia="Times New Roman" w:hAnsi="Times New Roman"/>
          <w:sz w:val="22"/>
          <w:szCs w:val="22"/>
          <w:color w:val="auto"/>
        </w:rPr>
        <w:t xml:space="preserve"> (“OPAL Fuels” or the “Company”) (Nasdaq: OPAL) today announced financial and operating results for the three months ended March 31, 2025.</w:t>
      </w:r>
    </w:p>
    <w:p>
      <w:pPr>
        <w:spacing w:after="0" w:line="1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“First quarter results were in-line with expectations as we continue to execute on our strategic and operational goals and we are on track to achieve our full year outlook set in March,” said Adam Comora, co-CEO. “Despite the uncertainties arising from the macro and policy environment, our operations remain solid and industry fundamentals continue to make RNG an attractive sector long-term. Capturing and converting methane emissions from organic waste is readily acknowledged as an effective and attractive option to decarbonize the Class 8 truck market today."</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"Our two RNG facilities which we brought online in the fourth quarter of 2024 are performing as expected through their respective ramp-up periods and support our full-year production target," said co-CEO Jonathan Maurer. "We’re also pleased that we completed our second ITC sale in the first quarter and expect additional sales later this year. With respect to our Fuel Station Services segment we saw solid first quarter results and expect this trend to continue for the remainder of 2025."</w:t>
      </w:r>
    </w:p>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“Landfill RNG assets have visible and stable growth with minimal ongoing capital requirements, thus generating significant free cash flow during their operations. We continue to believe that the outlook for OPAL Fuels is strong and our focus on the disciplined execution of our growth strategy is creating meaningful shareholder value," continued Maurer.</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Highlights</w:t>
      </w:r>
    </w:p>
    <w:p>
      <w:pPr>
        <w:spacing w:after="0" w:line="237" w:lineRule="exact"/>
        <w:rPr>
          <w:sz w:val="20"/>
          <w:szCs w:val="20"/>
          <w:color w:val="auto"/>
        </w:rPr>
      </w:pPr>
    </w:p>
    <w:p>
      <w:pPr>
        <w:ind w:left="660" w:hanging="328"/>
        <w:spacing w:after="0" w:line="284"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Revenue for the three months ended March 31, 2025, was $85.4 million, an increase of 31% compared to the prior-year period.</w:t>
      </w:r>
    </w:p>
    <w:p>
      <w:pPr>
        <w:spacing w:after="0" w:line="103" w:lineRule="exact"/>
        <w:rPr>
          <w:rFonts w:ascii="Times New Roman" w:cs="Times New Roman" w:eastAsia="Times New Roman" w:hAnsi="Times New Roman"/>
          <w:sz w:val="22"/>
          <w:szCs w:val="22"/>
          <w:color w:val="auto"/>
        </w:rPr>
      </w:pPr>
    </w:p>
    <w:p>
      <w:pPr>
        <w:ind w:left="660" w:hanging="328"/>
        <w:spacing w:after="0" w:line="271"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income for the three months ended March 31, 2025, was $1.3 million, compared to $0.7 million in the same period last year.</w:t>
      </w:r>
    </w:p>
    <w:p>
      <w:pPr>
        <w:spacing w:after="0" w:line="130" w:lineRule="exact"/>
        <w:rPr>
          <w:rFonts w:ascii="Times New Roman" w:cs="Times New Roman" w:eastAsia="Times New Roman" w:hAnsi="Times New Roman"/>
          <w:sz w:val="22"/>
          <w:szCs w:val="22"/>
          <w:color w:val="auto"/>
        </w:rPr>
      </w:pPr>
    </w:p>
    <w:p>
      <w:pPr>
        <w:ind w:left="660" w:right="280" w:hanging="328"/>
        <w:spacing w:after="0" w:line="271"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Basic and diluted net loss per share attributable to Class A common shareholders for the three months ended March 31, 2025 were $0.01 compared to $0.01 in the comparable period last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40" w:right="339" w:bottom="1440" w:gutter="0" w:footer="0" w:header="0"/>
        </w:sectPr>
      </w:pPr>
    </w:p>
    <w:bookmarkStart w:id="6" w:name="page7"/>
    <w:bookmarkEnd w:id="6"/>
    <w:p>
      <w:pPr>
        <w:ind w:left="660" w:hanging="328"/>
        <w:spacing w:after="0" w:line="227"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EBITDA</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for the three months ended March 31, 2025, was $20.1 million compared to $15.2 million in the comparable period last year.</w:t>
      </w:r>
    </w:p>
    <w:p>
      <w:pPr>
        <w:spacing w:after="0" w:line="16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March 31, 2025, RNG Pending Monetization totaled $15.1 million.</w:t>
      </w:r>
    </w:p>
    <w:p>
      <w:pPr>
        <w:spacing w:after="0" w:line="16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Completed sale of $8.9 million of IRA Investment Tax Credits.</w:t>
      </w: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Operational Highlights</w:t>
      </w:r>
    </w:p>
    <w:p>
      <w:pPr>
        <w:spacing w:after="0" w:line="237" w:lineRule="exact"/>
        <w:rPr>
          <w:sz w:val="20"/>
          <w:szCs w:val="20"/>
          <w:color w:val="auto"/>
        </w:rPr>
      </w:pPr>
    </w:p>
    <w:p>
      <w:pPr>
        <w:ind w:left="660" w:right="20" w:hanging="328"/>
        <w:spacing w:after="0" w:line="284"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RNG produced was 1.1 million MMBtu for the three months ended March 31, 2025, an increase of 38% compared to the prior-year period.</w:t>
      </w:r>
      <w:r>
        <w:rPr>
          <w:rFonts w:ascii="Times New Roman" w:cs="Times New Roman" w:eastAsia="Times New Roman" w:hAnsi="Times New Roman"/>
          <w:sz w:val="28"/>
          <w:szCs w:val="28"/>
          <w:color w:val="auto"/>
          <w:vertAlign w:val="superscript"/>
        </w:rPr>
        <w:t>2</w:t>
      </w:r>
    </w:p>
    <w:p>
      <w:pPr>
        <w:spacing w:after="0" w:line="21" w:lineRule="exact"/>
        <w:rPr>
          <w:rFonts w:ascii="Times New Roman" w:cs="Times New Roman" w:eastAsia="Times New Roman" w:hAnsi="Times New Roman"/>
          <w:sz w:val="22"/>
          <w:szCs w:val="22"/>
          <w:color w:val="auto"/>
        </w:rPr>
      </w:pPr>
    </w:p>
    <w:p>
      <w:pPr>
        <w:jc w:val="both"/>
        <w:ind w:left="660" w:hanging="328"/>
        <w:spacing w:after="0" w:line="263"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Fuel Station Services segment sold, dispensed, and serviced an aggregate of 40.6 million GGEs of transportation fuel for the three months ended March 31, 2025, an increase of 16% compared to the prior-year period. Of this amount, RNG dispensed as a transportation fuel was 19.5 million GGEs, an increase of 19% compared to the prior-year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94" w:lineRule="exact"/>
        <w:rPr>
          <w:sz w:val="20"/>
          <w:szCs w:val="20"/>
          <w:color w:val="auto"/>
        </w:rPr>
      </w:pPr>
    </w:p>
    <w:p>
      <w:pPr>
        <w:ind w:right="20" w:firstLine="8"/>
        <w:spacing w:after="0" w:line="228" w:lineRule="auto"/>
        <w:tabs>
          <w:tab w:leader="none" w:pos="7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This is a non-GAAP financial measure. A reconciliation of this non-GAAP financial measure to its comparable GAAP financial measure has been provided in the financial tables included in this press release. An explanation of this measure and how it is calculated is also included below under the heading “Non-GAAP Financial Measures."</w:t>
      </w:r>
    </w:p>
    <w:p>
      <w:pPr>
        <w:spacing w:after="0" w:line="147" w:lineRule="exact"/>
        <w:rPr>
          <w:sz w:val="20"/>
          <w:szCs w:val="20"/>
          <w:color w:val="auto"/>
        </w:rPr>
      </w:pPr>
    </w:p>
    <w:p>
      <w:pPr>
        <w:ind w:left="100" w:hanging="92"/>
        <w:spacing w:after="0"/>
        <w:tabs>
          <w:tab w:leader="none" w:pos="10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OPAL Fuels' proportional share with respect to RNG projects owned with joint venture partners.</w:t>
      </w:r>
    </w:p>
    <w:p>
      <w:pPr>
        <w:sectPr>
          <w:pgSz w:w="11900" w:h="16838" w:orient="portrait"/>
          <w:cols w:equalWidth="0" w:num="1">
            <w:col w:w="11240"/>
          </w:cols>
          <w:pgMar w:left="320" w:top="14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6" w:right="339" w:bottom="1440" w:gutter="0" w:footer="0" w:header="0"/>
          <w:type w:val="continuous"/>
        </w:sectPr>
      </w:pPr>
    </w:p>
    <w:bookmarkStart w:id="7" w:name="page8"/>
    <w:bookmarkEnd w:id="7"/>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Construction Update</w:t>
      </w:r>
    </w:p>
    <w:p>
      <w:pPr>
        <w:spacing w:after="0" w:line="197" w:lineRule="exact"/>
        <w:rPr>
          <w:sz w:val="20"/>
          <w:szCs w:val="20"/>
          <w:color w:val="auto"/>
        </w:rPr>
      </w:pPr>
    </w:p>
    <w:p>
      <w:pPr>
        <w:ind w:left="660" w:hanging="328"/>
        <w:spacing w:after="0" w:line="274" w:lineRule="auto"/>
        <w:tabs>
          <w:tab w:leader="none" w:pos="65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Atlantic RNG project remains on schedule to commence commercial operations in third quarter 2025. This project represents approximately 0.3 million MMBtu for OPAL Fuels’ 50% ownership share of annual design capacity.</w:t>
      </w:r>
      <w:r>
        <w:rPr>
          <w:rFonts w:ascii="Times New Roman" w:cs="Times New Roman" w:eastAsia="Times New Roman" w:hAnsi="Times New Roman"/>
          <w:sz w:val="28"/>
          <w:szCs w:val="28"/>
          <w:color w:val="auto"/>
          <w:vertAlign w:val="superscript"/>
        </w:rPr>
        <w:t>3,4</w:t>
      </w:r>
    </w:p>
    <w:p>
      <w:pPr>
        <w:spacing w:after="0" w:line="45" w:lineRule="exact"/>
        <w:rPr>
          <w:rFonts w:ascii="Times New Roman" w:cs="Times New Roman" w:eastAsia="Times New Roman" w:hAnsi="Times New Roman"/>
          <w:sz w:val="22"/>
          <w:szCs w:val="22"/>
          <w:color w:val="auto"/>
        </w:rPr>
      </w:pPr>
    </w:p>
    <w:p>
      <w:pPr>
        <w:ind w:left="660" w:hanging="328"/>
        <w:spacing w:after="0" w:line="271" w:lineRule="auto"/>
        <w:tabs>
          <w:tab w:leader="none" w:pos="65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Burlington, Cottonwood, and Kirby RNG projects, representing an aggregate annual design capacity of 1.8 million MMBtu for OPAL's share, remain on schedule and are expected to commence commercial operations in 2026.</w:t>
      </w:r>
    </w:p>
    <w:p>
      <w:pPr>
        <w:spacing w:after="0" w:line="103" w:lineRule="exact"/>
        <w:rPr>
          <w:rFonts w:ascii="Times New Roman" w:cs="Times New Roman" w:eastAsia="Times New Roman" w:hAnsi="Times New Roman"/>
          <w:sz w:val="22"/>
          <w:szCs w:val="22"/>
          <w:color w:val="auto"/>
        </w:rPr>
      </w:pPr>
    </w:p>
    <w:p>
      <w:pPr>
        <w:ind w:left="660" w:right="20" w:hanging="328"/>
        <w:spacing w:after="0" w:line="227" w:lineRule="auto"/>
        <w:tabs>
          <w:tab w:leader="none" w:pos="655"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Completion of construction at two dairy projects in California (Hilltop and Vander Schaaf) continues to be delayed due to a dispute with the prior Engineering, Procurement and Construction contractor over a series of change order requests.</w:t>
      </w:r>
      <w:r>
        <w:rPr>
          <w:rFonts w:ascii="Times New Roman" w:cs="Times New Roman" w:eastAsia="Times New Roman" w:hAnsi="Times New Roman"/>
          <w:sz w:val="27"/>
          <w:szCs w:val="27"/>
          <w:color w:val="auto"/>
          <w:vertAlign w:val="superscript"/>
        </w:rPr>
        <w:t>5</w:t>
      </w:r>
    </w:p>
    <w:p>
      <w:pPr>
        <w:spacing w:after="0" w:line="1" w:lineRule="exact"/>
        <w:rPr>
          <w:rFonts w:ascii="Times New Roman" w:cs="Times New Roman" w:eastAsia="Times New Roman" w:hAnsi="Times New Roman"/>
          <w:sz w:val="21"/>
          <w:szCs w:val="21"/>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March 31, 2025, we had 45 fueling stations under construction including 19 owned by OPAL.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Guidance</w:t>
      </w:r>
    </w:p>
    <w:p>
      <w:pPr>
        <w:spacing w:after="0" w:line="183"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maintain full year 2025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w:t>
      </w:r>
    </w:p>
    <w:p>
      <w:pPr>
        <w:spacing w:after="0" w:line="184" w:lineRule="exact"/>
        <w:rPr>
          <w:sz w:val="20"/>
          <w:szCs w:val="20"/>
          <w:color w:val="auto"/>
        </w:rPr>
      </w:pPr>
    </w:p>
    <w:p>
      <w:pPr>
        <w:ind w:right="20" w:firstLine="8"/>
        <w:spacing w:after="0" w:line="302" w:lineRule="auto"/>
        <w:tabs>
          <w:tab w:leader="none" w:pos="7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Design capacity is the annual design output for each facility and may not reflect actual production from the projects, which depends on many variables including, but not limited to, quantity and quality of the biogas, operational up-time of the facility, and actual productivity of the facility.</w:t>
      </w:r>
    </w:p>
    <w:p>
      <w:pPr>
        <w:spacing w:after="0" w:line="91" w:lineRule="exact"/>
        <w:rPr>
          <w:sz w:val="20"/>
          <w:szCs w:val="20"/>
          <w:color w:val="auto"/>
        </w:rPr>
      </w:pPr>
    </w:p>
    <w:p>
      <w:pPr>
        <w:ind w:left="100" w:hanging="92"/>
        <w:spacing w:after="0"/>
        <w:tabs>
          <w:tab w:leader="none" w:pos="10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OPAL Fuels' proportional share with respect to RNG projects owned with joint venture partners.</w:t>
      </w:r>
    </w:p>
    <w:p>
      <w:pPr>
        <w:spacing w:after="0" w:line="163" w:lineRule="exact"/>
        <w:rPr>
          <w:sz w:val="20"/>
          <w:szCs w:val="20"/>
          <w:color w:val="auto"/>
        </w:rPr>
      </w:pPr>
    </w:p>
    <w:p>
      <w:pPr>
        <w:ind w:left="80" w:hanging="72"/>
        <w:spacing w:after="0"/>
        <w:tabs>
          <w:tab w:leader="none" w:pos="8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more information, please see the Company’s Quarterly Report on Form 10-Q for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17" w:lineRule="exact"/>
        <w:rPr>
          <w:sz w:val="20"/>
          <w:szCs w:val="20"/>
          <w:color w:val="auto"/>
        </w:rPr>
      </w:pPr>
    </w:p>
    <w:tbl>
      <w:tblPr>
        <w:tblLayout w:type="fixed"/>
        <w:tblInd w:w="1880" w:type="dxa"/>
        <w:tblCellMar>
          <w:top w:w="0" w:type="dxa"/>
          <w:left w:w="0" w:type="dxa"/>
          <w:bottom w:w="0" w:type="dxa"/>
          <w:right w:w="0" w:type="dxa"/>
        </w:tblCellMar>
      </w:tblPr>
      <w:tr>
        <w:trPr>
          <w:trHeight w:val="243"/>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thousands of dollars, except RNG Fuel data)</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2420" w:type="dxa"/>
            <w:vAlign w:val="bottom"/>
            <w:tcBorders>
              <w:top w:val="single" w:sz="8" w:color="auto"/>
              <w:bottom w:val="single" w:sz="8" w:color="auto"/>
            </w:tcBorders>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Three Months Ended March 31,</w:t>
            </w:r>
          </w:p>
        </w:tc>
      </w:tr>
      <w:tr>
        <w:trPr>
          <w:trHeight w:val="223"/>
        </w:trPr>
        <w:tc>
          <w:tcPr>
            <w:tcW w:w="49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57"/>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RNG Fuel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17,727</w:t>
            </w:r>
          </w:p>
        </w:tc>
      </w:tr>
      <w:tr>
        <w:trPr>
          <w:trHeight w:val="324"/>
        </w:trPr>
        <w:tc>
          <w:tcPr>
            <w:tcW w:w="4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Fuel Station Services</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37,142</w:t>
            </w:r>
          </w:p>
        </w:tc>
      </w:tr>
      <w:tr>
        <w:trPr>
          <w:trHeight w:val="256"/>
        </w:trPr>
        <w:tc>
          <w:tcPr>
            <w:tcW w:w="4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Renewable Power</w:t>
            </w: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10,083</w:t>
            </w:r>
          </w:p>
        </w:tc>
      </w:tr>
      <w:tr>
        <w:trPr>
          <w:trHeight w:val="248"/>
        </w:trPr>
        <w:tc>
          <w:tcPr>
            <w:tcW w:w="494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Revenue </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64,952</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47,931</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 development and startup costs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29"/>
        </w:trPr>
        <w:tc>
          <w:tcPr>
            <w:tcW w:w="4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operating expenses </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12,666</w:t>
            </w:r>
          </w:p>
        </w:tc>
      </w:tr>
      <w:tr>
        <w:trPr>
          <w:trHeight w:val="257"/>
        </w:trPr>
        <w:tc>
          <w:tcPr>
            <w:tcW w:w="4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5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29"/>
        </w:trPr>
        <w:tc>
          <w:tcPr>
            <w:tcW w:w="4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(3)</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9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RNG Fuel </w:t>
            </w:r>
            <w:r>
              <w:rPr>
                <w:rFonts w:ascii="Times New Roman" w:cs="Times New Roman" w:eastAsia="Times New Roman" w:hAnsi="Times New Roman"/>
                <w:sz w:val="23"/>
                <w:szCs w:val="23"/>
                <w:color w:val="auto"/>
                <w:vertAlign w:val="superscript"/>
              </w:rPr>
              <w:t>(4)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15,841</w:t>
            </w:r>
          </w:p>
        </w:tc>
      </w:tr>
      <w:tr>
        <w:trPr>
          <w:trHeight w:val="229"/>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Fuel Station Services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7,018</w:t>
            </w:r>
          </w:p>
        </w:tc>
      </w:tr>
      <w:tr>
        <w:trPr>
          <w:trHeight w:val="229"/>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Renewable Power</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w:t>
            </w:r>
          </w:p>
        </w:tc>
      </w:tr>
      <w:tr>
        <w:trPr>
          <w:trHeight w:val="230"/>
        </w:trPr>
        <w:tc>
          <w:tcPr>
            <w:tcW w:w="4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(11,508)</w:t>
            </w: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15,223</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RNG Fuel volume produced (Million MMBtus)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RNG Fuel volume dispensed (Million GGEs)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volumes sold, dispensed, and serviced (Million GGEs)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bl>
    <w:p>
      <w:pPr>
        <w:spacing w:after="0" w:line="217" w:lineRule="exact"/>
        <w:rPr>
          <w:sz w:val="20"/>
          <w:szCs w:val="20"/>
          <w:color w:val="auto"/>
        </w:rPr>
      </w:pPr>
    </w:p>
    <w:p>
      <w:pPr>
        <w:ind w:left="160" w:hanging="152"/>
        <w:spacing w:after="0"/>
        <w:tabs>
          <w:tab w:leader="none" w:pos="1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revenues from equity method investments.</w:t>
      </w:r>
    </w:p>
    <w:p>
      <w:pPr>
        <w:spacing w:after="0" w:line="162" w:lineRule="exact"/>
        <w:rPr>
          <w:rFonts w:ascii="Times New Roman" w:cs="Times New Roman" w:eastAsia="Times New Roman" w:hAnsi="Times New Roman"/>
          <w:sz w:val="19"/>
          <w:szCs w:val="19"/>
          <w:color w:val="auto"/>
          <w:vertAlign w:val="superscript"/>
        </w:rPr>
      </w:pPr>
    </w:p>
    <w:p>
      <w:pPr>
        <w:ind w:left="260" w:hanging="252"/>
        <w:spacing w:after="0" w:line="228" w:lineRule="auto"/>
        <w:tabs>
          <w:tab w:leader="none" w:pos="149"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selling, general and administrative expenses, depreciation and amortization expenses, impairment and income (loss) from equity method investments. Please refer to the Statement of Operations at the end of the press release for additional information.</w:t>
      </w:r>
    </w:p>
    <w:p>
      <w:pPr>
        <w:spacing w:after="0" w:line="176" w:lineRule="exact"/>
        <w:rPr>
          <w:rFonts w:ascii="Times New Roman" w:cs="Times New Roman" w:eastAsia="Times New Roman" w:hAnsi="Times New Roman"/>
          <w:sz w:val="18"/>
          <w:szCs w:val="18"/>
          <w:color w:val="auto"/>
          <w:vertAlign w:val="superscript"/>
        </w:rPr>
      </w:pPr>
    </w:p>
    <w:p>
      <w:pPr>
        <w:ind w:left="260" w:hanging="252"/>
        <w:spacing w:after="0" w:line="228" w:lineRule="auto"/>
        <w:tabs>
          <w:tab w:leader="none" w:pos="149"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This is a non-GAAP financial measure. A reconciliation of this non-GAAP financial measure to a comparable GAAP financial measure has been provided in the financial tables included in this press release. An explanation of this measure and how it is calculated is also included below under the heading “Non-GAAP Financial Measures.”</w:t>
      </w:r>
    </w:p>
    <w:p>
      <w:pPr>
        <w:spacing w:after="0" w:line="163" w:lineRule="exact"/>
        <w:rPr>
          <w:rFonts w:ascii="Times New Roman" w:cs="Times New Roman" w:eastAsia="Times New Roman" w:hAnsi="Times New Roman"/>
          <w:sz w:val="18"/>
          <w:szCs w:val="18"/>
          <w:color w:val="auto"/>
          <w:vertAlign w:val="superscript"/>
        </w:rPr>
      </w:pPr>
    </w:p>
    <w:p>
      <w:pPr>
        <w:ind w:left="260" w:hanging="252"/>
        <w:spacing w:after="0" w:line="302" w:lineRule="auto"/>
        <w:tabs>
          <w:tab w:leader="none" w:pos="149"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incremental virtual pipeline costs (i.e., actual costs less anticipated operating costs of a permanent interconnection) on our Prince William RNG project which are temporary in nature and expected to be incurred in 2025 until the permanent interconnection is expected to be operational.</w:t>
      </w:r>
    </w:p>
    <w:p>
      <w:pPr>
        <w:sectPr>
          <w:pgSz w:w="11900" w:h="16838" w:orient="portrait"/>
          <w:cols w:equalWidth="0" w:num="1">
            <w:col w:w="11240"/>
          </w:cols>
          <w:pgMar w:left="320" w:top="14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8"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Results of Operations from equity method investments</w:t>
      </w:r>
    </w:p>
    <w:p>
      <w:pPr>
        <w:spacing w:after="0" w:line="242" w:lineRule="exact"/>
        <w:rPr>
          <w:sz w:val="20"/>
          <w:szCs w:val="20"/>
          <w:color w:val="auto"/>
        </w:rPr>
      </w:pPr>
    </w:p>
    <w:tbl>
      <w:tblPr>
        <w:tblLayout w:type="fixed"/>
        <w:tblInd w:w="138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Three Months Ended March 31</w:t>
            </w:r>
          </w:p>
        </w:tc>
        <w:tc>
          <w:tcPr>
            <w:tcW w:w="0" w:type="dxa"/>
            <w:vAlign w:val="bottom"/>
          </w:tcPr>
          <w:p>
            <w:pPr>
              <w:spacing w:after="0"/>
              <w:rPr>
                <w:sz w:val="1"/>
                <w:szCs w:val="1"/>
                <w:color w:val="auto"/>
              </w:rPr>
            </w:pPr>
          </w:p>
        </w:tc>
      </w:tr>
      <w:tr>
        <w:trPr>
          <w:trHeight w:val="27"/>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 of dollars)</w:t>
            </w: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7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25,407</w:t>
            </w:r>
          </w:p>
        </w:tc>
        <w:tc>
          <w:tcPr>
            <w:tcW w:w="0" w:type="dxa"/>
            <w:vAlign w:val="bottom"/>
          </w:tcPr>
          <w:p>
            <w:pPr>
              <w:spacing w:after="0"/>
              <w:rPr>
                <w:sz w:val="1"/>
                <w:szCs w:val="1"/>
                <w:color w:val="auto"/>
              </w:rPr>
            </w:pPr>
          </w:p>
        </w:tc>
      </w:tr>
      <w:tr>
        <w:trPr>
          <w:trHeight w:val="25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11,094</w:t>
            </w:r>
          </w:p>
        </w:tc>
        <w:tc>
          <w:tcPr>
            <w:tcW w:w="0" w:type="dxa"/>
            <w:vAlign w:val="bottom"/>
          </w:tcPr>
          <w:p>
            <w:pPr>
              <w:spacing w:after="0"/>
              <w:rPr>
                <w:sz w:val="1"/>
                <w:szCs w:val="1"/>
                <w:color w:val="auto"/>
              </w:rPr>
            </w:pPr>
          </w:p>
        </w:tc>
      </w:tr>
      <w:tr>
        <w:trPr>
          <w:trHeight w:val="25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10,704</w:t>
            </w:r>
          </w:p>
        </w:tc>
        <w:tc>
          <w:tcPr>
            <w:tcW w:w="0" w:type="dxa"/>
            <w:vAlign w:val="bottom"/>
          </w:tcPr>
          <w:p>
            <w:pPr>
              <w:spacing w:after="0"/>
              <w:rPr>
                <w:sz w:val="1"/>
                <w:szCs w:val="1"/>
                <w:color w:val="auto"/>
              </w:rPr>
            </w:pPr>
          </w:p>
        </w:tc>
      </w:tr>
      <w:tr>
        <w:trPr>
          <w:trHeight w:val="27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OPAL’s share of revenues from equity method investments</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10,761</w:t>
            </w:r>
          </w:p>
        </w:tc>
        <w:tc>
          <w:tcPr>
            <w:tcW w:w="0" w:type="dxa"/>
            <w:vAlign w:val="bottom"/>
          </w:tcPr>
          <w:p>
            <w:pPr>
              <w:spacing w:after="0"/>
              <w:rPr>
                <w:sz w:val="1"/>
                <w:szCs w:val="1"/>
                <w:color w:val="auto"/>
              </w:rPr>
            </w:pPr>
          </w:p>
        </w:tc>
      </w:tr>
      <w:tr>
        <w:trPr>
          <w:trHeight w:val="25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OPAL’s share of gross profit from equity method investments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0" w:type="dxa"/>
            <w:vAlign w:val="bottom"/>
          </w:tcPr>
          <w:p>
            <w:pPr>
              <w:spacing w:after="0"/>
              <w:rPr>
                <w:sz w:val="1"/>
                <w:szCs w:val="1"/>
                <w:color w:val="auto"/>
              </w:rPr>
            </w:pPr>
          </w:p>
        </w:tc>
      </w:tr>
      <w:tr>
        <w:trPr>
          <w:trHeight w:val="257"/>
        </w:trPr>
        <w:tc>
          <w:tcPr>
            <w:tcW w:w="57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OPAL’s share of net (loss) income from equity method investments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0" w:type="dxa"/>
            <w:vAlign w:val="bottom"/>
          </w:tcPr>
          <w:p>
            <w:pPr>
              <w:spacing w:after="0"/>
              <w:rPr>
                <w:sz w:val="1"/>
                <w:szCs w:val="1"/>
                <w:color w:val="auto"/>
              </w:rPr>
            </w:pPr>
          </w:p>
        </w:tc>
      </w:tr>
      <w:tr>
        <w:trPr>
          <w:trHeight w:val="250"/>
        </w:trPr>
        <w:tc>
          <w:tcPr>
            <w:tcW w:w="5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OPAL’s share of Adjusted EBITDA from equity method investments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firstLine="8"/>
        <w:spacing w:after="0" w:line="248" w:lineRule="auto"/>
        <w:tabs>
          <w:tab w:leader="none" w:pos="146"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Net income from equity method investments represents our portion of the net income from equity method investments including $1.70 million of amortization expense related to basis differences for the three months ended March 31, 2025, and $1.4 million for the three ended March 31,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Landfill RNG Facility Capacity and Utilization Summary</w:t>
      </w:r>
    </w:p>
    <w:p>
      <w:pPr>
        <w:spacing w:after="0" w:line="229"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-125095</wp:posOffset>
            </wp:positionV>
            <wp:extent cx="5503545"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03545" cy="146050"/>
                    </a:xfrm>
                    <a:prstGeom prst="rect">
                      <a:avLst/>
                    </a:prstGeom>
                    <a:noFill/>
                  </pic:spPr>
                </pic:pic>
              </a:graphicData>
            </a:graphic>
          </wp:anchor>
        </w:drawing>
      </w:r>
    </w:p>
    <w:p>
      <w:pPr>
        <w:spacing w:after="0" w:line="11" w:lineRule="exact"/>
        <w:rPr>
          <w:sz w:val="20"/>
          <w:szCs w:val="20"/>
          <w:color w:val="auto"/>
        </w:rPr>
      </w:pPr>
    </w:p>
    <w:tbl>
      <w:tblPr>
        <w:tblLayout w:type="fixed"/>
        <w:tblInd w:w="1300" w:type="dxa"/>
        <w:tblCellMar>
          <w:top w:w="0" w:type="dxa"/>
          <w:left w:w="0" w:type="dxa"/>
          <w:bottom w:w="0" w:type="dxa"/>
          <w:right w:w="0" w:type="dxa"/>
        </w:tblCellMar>
      </w:tblPr>
      <w:tr>
        <w:trPr>
          <w:trHeight w:val="223"/>
        </w:trPr>
        <w:tc>
          <w:tcPr>
            <w:tcW w:w="576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Landfill RNG Facility Capacity and Utilization</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668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 xml:space="preserve">Design Capacity (Million MMBtus) </w:t>
            </w:r>
            <w:r>
              <w:rPr>
                <w:rFonts w:ascii="Times New Roman" w:cs="Times New Roman" w:eastAsia="Times New Roman" w:hAnsi="Times New Roman"/>
                <w:sz w:val="23"/>
                <w:szCs w:val="23"/>
                <w:color w:val="auto"/>
                <w:vertAlign w:val="superscript"/>
              </w:rPr>
              <w:t>(1)</w:t>
            </w: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6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Volume of Inlet Gas (Million MMBtus) </w:t>
            </w:r>
            <w:r>
              <w:rPr>
                <w:rFonts w:ascii="Times New Roman" w:cs="Times New Roman" w:eastAsia="Times New Roman" w:hAnsi="Times New Roman"/>
                <w:sz w:val="23"/>
                <w:szCs w:val="23"/>
                <w:color w:val="auto"/>
                <w:vertAlign w:val="superscript"/>
              </w:rPr>
              <w:t>(2)</w:t>
            </w:r>
          </w:p>
        </w:tc>
        <w:tc>
          <w:tcPr>
            <w:tcW w:w="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668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Inlet Design Capacity Utilization (%) </w:t>
            </w:r>
            <w:r>
              <w:rPr>
                <w:rFonts w:ascii="Times New Roman" w:cs="Times New Roman" w:eastAsia="Times New Roman" w:hAnsi="Times New Roman"/>
                <w:sz w:val="23"/>
                <w:szCs w:val="23"/>
                <w:color w:val="auto"/>
                <w:vertAlign w:val="superscript"/>
              </w:rPr>
              <w:t>(2)</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30"/>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RNG Fuel volume produced (Million MMBtus)</w:t>
            </w:r>
          </w:p>
        </w:tc>
        <w:tc>
          <w:tcPr>
            <w:tcW w:w="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r>
      <w:tr>
        <w:trPr>
          <w:trHeight w:val="30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Utilization of Inlet Gas (%) </w:t>
            </w:r>
            <w:r>
              <w:rPr>
                <w:rFonts w:ascii="Times New Roman" w:cs="Times New Roman" w:eastAsia="Times New Roman" w:hAnsi="Times New Roman"/>
                <w:sz w:val="23"/>
                <w:szCs w:val="23"/>
                <w:color w:val="auto"/>
                <w:vertAlign w:val="superscript"/>
              </w:rPr>
              <w:t>(3)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r>
    </w:tbl>
    <w:p>
      <w:pPr>
        <w:spacing w:after="0" w:line="170" w:lineRule="exact"/>
        <w:rPr>
          <w:sz w:val="20"/>
          <w:szCs w:val="20"/>
          <w:color w:val="auto"/>
        </w:rPr>
      </w:pPr>
    </w:p>
    <w:p>
      <w:pPr>
        <w:jc w:val="both"/>
        <w:ind w:firstLine="8"/>
        <w:spacing w:after="0" w:line="239" w:lineRule="auto"/>
        <w:tabs>
          <w:tab w:leader="none" w:pos="159"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Design Capacity for RNG facilities is measured as the volume of feedstock biogas that the facility is capable of accepting at the inlet and processing during the associated period. Design Capacity is presented as OPAL’s ownership share (i.e., net of joint venture partners’ ownership) of the facility and is calculated based on the number of days in the period. New facilities that come online during a quarter are pro-rated for the number of days in commercial operation.</w:t>
      </w:r>
    </w:p>
    <w:p>
      <w:pPr>
        <w:spacing w:after="0" w:line="163" w:lineRule="exact"/>
        <w:rPr>
          <w:rFonts w:ascii="Times New Roman" w:cs="Times New Roman" w:eastAsia="Times New Roman" w:hAnsi="Times New Roman"/>
          <w:sz w:val="19"/>
          <w:szCs w:val="19"/>
          <w:color w:val="auto"/>
          <w:vertAlign w:val="superscript"/>
        </w:rPr>
      </w:pPr>
    </w:p>
    <w:p>
      <w:pPr>
        <w:jc w:val="both"/>
        <w:ind w:firstLine="8"/>
        <w:spacing w:after="0" w:line="403" w:lineRule="auto"/>
        <w:tabs>
          <w:tab w:leader="none" w:pos="132" w:val="left"/>
        </w:tabs>
        <w:numPr>
          <w:ilvl w:val="0"/>
          <w:numId w:val="1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Inlet Design Capacity Utilization is measured as the Volume of Inlet Gas for a period, divided by the total Design Capacity for such period. The Volume of Inlet Gas varies over time depending on, among other factors, (i) the quantity and quality of waste deposited at the landfill, (ii) waste management practices by the landfill, and (iii) the construction, operations and maintenance of the landfill gas collection system used to recover the landfill gas. The Design Capacity for each facility will typically be correlated to the amount of landfill gas expected to be generated by the landfill during the term of the related gas rights agreement. The Company expects Inlet Design Capacity Utilization to be in the range of 75-85% on an aggregate basis over the next several years. Typically, newer facilities perform at the lower end of this range and demonstrate increasing utilization as they mature and the biogas resource increases at open landfills. Excludes Sunoma and Biotown.</w:t>
      </w:r>
    </w:p>
    <w:p>
      <w:pPr>
        <w:spacing w:after="0" w:line="288" w:lineRule="exact"/>
        <w:rPr>
          <w:rFonts w:ascii="Times New Roman" w:cs="Times New Roman" w:eastAsia="Times New Roman" w:hAnsi="Times New Roman"/>
          <w:sz w:val="15"/>
          <w:szCs w:val="15"/>
          <w:color w:val="auto"/>
          <w:vertAlign w:val="superscript"/>
        </w:rPr>
      </w:pPr>
    </w:p>
    <w:p>
      <w:pPr>
        <w:jc w:val="both"/>
        <w:ind w:firstLine="8"/>
        <w:spacing w:after="0" w:line="670" w:lineRule="auto"/>
        <w:tabs>
          <w:tab w:leader="none" w:pos="132" w:val="left"/>
        </w:tabs>
        <w:numPr>
          <w:ilvl w:val="0"/>
          <w:numId w:val="1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Utilization of Inlet Gas is measured as RNG Fuel Volume Produced divided by the Volume of Inlet Gas. Utilization of Inlet Gas varies over time depending on availability and efficiency of the facility and the quality of landfill gas (i.e., concentrations of methane, oxygen, nitrogen, and other gases). The Company generally expects Utilization of Inlet Gas to be in the range of 80% to 90%. Excludes Sunoma and Biotown.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RNG Pending Monetization Summary</w:t>
      </w:r>
    </w:p>
    <w:p>
      <w:pPr>
        <w:spacing w:after="0" w:line="229"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 except average realized sales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RNG Fuel</w:t>
            </w:r>
          </w:p>
        </w:tc>
        <w:tc>
          <w:tcPr>
            <w:tcW w:w="1100" w:type="dxa"/>
            <w:vAlign w:val="bottom"/>
            <w:tcBorders>
              <w:top w:val="single" w:sz="8" w:color="auto"/>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Fuel Station</w:t>
            </w: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7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4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84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Value of RNG awaiting credit generation using quarter end price </w:t>
            </w:r>
            <w:r>
              <w:rPr>
                <w:rFonts w:ascii="Times New Roman" w:cs="Times New Roman" w:eastAsia="Times New Roman" w:hAnsi="Times New Roman"/>
                <w:sz w:val="23"/>
                <w:szCs w:val="23"/>
                <w:b w:val="1"/>
                <w:bCs w:val="1"/>
                <w:color w:val="auto"/>
                <w:vertAlign w:val="superscript"/>
              </w:rPr>
              <w:t>(1)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5,688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11,253</w:t>
            </w:r>
          </w:p>
        </w:tc>
        <w:tc>
          <w:tcPr>
            <w:tcW w:w="0" w:type="dxa"/>
            <w:vAlign w:val="bottom"/>
          </w:tcPr>
          <w:p>
            <w:pPr>
              <w:spacing w:after="0"/>
              <w:rPr>
                <w:sz w:val="1"/>
                <w:szCs w:val="1"/>
                <w:color w:val="auto"/>
              </w:rPr>
            </w:pPr>
          </w:p>
        </w:tc>
      </w:tr>
      <w:tr>
        <w:trPr>
          <w:trHeight w:val="250"/>
        </w:trPr>
        <w:tc>
          <w:tcPr>
            <w:tcW w:w="7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RIN Metrics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 as of December 31, 2024</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Generated in current period</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14,499</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Sales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(13,910)</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RIN credit balance (Available for sale) as of March 31, 2025</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D3 price per RIN at quarter end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Value of RINs using quarter end price </w:t>
            </w:r>
            <w:r>
              <w:rPr>
                <w:rFonts w:ascii="Times New Roman" w:cs="Times New Roman" w:eastAsia="Times New Roman" w:hAnsi="Times New Roman"/>
                <w:sz w:val="23"/>
                <w:szCs w:val="23"/>
                <w:b w:val="1"/>
                <w:bCs w:val="1"/>
                <w:color w:val="auto"/>
                <w:vertAlign w:val="superscript"/>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1,456</w:t>
            </w:r>
          </w:p>
        </w:tc>
        <w:tc>
          <w:tcPr>
            <w:tcW w:w="0" w:type="dxa"/>
            <w:vAlign w:val="bottom"/>
          </w:tcPr>
          <w:p>
            <w:pPr>
              <w:spacing w:after="0"/>
              <w:rPr>
                <w:sz w:val="1"/>
                <w:szCs w:val="1"/>
                <w:color w:val="auto"/>
              </w:rPr>
            </w:pPr>
          </w:p>
        </w:tc>
      </w:tr>
      <w:tr>
        <w:trPr>
          <w:trHeight w:val="250"/>
        </w:trPr>
        <w:tc>
          <w:tcPr>
            <w:tcW w:w="7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LCFS Metrics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 (net share) as of December 31, 2024</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Generated in current period</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Sales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LCFS credit balance (Available for sale) as of March 31, 2025</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LCFS credit price at quarter end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Value of LCFSs using quarter end price </w:t>
            </w:r>
            <w:r>
              <w:rPr>
                <w:rFonts w:ascii="Times New Roman" w:cs="Times New Roman" w:eastAsia="Times New Roman" w:hAnsi="Times New Roman"/>
                <w:sz w:val="23"/>
                <w:szCs w:val="23"/>
                <w:b w:val="1"/>
                <w:bCs w:val="1"/>
                <w:color w:val="auto"/>
                <w:vertAlign w:val="superscript"/>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2,075</w:t>
            </w:r>
          </w:p>
        </w:tc>
        <w:tc>
          <w:tcPr>
            <w:tcW w:w="0" w:type="dxa"/>
            <w:vAlign w:val="bottom"/>
          </w:tcPr>
          <w:p>
            <w:pPr>
              <w:spacing w:after="0"/>
              <w:rPr>
                <w:sz w:val="1"/>
                <w:szCs w:val="1"/>
                <w:color w:val="auto"/>
              </w:rPr>
            </w:pPr>
          </w:p>
        </w:tc>
      </w:tr>
      <w:tr>
        <w:trPr>
          <w:trHeight w:val="250"/>
        </w:trPr>
        <w:tc>
          <w:tcPr>
            <w:tcW w:w="78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Value of RECs using quarter end price</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c>
          <w:tcPr>
            <w:tcW w:w="0" w:type="dxa"/>
            <w:vAlign w:val="bottom"/>
          </w:tcPr>
          <w:p>
            <w:pPr>
              <w:spacing w:after="0"/>
              <w:rPr>
                <w:sz w:val="1"/>
                <w:szCs w:val="1"/>
                <w:color w:val="auto"/>
              </w:rPr>
            </w:pPr>
          </w:p>
        </w:tc>
      </w:tr>
      <w:tr>
        <w:trPr>
          <w:trHeight w:val="237"/>
        </w:trPr>
        <w:tc>
          <w:tcPr>
            <w:tcW w:w="7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Metrics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realized sales price during quarter - RIN</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realized sales price during quarter - LCFS</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70"/>
        </w:trPr>
        <w:tc>
          <w:tcPr>
            <w:tcW w:w="78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Value of RNG Pending Monetization and Credits at quarter end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5,693</w:t>
            </w:r>
          </w:p>
        </w:tc>
        <w:tc>
          <w:tcPr>
            <w:tcW w:w="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9,059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15,090</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firstLine="8"/>
        <w:spacing w:after="0" w:line="337" w:lineRule="auto"/>
        <w:tabs>
          <w:tab w:leader="none" w:pos="132" w:val="left"/>
        </w:tabs>
        <w:numPr>
          <w:ilvl w:val="0"/>
          <w:numId w:val="1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Reflects OPAL’s ownership share of RIN and LCFS credits (i.e., net of joint venture partners’ ownership) including equity method investments and presented net of discounts and any direct transaction costs such as dispensing fees, third-party royalties and transaction costs as applicable.</w:t>
      </w:r>
    </w:p>
    <w:p>
      <w:pPr>
        <w:sectPr>
          <w:pgSz w:w="11900" w:h="16838" w:orient="portrait"/>
          <w:cols w:equalWidth="0" w:num="1">
            <w:col w:w="11240"/>
          </w:cols>
          <w:pgMar w:left="320" w:top="14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Liquidity</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As of March 31, 2025, our liquidity was $239.9 million, consisting of $178.4 million of unused capacity under our $450 million senior secured credit facility, $21.4 million of unused capacity under the associated revolver, and $40.1 million of cash and cash equivalents.</w:t>
      </w:r>
    </w:p>
    <w:p>
      <w:pPr>
        <w:spacing w:after="0" w:line="13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We believe our liquidity, operating cash flows, and anticipated sources of capital are sufficient to meet our expected funding needs.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Capital Expenditures</w:t>
      </w:r>
    </w:p>
    <w:p>
      <w:pPr>
        <w:spacing w:after="0" w:line="19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During the three months ended March 31, 2025, OPAL Fuels invested $11.6 million across RNG projects in construction and OPAL Fuels proprietary fueling stations in construction as compared to $26.8 million in the prior year.</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In addition, for the three months ended March 31, 2025, the Company's portion of capital expenditures in unconsolidated entities was $5.4 million. This represents our share of capital expenditures incurred by equity method investments.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Earnings Call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webcast to review OPAL Fuels’ First Quarter 2025 results is being held tomorrow, May 9, 2025 at 11:00AM EDT.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Materials to be discussed in the webcast will be available before the call on the Company's website.</w:t>
      </w:r>
    </w:p>
    <w:p>
      <w:pPr>
        <w:spacing w:after="0" w:line="19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 xml:space="preserve">Participants may access the call at </w:t>
      </w:r>
      <w:r>
        <w:rPr>
          <w:rFonts w:ascii="Times New Roman" w:cs="Times New Roman" w:eastAsia="Times New Roman" w:hAnsi="Times New Roman"/>
          <w:sz w:val="22"/>
          <w:szCs w:val="22"/>
          <w:color w:val="3051F2"/>
        </w:rPr>
        <w:t>https://edge.media-server.com/mmc/p/49xbizz5</w:t>
      </w:r>
      <w:r>
        <w:rPr>
          <w:rFonts w:ascii="Times New Roman" w:cs="Times New Roman" w:eastAsia="Times New Roman" w:hAnsi="Times New Roman"/>
          <w:sz w:val="22"/>
          <w:szCs w:val="22"/>
          <w:color w:val="auto"/>
        </w:rPr>
        <w:t xml:space="preserve">. Investors can also listen to a webcast of the presentation on the Company’s Investor Relations website at </w:t>
      </w:r>
      <w:r>
        <w:rPr>
          <w:rFonts w:ascii="Times New Roman" w:cs="Times New Roman" w:eastAsia="Times New Roman" w:hAnsi="Times New Roman"/>
          <w:sz w:val="22"/>
          <w:szCs w:val="22"/>
          <w:color w:val="3051F2"/>
        </w:rPr>
        <w:t>https://investors.opalfuels.com/news-events/events-presentations.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ectPr>
          <w:pgSz w:w="11900" w:h="16838" w:orient="portrait"/>
          <w:cols w:equalWidth="0" w:num="1">
            <w:col w:w="11240"/>
          </w:cols>
          <w:pgMar w:left="320" w:top="14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8"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“D3” </w:t>
      </w:r>
      <w:r>
        <w:rPr>
          <w:rFonts w:ascii="Times New Roman" w:cs="Times New Roman" w:eastAsia="Times New Roman" w:hAnsi="Times New Roman"/>
          <w:sz w:val="18"/>
          <w:szCs w:val="18"/>
          <w:color w:val="auto"/>
        </w:rPr>
        <w:t>refers to cellulosic biofuel with a 60% GHG reduction requirement.</w:t>
      </w:r>
    </w:p>
    <w:p>
      <w:pPr>
        <w:spacing w:after="0" w:line="19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“Environmental Attributes” </w:t>
      </w:r>
      <w:r>
        <w:rPr>
          <w:rFonts w:ascii="Times New Roman" w:cs="Times New Roman" w:eastAsia="Times New Roman" w:hAnsi="Times New Roman"/>
          <w:sz w:val="18"/>
          <w:szCs w:val="18"/>
          <w:color w:val="auto"/>
        </w:rPr>
        <w:t>refer to federal, state, and local government incentives in the United States, provided in the form of Renewable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Identification Numbers, Renewable Energy Credits, Low Carbon Fuel Standard credits, rebates, tax credits and other incentives to end users, distributors, system integrators and manufacturers of renewable energy projects that promote the use of renewable energy.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“GGE” </w:t>
      </w:r>
      <w:r>
        <w:rPr>
          <w:rFonts w:ascii="Times New Roman" w:cs="Times New Roman" w:eastAsia="Times New Roman" w:hAnsi="Times New Roman"/>
          <w:sz w:val="18"/>
          <w:szCs w:val="18"/>
          <w:color w:val="auto"/>
        </w:rPr>
        <w:t>refers to gasoline gallon equivalent. The conversion ratio is 1 MMBtu of natural gas equal to 7.74 GGE.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“LCFS” </w:t>
      </w:r>
      <w:r>
        <w:rPr>
          <w:rFonts w:ascii="Times New Roman" w:cs="Times New Roman" w:eastAsia="Times New Roman" w:hAnsi="Times New Roman"/>
          <w:sz w:val="18"/>
          <w:szCs w:val="18"/>
          <w:color w:val="auto"/>
        </w:rPr>
        <w:t>refers to Low Carbon Fuel Standard or similar types of federal and state programs.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“MMBtu” </w:t>
      </w:r>
      <w:r>
        <w:rPr>
          <w:rFonts w:ascii="Times New Roman" w:cs="Times New Roman" w:eastAsia="Times New Roman" w:hAnsi="Times New Roman"/>
          <w:sz w:val="18"/>
          <w:szCs w:val="18"/>
          <w:color w:val="auto"/>
        </w:rPr>
        <w:t>refers to million British thermal units.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“RECs” </w:t>
      </w:r>
      <w:r>
        <w:rPr>
          <w:rFonts w:ascii="Times New Roman" w:cs="Times New Roman" w:eastAsia="Times New Roman" w:hAnsi="Times New Roman"/>
          <w:sz w:val="18"/>
          <w:szCs w:val="18"/>
          <w:color w:val="auto"/>
        </w:rPr>
        <w:t>refers to renewable energy credits.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“Renewable Power” </w:t>
      </w:r>
      <w:r>
        <w:rPr>
          <w:rFonts w:ascii="Times New Roman" w:cs="Times New Roman" w:eastAsia="Times New Roman" w:hAnsi="Times New Roman"/>
          <w:sz w:val="18"/>
          <w:szCs w:val="18"/>
          <w:color w:val="auto"/>
        </w:rPr>
        <w:t>refers to electricity generated from renewable 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“RIN” </w:t>
      </w:r>
      <w:r>
        <w:rPr>
          <w:rFonts w:ascii="Times New Roman" w:cs="Times New Roman" w:eastAsia="Times New Roman" w:hAnsi="Times New Roman"/>
          <w:sz w:val="18"/>
          <w:szCs w:val="18"/>
          <w:color w:val="auto"/>
        </w:rPr>
        <w:t>refers to Renewable Identification Numbers.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“RNG” </w:t>
      </w:r>
      <w:r>
        <w:rPr>
          <w:rFonts w:ascii="Times New Roman" w:cs="Times New Roman" w:eastAsia="Times New Roman" w:hAnsi="Times New Roman"/>
          <w:sz w:val="18"/>
          <w:szCs w:val="18"/>
          <w:color w:val="auto"/>
        </w:rPr>
        <w:t>refers to renewable natural gas.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“VIEs” </w:t>
      </w:r>
      <w:r>
        <w:rPr>
          <w:rFonts w:ascii="Times New Roman" w:cs="Times New Roman" w:eastAsia="Times New Roman" w:hAnsi="Times New Roman"/>
          <w:sz w:val="18"/>
          <w:szCs w:val="18"/>
          <w:color w:val="auto"/>
        </w:rPr>
        <w:t>refers to variable interest entities.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OPAL Fuels Inc.</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563C1"/>
        </w:rPr>
        <w:t xml:space="preserve">OPAL Fuels Inc. </w:t>
      </w:r>
      <w:r>
        <w:rPr>
          <w:rFonts w:ascii="Times New Roman" w:cs="Times New Roman" w:eastAsia="Times New Roman" w:hAnsi="Times New Roman"/>
          <w:sz w:val="18"/>
          <w:szCs w:val="18"/>
          <w:color w:val="000000"/>
        </w:rPr>
        <w:t>(Nasdaq: OPAL) is a leader in the capture and conversion of biogas into low carbon intensity RNG and Renewable Power. OPAL</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color w:val="000000"/>
        </w:rPr>
        <w:t xml:space="preserve">Fuels is also a leader in the marketing and distribution of RNG to heavy duty trucking and other hard to de-carbonize industrial sectors. For additional information, and to learn more about OPAL Fuels and how it is leading the effort to capture North America’s naturally occurring methane and decarbonize the economy, please visit </w:t>
      </w:r>
      <w:r>
        <w:rPr>
          <w:rFonts w:ascii="Times New Roman" w:cs="Times New Roman" w:eastAsia="Times New Roman" w:hAnsi="Times New Roman"/>
          <w:sz w:val="18"/>
          <w:szCs w:val="18"/>
          <w:color w:val="0563C1"/>
        </w:rPr>
        <w:t>www.opalfuels.com</w:t>
      </w:r>
      <w:r>
        <w:rPr>
          <w:rFonts w:ascii="Times New Roman" w:cs="Times New Roman" w:eastAsia="Times New Roman" w:hAnsi="Times New Roman"/>
          <w:sz w:val="18"/>
          <w:szCs w:val="18"/>
          <w:color w:val="000000"/>
        </w:rPr>
        <w: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“Forward-Looking Statements and Risk Factor Summary” in the Company's annual report on Form 10-K and quarterly reports on Form 10-Q, and other filings the Company makes with the Securities and Exchange Commission. Nothing in this communication should be regarded as a representation by any person that the forward-looking statements set forth herein will be achieved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580"/>
          </w:cols>
          <w:pgMar w:left="980" w:top="1413" w:right="339" w:bottom="1440" w:gutter="0" w:footer="0" w:header="0"/>
        </w:sectPr>
      </w:pPr>
    </w:p>
    <w:bookmarkStart w:id="13" w:name="page14"/>
    <w:bookmarkEnd w:id="13"/>
    <w:p>
      <w:pPr>
        <w:jc w:val="both"/>
        <w:ind w:left="4"/>
        <w:spacing w:after="0" w:line="258" w:lineRule="auto"/>
        <w:rPr>
          <w:sz w:val="20"/>
          <w:szCs w:val="20"/>
          <w:color w:val="auto"/>
        </w:rPr>
      </w:pPr>
      <w:r>
        <w:rPr>
          <w:rFonts w:ascii="Times New Roman" w:cs="Times New Roman" w:eastAsia="Times New Roman" w:hAnsi="Times New Roman"/>
          <w:sz w:val="18"/>
          <w:szCs w:val="18"/>
          <w:color w:val="auto"/>
        </w:rPr>
        <w:t>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202"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Todd Firestone</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Vice President Investor Relations &amp; Corporate Development</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914-705-4001</w:t>
      </w: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0000FF"/>
        </w:rPr>
        <w:t>investors@opalfuels.com</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Harrison Feuer</w:t>
      </w: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Senior Director, Communications and Public Policy</w:t>
      </w:r>
    </w:p>
    <w:p>
      <w:pPr>
        <w:spacing w:after="0" w:line="185" w:lineRule="exact"/>
        <w:rPr>
          <w:sz w:val="20"/>
          <w:szCs w:val="20"/>
          <w:color w:val="auto"/>
        </w:rPr>
      </w:pPr>
    </w:p>
    <w:p>
      <w:pPr>
        <w:ind w:left="4" w:right="8600" w:hanging="4"/>
        <w:spacing w:after="0" w:line="502" w:lineRule="auto"/>
        <w:tabs>
          <w:tab w:leader="none" w:pos="439"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721-3723 hfeuer@opalfuels.com ICR, Inc. </w:t>
      </w:r>
      <w:r>
        <w:rPr>
          <w:rFonts w:ascii="Times New Roman" w:cs="Times New Roman" w:eastAsia="Times New Roman" w:hAnsi="Times New Roman"/>
          <w:sz w:val="17"/>
          <w:szCs w:val="17"/>
          <w:u w:val="single" w:color="auto"/>
          <w:color w:val="0000FF"/>
        </w:rPr>
        <w:t>OPALFuelsPR@icrinc.com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584"/>
          </w:cols>
          <w:pgMar w:left="976" w:top="1417" w:right="339" w:bottom="1440" w:gutter="0" w:footer="0" w:header="0"/>
        </w:sectPr>
      </w:pPr>
    </w:p>
    <w:bookmarkStart w:id="14" w:name="page15"/>
    <w:bookmarkEnd w:id="14"/>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8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2"/>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1"/>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175"/>
        </w:trPr>
        <w:tc>
          <w:tcPr>
            <w:tcW w:w="816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Cash and cash equivalents (includes $518 and $358 at March 31, 2025 and December 31, 2024, respectively, related to</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10"/>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consolidated VIEs)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40,082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24,310</w:t>
            </w:r>
          </w:p>
        </w:tc>
      </w:tr>
      <w:tr>
        <w:trPr>
          <w:trHeight w:val="33"/>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75"/>
        </w:trPr>
        <w:tc>
          <w:tcPr>
            <w:tcW w:w="816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Accounts receivable, net (includes $353 and $435 at March 31, 2025 and December 31, 2024, respectively, related to</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23"/>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consolidated VIEs)</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32,013</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 related party</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14,522</w:t>
            </w:r>
          </w:p>
        </w:tc>
      </w:tr>
      <w:tr>
        <w:trPr>
          <w:trHeight w:val="33"/>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75"/>
        </w:trPr>
        <w:tc>
          <w:tcPr>
            <w:tcW w:w="816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Restricted cash - current (includes $884 and $972 at March 31, 2025 and December 31, 2024, respectively, related to</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23"/>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consolidated VIEs)</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Fuel tax credits receivable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5,639</w:t>
            </w:r>
          </w:p>
        </w:tc>
      </w:tr>
      <w:tr>
        <w:trPr>
          <w:trHeight w:val="33"/>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Contract assets</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11,075</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Parts inventory</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10,294</w:t>
            </w:r>
          </w:p>
        </w:tc>
      </w:tr>
      <w:tr>
        <w:trPr>
          <w:trHeight w:val="33"/>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75"/>
        </w:trPr>
        <w:tc>
          <w:tcPr>
            <w:tcW w:w="816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Prepaid expense and other current assets (includes $106 and $144 at March 31, 2025 and December 31, 2024, respectively,</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related to consolidated VIEs)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18,363</w:t>
            </w:r>
          </w:p>
        </w:tc>
      </w:tr>
      <w:tr>
        <w:trPr>
          <w:trHeight w:val="204"/>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116,387</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117,188</w:t>
            </w:r>
          </w:p>
        </w:tc>
      </w:tr>
      <w:tr>
        <w:trPr>
          <w:trHeight w:val="33"/>
        </w:trPr>
        <w:tc>
          <w:tcPr>
            <w:tcW w:w="8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55"/>
        </w:trPr>
        <w:tc>
          <w:tcPr>
            <w:tcW w:w="8160" w:type="dxa"/>
            <w:vAlign w:val="bottom"/>
            <w:shd w:val="clear" w:color="auto" w:fill="CCEEFF"/>
          </w:tcPr>
          <w:p>
            <w:pPr>
              <w:ind w:left="160"/>
              <w:spacing w:after="0" w:line="155" w:lineRule="exact"/>
              <w:rPr>
                <w:sz w:val="20"/>
                <w:szCs w:val="20"/>
                <w:color w:val="auto"/>
              </w:rPr>
            </w:pPr>
            <w:r>
              <w:rPr>
                <w:rFonts w:ascii="Times New Roman" w:cs="Times New Roman" w:eastAsia="Times New Roman" w:hAnsi="Times New Roman"/>
                <w:sz w:val="16"/>
                <w:szCs w:val="16"/>
                <w:color w:val="auto"/>
              </w:rPr>
              <w:t>Property, plant, and equipment, net (includes $25,048 and $25,428 at March 31, 2025 and December 31, 2024,</w:t>
            </w: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223"/>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respectively, related to consolidated VIEs)</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467,696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458,258</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Investment in other entities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223,594</w:t>
            </w:r>
          </w:p>
        </w:tc>
      </w:tr>
      <w:tr>
        <w:trPr>
          <w:trHeight w:val="33"/>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long-term assets (includes $37 and $— at March 31, 2025 and December 31, 2024, related to consolidated VIEs)</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22,837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23,483</w:t>
            </w:r>
          </w:p>
        </w:tc>
      </w:tr>
      <w:tr>
        <w:trPr>
          <w:trHeight w:val="175"/>
        </w:trPr>
        <w:tc>
          <w:tcPr>
            <w:tcW w:w="816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Restricted cash - non-current (includes $2,421 and $2,315 at March 31, 2025 and December 31, 2024, respectively, related</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10"/>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 consolidated VIEs)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3,946</w:t>
            </w:r>
          </w:p>
        </w:tc>
      </w:tr>
      <w:tr>
        <w:trPr>
          <w:trHeight w:val="33"/>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54,608</w:t>
            </w:r>
          </w:p>
        </w:tc>
      </w:tr>
      <w:tr>
        <w:trPr>
          <w:trHeight w:val="234"/>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884,923</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881,077</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3"/>
        </w:trPr>
        <w:tc>
          <w:tcPr>
            <w:tcW w:w="8160" w:type="dxa"/>
            <w:vAlign w:val="bottom"/>
            <w:tcBorders>
              <w:bottom w:val="single" w:sz="8" w:color="CCEEFF"/>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auto"/>
              </w:rPr>
              <w:t>Liabilities and Stockholders' Equity (Deficit)</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75"/>
        </w:trPr>
        <w:tc>
          <w:tcPr>
            <w:tcW w:w="816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Accounts payable (includes $394 and $22 at March 31, 2025 and December 31, 2024, respectively, related to consolidated</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23"/>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VIEs)</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16,419</w:t>
            </w:r>
          </w:p>
        </w:tc>
      </w:tr>
      <w:tr>
        <w:trPr>
          <w:trHeight w:val="175"/>
        </w:trPr>
        <w:tc>
          <w:tcPr>
            <w:tcW w:w="816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Accounts payable, related party (includes $419 and $426 at March 31, 2025 and December 31, 2024, respectively, related</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10"/>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 consolidated VIEs)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7,932</w:t>
            </w:r>
          </w:p>
        </w:tc>
      </w:tr>
      <w:tr>
        <w:trPr>
          <w:trHeight w:val="33"/>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Fuel tax credits payable</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4,422</w:t>
            </w:r>
          </w:p>
        </w:tc>
      </w:tr>
      <w:tr>
        <w:trPr>
          <w:trHeight w:val="175"/>
        </w:trPr>
        <w:tc>
          <w:tcPr>
            <w:tcW w:w="816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Accrued payroll (includes $22 and $45 at March 31, 2025 and December 31, 2024, respectively, related to consolidated</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10"/>
        </w:trPr>
        <w:tc>
          <w:tcPr>
            <w:tcW w:w="8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9,580</w:t>
            </w:r>
          </w:p>
        </w:tc>
      </w:tr>
      <w:tr>
        <w:trPr>
          <w:trHeight w:val="33"/>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Accrued capital expenses</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23,238</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environmental credit rebates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5,391</w:t>
            </w:r>
          </w:p>
        </w:tc>
      </w:tr>
      <w:tr>
        <w:trPr>
          <w:trHeight w:val="33"/>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75"/>
        </w:trPr>
        <w:tc>
          <w:tcPr>
            <w:tcW w:w="816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Accrued expenses and other current liabilities (includes $606 and $974 at March 31, 2025 and December 31, 2024,</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23"/>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respectively, related to consolidated VIEs)</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14,717</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Contract liabilities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9,276</w:t>
            </w:r>
          </w:p>
        </w:tc>
      </w:tr>
      <w:tr>
        <w:trPr>
          <w:trHeight w:val="33"/>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OPAL Term Loan - current portion</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10,865</w:t>
            </w:r>
          </w:p>
        </w:tc>
      </w:tr>
      <w:tr>
        <w:trPr>
          <w:trHeight w:val="175"/>
        </w:trPr>
        <w:tc>
          <w:tcPr>
            <w:tcW w:w="816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Sunoma Loan - current portion (includes $1,791 and $1,756 at March 31, 2025 and December 31, 2024, respectively,</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10"/>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related to consolidated VIEs)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w:t>
            </w:r>
          </w:p>
        </w:tc>
      </w:tr>
      <w:tr>
        <w:trPr>
          <w:trHeight w:val="33"/>
        </w:trPr>
        <w:tc>
          <w:tcPr>
            <w:tcW w:w="8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6"/>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101,602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103,596</w:t>
            </w:r>
          </w:p>
        </w:tc>
      </w:tr>
      <w:tr>
        <w:trPr>
          <w:trHeight w:val="204"/>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OPAL Term Loan, net of debt issuance costs</w:t>
            </w: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273,943</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266,630</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40" w:right="339" w:bottom="1440" w:gutter="0" w:footer="0" w:header="0"/>
          <w:type w:val="continuous"/>
        </w:sectPr>
      </w:pPr>
    </w:p>
    <w:bookmarkStart w:id="15" w:name="page16"/>
    <w:bookmarkEnd w:id="15"/>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Sunoma Loan, net of debt issuance costs (includes $17,940 and $18,373 at March 31, 2025 and December 31, 2024,</w:t>
            </w:r>
          </w:p>
        </w:tc>
        <w:tc>
          <w:tcPr>
            <w:tcW w:w="50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17,940</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18,373</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respectively, related to consolidated VIEs)</w:t>
            </w:r>
          </w:p>
        </w:tc>
        <w:tc>
          <w:tcPr>
            <w:tcW w:w="5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liabilities - non-current portion</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12,155</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long-term liabilities (includes $2,432 and $2,495 at March 31, 2025 and December 31, 2024, respectively, related to</w:t>
            </w:r>
          </w:p>
        </w:tc>
        <w:tc>
          <w:tcPr>
            <w:tcW w:w="50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14,933</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15,291</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consolidated VIEs)</w:t>
            </w: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420,478</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416,045</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Redeemable preferred non-controlling interests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130,000</w:t>
            </w:r>
          </w:p>
        </w:tc>
        <w:tc>
          <w:tcPr>
            <w:tcW w:w="0" w:type="dxa"/>
            <w:vAlign w:val="bottom"/>
          </w:tcPr>
          <w:p>
            <w:pPr>
              <w:spacing w:after="0"/>
              <w:rPr>
                <w:sz w:val="1"/>
                <w:szCs w:val="1"/>
                <w:color w:val="auto"/>
              </w:rPr>
            </w:pPr>
          </w:p>
        </w:tc>
      </w:tr>
      <w:tr>
        <w:trPr>
          <w:trHeight w:val="240"/>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482,863</w:t>
            </w:r>
          </w:p>
        </w:tc>
        <w:tc>
          <w:tcPr>
            <w:tcW w:w="0" w:type="dxa"/>
            <w:vAlign w:val="bottom"/>
          </w:tcPr>
          <w:p>
            <w:pPr>
              <w:spacing w:after="0"/>
              <w:rPr>
                <w:sz w:val="1"/>
                <w:szCs w:val="1"/>
                <w:color w:val="auto"/>
              </w:rPr>
            </w:pPr>
          </w:p>
        </w:tc>
      </w:tr>
      <w:tr>
        <w:trPr>
          <w:trHeight w:val="22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 (deficit)</w:t>
            </w: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Class A common stock, $0.0001 par value, 340,000,000 shares authorized as of March 31, 2025; shares issued: 30,607,664</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and 30,065,260 at March 31, 2025 and December 31, 2024, respectively; shares outstanding: 28,971,881 and</w:t>
            </w:r>
          </w:p>
        </w:tc>
        <w:tc>
          <w:tcPr>
            <w:tcW w:w="5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0"/>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28,429,477 at March 31, 2025 and December 31, 2024, respectively</w:t>
            </w:r>
          </w:p>
        </w:tc>
        <w:tc>
          <w:tcPr>
            <w:tcW w:w="5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Class B common stock, $0.0001 par value, 160,000,000 shares authorized as of March 31, 2025; 71,500,000 issued and</w:t>
            </w:r>
          </w:p>
        </w:tc>
        <w:tc>
          <w:tcPr>
            <w:tcW w:w="5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outstanding as of March 31, 2025 and December 31, 2024</w:t>
            </w:r>
          </w:p>
        </w:tc>
        <w:tc>
          <w:tcPr>
            <w:tcW w:w="5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Class C common stock, $0.0001 par value, 160,000,000 shares authorized as of March 31, 2025; none issued and</w:t>
            </w:r>
          </w:p>
        </w:tc>
        <w:tc>
          <w:tcPr>
            <w:tcW w:w="500" w:type="dxa"/>
            <w:vAlign w:val="bottom"/>
          </w:tcPr>
          <w:p>
            <w:pPr>
              <w:spacing w:after="0"/>
              <w:rPr>
                <w:sz w:val="16"/>
                <w:szCs w:val="16"/>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outstanding as of March 31, 2025 and December 31, 2024</w:t>
            </w:r>
          </w:p>
        </w:tc>
        <w:tc>
          <w:tcPr>
            <w:tcW w:w="5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Class D common stock, $0.0001 par value, 160,000,000 shares authorized as of March 31, 2025; 72,899,037 shares issued</w:t>
            </w:r>
          </w:p>
        </w:tc>
        <w:tc>
          <w:tcPr>
            <w:tcW w:w="5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and outstanding at March 31, 2025 and December 31, 2024</w:t>
            </w:r>
          </w:p>
        </w:tc>
        <w:tc>
          <w:tcPr>
            <w:tcW w:w="5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5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68,631</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(137,004)</w:t>
            </w:r>
          </w:p>
        </w:tc>
        <w:tc>
          <w:tcPr>
            <w:tcW w:w="0" w:type="dxa"/>
            <w:vAlign w:val="bottom"/>
          </w:tcPr>
          <w:p>
            <w:pPr>
              <w:spacing w:after="0"/>
              <w:rPr>
                <w:sz w:val="1"/>
                <w:szCs w:val="1"/>
                <w:color w:val="auto"/>
              </w:rPr>
            </w:pPr>
          </w:p>
        </w:tc>
      </w:tr>
      <w:tr>
        <w:trPr>
          <w:trHeight w:val="210"/>
        </w:trPr>
        <w:tc>
          <w:tcPr>
            <w:tcW w:w="8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Class A common stock in treasury, at cost; 1,635,783 at March 31, 2025 and December 31, 2024</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(11,614)</w:t>
            </w:r>
          </w:p>
        </w:tc>
        <w:tc>
          <w:tcPr>
            <w:tcW w:w="0" w:type="dxa"/>
            <w:vAlign w:val="bottom"/>
          </w:tcPr>
          <w:p>
            <w:pPr>
              <w:spacing w:after="0"/>
              <w:rPr>
                <w:sz w:val="1"/>
                <w:szCs w:val="1"/>
                <w:color w:val="auto"/>
              </w:rPr>
            </w:pPr>
          </w:p>
        </w:tc>
      </w:tr>
      <w:tr>
        <w:trPr>
          <w:trHeight w:val="204"/>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Stockholders' equity (deficit) attributable to the Company</w:t>
            </w:r>
          </w:p>
        </w:tc>
        <w:tc>
          <w:tcPr>
            <w:tcW w:w="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57,092</w:t>
            </w: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(148,449)</w:t>
            </w:r>
          </w:p>
        </w:tc>
        <w:tc>
          <w:tcPr>
            <w:tcW w:w="0" w:type="dxa"/>
            <w:vAlign w:val="bottom"/>
          </w:tcPr>
          <w:p>
            <w:pPr>
              <w:spacing w:after="0"/>
              <w:rPr>
                <w:sz w:val="1"/>
                <w:szCs w:val="1"/>
                <w:color w:val="auto"/>
              </w:rPr>
            </w:pPr>
          </w:p>
        </w:tc>
      </w:tr>
      <w:tr>
        <w:trPr>
          <w:trHeight w:val="33"/>
        </w:trPr>
        <w:tc>
          <w:tcPr>
            <w:tcW w:w="8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160" w:type="dxa"/>
            <w:vAlign w:val="bottom"/>
            <w:shd w:val="clear" w:color="auto" w:fill="CCEEFF"/>
          </w:tcPr>
          <w:p>
            <w:pPr>
              <w:ind w:left="160"/>
              <w:spacing w:after="0" w:line="169" w:lineRule="exact"/>
              <w:rPr>
                <w:sz w:val="20"/>
                <w:szCs w:val="20"/>
                <w:color w:val="auto"/>
              </w:rPr>
            </w:pPr>
            <w:r>
              <w:rPr>
                <w:rFonts w:ascii="Times New Roman" w:cs="Times New Roman" w:eastAsia="Times New Roman" w:hAnsi="Times New Roman"/>
                <w:sz w:val="16"/>
                <w:szCs w:val="16"/>
                <w:color w:val="auto"/>
              </w:rPr>
              <w:t>Non-redeemable non-controlling interests (includes $634 and $618 at March 31, 2025 and December 31, 2024,</w:t>
            </w:r>
          </w:p>
        </w:tc>
        <w:tc>
          <w:tcPr>
            <w:tcW w:w="5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respectively, related to consolidated VIEs)</w:t>
            </w: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8160" w:type="dxa"/>
            <w:vAlign w:val="bottom"/>
          </w:tcPr>
          <w:p>
            <w:pPr>
              <w:ind w:left="340"/>
              <w:spacing w:after="0" w:line="169" w:lineRule="exact"/>
              <w:rPr>
                <w:sz w:val="20"/>
                <w:szCs w:val="20"/>
                <w:color w:val="auto"/>
              </w:rPr>
            </w:pPr>
            <w:r>
              <w:rPr>
                <w:rFonts w:ascii="Times New Roman" w:cs="Times New Roman" w:eastAsia="Times New Roman" w:hAnsi="Times New Roman"/>
                <w:sz w:val="16"/>
                <w:szCs w:val="16"/>
                <w:color w:val="auto"/>
              </w:rPr>
              <w:t>Total Stockholders' equity (deficit) (includes $5,103 and $4,959 at March 31, 2025 and December 31, 2024,</w:t>
            </w:r>
          </w:p>
        </w:tc>
        <w:tc>
          <w:tcPr>
            <w:tcW w:w="5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57,726</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(147,831)</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respectively, related to consolidated VIEs)</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60" w:type="dxa"/>
            <w:vAlign w:val="bottom"/>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auto"/>
              </w:rPr>
              <w:t>Total liabilities, Redeemable preferred non-controlling interests, Redeemable non-controlling interests and</w:t>
            </w:r>
          </w:p>
        </w:tc>
        <w:tc>
          <w:tcPr>
            <w:tcW w:w="500" w:type="dxa"/>
            <w:vAlign w:val="bottom"/>
            <w:vMerge w:val="restart"/>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884,923</w:t>
            </w:r>
          </w:p>
        </w:tc>
        <w:tc>
          <w:tcPr>
            <w:tcW w:w="12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881,077</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Stockholders' equity (deficit)</w:t>
            </w: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4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2"/>
        </w:trPr>
        <w:tc>
          <w:tcPr>
            <w:tcW w:w="7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31"/>
        </w:trPr>
        <w:tc>
          <w:tcPr>
            <w:tcW w:w="7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RNG Fuel (includes revenues from related party of $20,101 and $15,495 for the three months ended March 31, 2025</w:t>
            </w: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27,599</w:t>
            </w:r>
          </w:p>
        </w:tc>
        <w:tc>
          <w:tcPr>
            <w:tcW w:w="540" w:type="dxa"/>
            <w:vAlign w:val="bottom"/>
          </w:tcPr>
          <w:p>
            <w:pPr>
              <w:spacing w:after="0"/>
              <w:rPr>
                <w:sz w:val="16"/>
                <w:szCs w:val="16"/>
                <w:color w:val="auto"/>
              </w:rPr>
            </w:pP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17,727</w:t>
            </w:r>
          </w:p>
        </w:tc>
        <w:tc>
          <w:tcPr>
            <w:tcW w:w="0" w:type="dxa"/>
            <w:vAlign w:val="bottom"/>
          </w:tcPr>
          <w:p>
            <w:pPr>
              <w:spacing w:after="0"/>
              <w:rPr>
                <w:sz w:val="1"/>
                <w:szCs w:val="1"/>
                <w:color w:val="auto"/>
              </w:rPr>
            </w:pPr>
          </w:p>
        </w:tc>
      </w:tr>
      <w:tr>
        <w:trPr>
          <w:trHeight w:val="220"/>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and 2024, respectively)</w:t>
            </w:r>
          </w:p>
        </w:tc>
        <w:tc>
          <w:tcPr>
            <w:tcW w:w="30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Fuel Station Services (includes revenues from related party of $16,603 and $7,741 for the three months ended</w:t>
            </w:r>
          </w:p>
        </w:tc>
        <w:tc>
          <w:tcPr>
            <w:tcW w:w="3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50,678</w:t>
            </w: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37,142</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March 31, 2025 and 2024, respectively)</w:t>
            </w: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Renewable Power (includes revenues from related party of $1,166 and $1,526 for the three months ended March 31,</w:t>
            </w:r>
          </w:p>
        </w:tc>
        <w:tc>
          <w:tcPr>
            <w:tcW w:w="3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7,130</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10,083</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2025 and 2024, respectively)</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85,407</w:t>
            </w:r>
          </w:p>
        </w:tc>
        <w:tc>
          <w:tcPr>
            <w:tcW w:w="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64,952</w:t>
            </w:r>
          </w:p>
        </w:tc>
        <w:tc>
          <w:tcPr>
            <w:tcW w:w="0" w:type="dxa"/>
            <w:vAlign w:val="bottom"/>
          </w:tcPr>
          <w:p>
            <w:pPr>
              <w:spacing w:after="0"/>
              <w:rPr>
                <w:sz w:val="1"/>
                <w:szCs w:val="1"/>
                <w:color w:val="auto"/>
              </w:rPr>
            </w:pPr>
          </w:p>
        </w:tc>
      </w:tr>
      <w:tr>
        <w:trPr>
          <w:trHeight w:val="192"/>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Cost of sales - RNG Fuel</w:t>
            </w: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12,153</w:t>
            </w:r>
          </w:p>
        </w:tc>
        <w:tc>
          <w:tcPr>
            <w:tcW w:w="5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8,338</w:t>
            </w:r>
          </w:p>
        </w:tc>
        <w:tc>
          <w:tcPr>
            <w:tcW w:w="0" w:type="dxa"/>
            <w:vAlign w:val="bottom"/>
          </w:tcPr>
          <w:p>
            <w:pPr>
              <w:spacing w:after="0"/>
              <w:rPr>
                <w:sz w:val="1"/>
                <w:szCs w:val="1"/>
                <w:color w:val="auto"/>
              </w:rPr>
            </w:pPr>
          </w:p>
        </w:tc>
      </w:tr>
      <w:tr>
        <w:trPr>
          <w:trHeight w:val="210"/>
        </w:trPr>
        <w:tc>
          <w:tcPr>
            <w:tcW w:w="7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Cost of sales - Fuel Station Services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39,722</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30,335</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Cost of sales - Renewable Power</w:t>
            </w: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6,762</w:t>
            </w:r>
          </w:p>
        </w:tc>
        <w:tc>
          <w:tcPr>
            <w:tcW w:w="5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9,258</w:t>
            </w:r>
          </w:p>
        </w:tc>
        <w:tc>
          <w:tcPr>
            <w:tcW w:w="0" w:type="dxa"/>
            <w:vAlign w:val="bottom"/>
          </w:tcPr>
          <w:p>
            <w:pPr>
              <w:spacing w:after="0"/>
              <w:rPr>
                <w:sz w:val="1"/>
                <w:szCs w:val="1"/>
                <w:color w:val="auto"/>
              </w:rPr>
            </w:pPr>
          </w:p>
        </w:tc>
      </w:tr>
      <w:tr>
        <w:trPr>
          <w:trHeight w:val="210"/>
        </w:trPr>
        <w:tc>
          <w:tcPr>
            <w:tcW w:w="7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Project development and startup costs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6,081</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15,967</w:t>
            </w:r>
          </w:p>
        </w:tc>
        <w:tc>
          <w:tcPr>
            <w:tcW w:w="5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13,161</w:t>
            </w:r>
          </w:p>
        </w:tc>
        <w:tc>
          <w:tcPr>
            <w:tcW w:w="0" w:type="dxa"/>
            <w:vAlign w:val="bottom"/>
          </w:tcPr>
          <w:p>
            <w:pPr>
              <w:spacing w:after="0"/>
              <w:rPr>
                <w:sz w:val="1"/>
                <w:szCs w:val="1"/>
                <w:color w:val="auto"/>
              </w:rPr>
            </w:pPr>
          </w:p>
        </w:tc>
      </w:tr>
      <w:tr>
        <w:trPr>
          <w:trHeight w:val="210"/>
        </w:trPr>
        <w:tc>
          <w:tcPr>
            <w:tcW w:w="7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5,942</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3,711</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(income) from equity method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(4,206)</w:t>
            </w:r>
          </w:p>
        </w:tc>
        <w:tc>
          <w:tcPr>
            <w:tcW w:w="0" w:type="dxa"/>
            <w:vAlign w:val="bottom"/>
          </w:tcPr>
          <w:p>
            <w:pPr>
              <w:spacing w:after="0"/>
              <w:rPr>
                <w:sz w:val="1"/>
                <w:szCs w:val="1"/>
                <w:color w:val="auto"/>
              </w:rPr>
            </w:pPr>
          </w:p>
        </w:tc>
      </w:tr>
      <w:tr>
        <w:trPr>
          <w:trHeight w:val="204"/>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expenses</w:t>
            </w: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87,349</w:t>
            </w:r>
          </w:p>
        </w:tc>
        <w:tc>
          <w:tcPr>
            <w:tcW w:w="5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61,382</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(loss) income</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(1,942)</w:t>
            </w:r>
          </w:p>
        </w:tc>
        <w:tc>
          <w:tcPr>
            <w:tcW w:w="5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3,570</w:t>
            </w:r>
          </w:p>
        </w:tc>
        <w:tc>
          <w:tcPr>
            <w:tcW w:w="0" w:type="dxa"/>
            <w:vAlign w:val="bottom"/>
          </w:tcPr>
          <w:p>
            <w:pPr>
              <w:spacing w:after="0"/>
              <w:rPr>
                <w:sz w:val="1"/>
                <w:szCs w:val="1"/>
                <w:color w:val="auto"/>
              </w:rPr>
            </w:pPr>
          </w:p>
        </w:tc>
      </w:tr>
      <w:tr>
        <w:trPr>
          <w:trHeight w:val="192"/>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(expense) income:</w:t>
            </w: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Interest and financing expense, net</w:t>
            </w: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(6,065)</w:t>
            </w:r>
          </w:p>
        </w:tc>
        <w:tc>
          <w:tcPr>
            <w:tcW w:w="5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(3,961)</w:t>
            </w:r>
          </w:p>
        </w:tc>
        <w:tc>
          <w:tcPr>
            <w:tcW w:w="0" w:type="dxa"/>
            <w:vAlign w:val="bottom"/>
          </w:tcPr>
          <w:p>
            <w:pPr>
              <w:spacing w:after="0"/>
              <w:rPr>
                <w:sz w:val="1"/>
                <w:szCs w:val="1"/>
                <w:color w:val="auto"/>
              </w:rPr>
            </w:pPr>
          </w:p>
        </w:tc>
      </w:tr>
      <w:tr>
        <w:trPr>
          <w:trHeight w:val="210"/>
        </w:trPr>
        <w:tc>
          <w:tcPr>
            <w:tcW w:w="7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 of derivative instruments,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income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0" w:type="dxa"/>
            <w:vAlign w:val="bottom"/>
          </w:tcPr>
          <w:p>
            <w:pPr>
              <w:spacing w:after="0"/>
              <w:rPr>
                <w:sz w:val="1"/>
                <w:szCs w:val="1"/>
                <w:color w:val="auto"/>
              </w:rPr>
            </w:pPr>
          </w:p>
        </w:tc>
      </w:tr>
      <w:tr>
        <w:trPr>
          <w:trHeight w:val="204"/>
        </w:trPr>
        <w:tc>
          <w:tcPr>
            <w:tcW w:w="7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other expenses</w:t>
            </w: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(4,811)</w:t>
            </w:r>
          </w:p>
        </w:tc>
        <w:tc>
          <w:tcPr>
            <w:tcW w:w="5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(2,893)</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(6,753)</w:t>
            </w:r>
          </w:p>
        </w:tc>
        <w:tc>
          <w:tcPr>
            <w:tcW w:w="5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0" w:type="dxa"/>
            <w:vAlign w:val="bottom"/>
          </w:tcPr>
          <w:p>
            <w:pPr>
              <w:spacing w:after="0"/>
              <w:rPr>
                <w:sz w:val="1"/>
                <w:szCs w:val="1"/>
                <w:color w:val="auto"/>
              </w:rPr>
            </w:pPr>
          </w:p>
        </w:tc>
      </w:tr>
      <w:tr>
        <w:trPr>
          <w:trHeight w:val="204"/>
        </w:trPr>
        <w:tc>
          <w:tcPr>
            <w:tcW w:w="7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Income tax benefit</w:t>
            </w: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8,037</w:t>
            </w:r>
          </w:p>
        </w:tc>
        <w:tc>
          <w:tcPr>
            <w:tcW w:w="5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5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0" w:type="dxa"/>
            <w:vAlign w:val="bottom"/>
          </w:tcPr>
          <w:p>
            <w:pPr>
              <w:spacing w:after="0"/>
              <w:rPr>
                <w:sz w:val="1"/>
                <w:szCs w:val="1"/>
                <w:color w:val="auto"/>
              </w:rPr>
            </w:pPr>
          </w:p>
        </w:tc>
      </w:tr>
      <w:tr>
        <w:trPr>
          <w:trHeight w:val="204"/>
        </w:trPr>
        <w:tc>
          <w:tcPr>
            <w:tcW w:w="7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loss attributable to redeemable non-controlling interests</w:t>
            </w: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5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income attributable to non-redeemable non-controlling interests</w:t>
            </w: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5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7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Dividends on redeemable preferred non-controlling interests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2,618</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7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loss attributable to Class A common stockholders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6"/>
                <w:szCs w:val="16"/>
                <w:color w:val="auto"/>
              </w:rPr>
              <w:t>Weighted average shares outstanding of Class A common stock:</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8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27,718,912</w:t>
            </w:r>
          </w:p>
        </w:tc>
        <w:tc>
          <w:tcPr>
            <w:tcW w:w="5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27,368,204</w:t>
            </w:r>
          </w:p>
        </w:tc>
        <w:tc>
          <w:tcPr>
            <w:tcW w:w="0" w:type="dxa"/>
            <w:vAlign w:val="bottom"/>
          </w:tcPr>
          <w:p>
            <w:pPr>
              <w:spacing w:after="0"/>
              <w:rPr>
                <w:sz w:val="1"/>
                <w:szCs w:val="1"/>
                <w:color w:val="auto"/>
              </w:rPr>
            </w:pPr>
          </w:p>
        </w:tc>
      </w:tr>
      <w:tr>
        <w:trPr>
          <w:trHeight w:val="210"/>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27,718,912</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27,368,204</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Per share amounts:</w:t>
            </w: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5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33"/>
        </w:trPr>
        <w:tc>
          <w:tcPr>
            <w:tcW w:w="78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13"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1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0"/>
        </w:trPr>
        <w:tc>
          <w:tcPr>
            <w:tcW w:w="8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12"/>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1"/>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Loss (income) from equity method investments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(4,206)</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Distributions from equity method investments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4,415</w:t>
            </w:r>
          </w:p>
        </w:tc>
      </w:tr>
      <w:tr>
        <w:trPr>
          <w:trHeight w:val="33"/>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operating lease right-of-use assets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Write-offs of capitalized costs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Accretion expense related to asset retirement obligation</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33"/>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w:t>
            </w:r>
          </w:p>
        </w:tc>
      </w:tr>
      <w:tr>
        <w:trPr>
          <w:trHeight w:val="33"/>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Paid-in-kind interest income</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 of commodity swaps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Unrealized gain on note receivable</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Unrealized gain on derivative financial instruments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33"/>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4,818</w:t>
            </w:r>
          </w:p>
        </w:tc>
      </w:tr>
      <w:tr>
        <w:trPr>
          <w:trHeight w:val="33"/>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receivable, related party</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3,784</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Fuel tax credits receivable</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w:t>
            </w:r>
          </w:p>
        </w:tc>
      </w:tr>
      <w:tr>
        <w:trPr>
          <w:trHeight w:val="33"/>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Contract assets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Parts inventory</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w:t>
            </w:r>
          </w:p>
        </w:tc>
      </w:tr>
      <w:tr>
        <w:trPr>
          <w:trHeight w:val="33"/>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Prepaid expense and other current and long-term assets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(3,989)</w:t>
            </w:r>
          </w:p>
        </w:tc>
      </w:tr>
      <w:tr>
        <w:trPr>
          <w:trHeight w:val="33"/>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payable, related party</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Fuel tax credits payable</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33"/>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Accrued payroll</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environmental credit rebates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r>
      <w:tr>
        <w:trPr>
          <w:trHeight w:val="33"/>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Accrued expenses and other current and non-current liabilities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3,082</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liabilities - current and non-current</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33"/>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Contract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w:t>
            </w:r>
          </w:p>
        </w:tc>
      </w:tr>
      <w:tr>
        <w:trPr>
          <w:trHeight w:val="204"/>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29,679</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13,718</w:t>
            </w:r>
          </w:p>
        </w:tc>
      </w:tr>
      <w:tr>
        <w:trPr>
          <w:trHeight w:val="33"/>
        </w:trPr>
        <w:tc>
          <w:tcPr>
            <w:tcW w:w="8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3"/>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(11,566)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(26,752)</w:t>
            </w:r>
          </w:p>
        </w:tc>
      </w:tr>
      <w:tr>
        <w:trPr>
          <w:trHeight w:val="33"/>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sale of short-term investments</w:t>
            </w:r>
          </w:p>
        </w:tc>
        <w:tc>
          <w:tcPr>
            <w:tcW w:w="9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3,900</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Distributions received from equity method investment</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2,726</w:t>
            </w:r>
          </w:p>
        </w:tc>
      </w:tr>
      <w:tr>
        <w:trPr>
          <w:trHeight w:val="33"/>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paid to equity method investments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04"/>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(9,277)</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(21,626)</w:t>
            </w:r>
          </w:p>
        </w:tc>
      </w:tr>
      <w:tr>
        <w:trPr>
          <w:trHeight w:val="33"/>
        </w:trPr>
        <w:tc>
          <w:tcPr>
            <w:tcW w:w="8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3"/>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paid for taxes related to net share settlement of equity awards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r>
      <w:tr>
        <w:trPr>
          <w:trHeight w:val="33"/>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Financing costs paid to other third parties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4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Repayment of Sunoma Loan</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r>
      <w:tr>
        <w:trPr>
          <w:trHeight w:val="246"/>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Repayment of equipment loan</w:t>
            </w:r>
          </w:p>
        </w:tc>
        <w:tc>
          <w:tcPr>
            <w:tcW w:w="9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37"/>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Payment of preferred dividends</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(5,235)</w:t>
            </w:r>
          </w:p>
        </w:tc>
      </w:tr>
    </w:tbl>
    <w:p>
      <w:pPr>
        <w:spacing w:after="0" w:line="200" w:lineRule="exact"/>
        <w:rPr>
          <w:sz w:val="20"/>
          <w:szCs w:val="20"/>
          <w:color w:val="auto"/>
        </w:rPr>
      </w:pP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13" w:right="339" w:bottom="1440" w:gutter="0" w:footer="0" w:header="0"/>
          <w:type w:val="continuous"/>
        </w:sectPr>
      </w:pPr>
    </w:p>
    <w:bookmarkStart w:id="18" w:name="page19"/>
    <w:bookmarkEnd w:id="18"/>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Distribution to non-redeemable non-controlling interest</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r>
      <w:tr>
        <w:trPr>
          <w:trHeight w:val="210"/>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issuance of shares of Class A common stock under the ATM program, net</w:t>
            </w:r>
          </w:p>
        </w:tc>
        <w:tc>
          <w:tcPr>
            <w:tcW w:w="5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33"/>
        </w:trPr>
        <w:tc>
          <w:tcPr>
            <w:tcW w:w="81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(4,732)</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(6,638)</w:t>
            </w:r>
          </w:p>
        </w:tc>
      </w:tr>
      <w:tr>
        <w:trPr>
          <w:trHeight w:val="204"/>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restricted cash, and cash equivalents</w:t>
            </w:r>
          </w:p>
        </w:tc>
        <w:tc>
          <w:tcPr>
            <w:tcW w:w="5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15,670</w:t>
            </w: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(14,546)</w:t>
            </w:r>
          </w:p>
        </w:tc>
      </w:tr>
      <w:tr>
        <w:trPr>
          <w:trHeight w:val="33"/>
        </w:trPr>
        <w:tc>
          <w:tcPr>
            <w:tcW w:w="8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restricted cash, and cash equivalents, beginning of period</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47,242</w:t>
            </w:r>
          </w:p>
        </w:tc>
      </w:tr>
      <w:tr>
        <w:trPr>
          <w:trHeight w:val="234"/>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restricted cash, and cash equivalents, end of period</w:t>
            </w: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44,898</w:t>
            </w:r>
          </w:p>
        </w:tc>
        <w:tc>
          <w:tcPr>
            <w:tcW w:w="1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32,696</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3"/>
        </w:trPr>
        <w:tc>
          <w:tcPr>
            <w:tcW w:w="8160" w:type="dxa"/>
            <w:vAlign w:val="bottom"/>
            <w:tcBorders>
              <w:bottom w:val="single" w:sz="8" w:color="CCEEFF"/>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5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paid, net of $524 and $1,444 capitalized, respectively</w:t>
            </w: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6,625</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3,242</w:t>
            </w:r>
          </w:p>
        </w:tc>
      </w:tr>
      <w:tr>
        <w:trPr>
          <w:trHeight w:val="33"/>
        </w:trPr>
        <w:tc>
          <w:tcPr>
            <w:tcW w:w="8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benefit received, net of selling expenses</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8,037</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1"/>
        </w:trPr>
        <w:tc>
          <w:tcPr>
            <w:tcW w:w="8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for finance leases included in Property, Plant and equipment, net</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Accrual for purchase of Property, plant and equipment included in Accounts payable and Accrued capital expenses</w:t>
            </w: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26,808</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4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 (Unaudited)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release includes various financial measures that are non-GAAP financial measures as defined under the rules of the Securities and Exchange Commission. We believe these measures provide important supplemental information to investors to use in evaluating ongoing operating results. We use these measures, together with accounting principles generally accepted in the United States ("GAAP" or "U.S. GAAP"), for internal managerial purposes and as a means to evaluate period-to-period comparisons. However, we do not, and you should not, rely on non-GAAP financial measures alone as measures of our performance. We believe that non-GAAP financial measures reflect an additional way of viewing aspects of our operations, that when taken together with GAAP results and the reconciliations to corresponding GAAP financial measures that we also provide, give a more complete understanding of factors and trends affecting our business. We strongly encourage you to review all of our financial statements and publicly filed reports in their entirety and to not solely rely on any single non-GAAP financial measure.</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These Non-GAAP financial measures are not recognized terms under GAAP and do not purport to be alternatives to GAAP net income or any other GAAP measure as indicators of operating performance. Moreover, because not all companies use identical measures and calculations, the Company's presentation of Non-GAAP financial measures may not be comparable to other similarly titled measures used by other companies. We strongly encourage you to review all of our financial statements and publicly filed reports in their entirety and to not solely rely on any single non-GAAP financial measure.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supplement the Company's unaudited condensed consolidated financial statements presented in accordance with GAAP, the Company uses a non-GAAP financial measure that it calls adjusted EBITDA ("Adjusted EBITDA"). This non-GAAP financial measure adjusts net income for interest and financing expense, net, net (income) loss attributable to non-redeemable non-controlling interests, depreciation, amortization and accretion expense, adjustments to reflect Adjusted EBITDA from equity method investments, unrealized (gain) loss on derivative instruments, non-cash charges, one-time non-recurring charges, major maintenance on Renewable Power, RNG development costs, virtual pipeline costs, and ITC proceeds, net.</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believes this non-GAAP financial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(3) the measure better aligns revenues with expenses; and (4)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1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following table presents the reconciliation of our net income to Adjusted EBITDA:</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GAAP Net Income to Adjusted EBITDA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 and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16" w:lineRule="exact"/>
        <w:rPr>
          <w:sz w:val="20"/>
          <w:szCs w:val="20"/>
          <w:color w:val="auto"/>
        </w:rPr>
      </w:pPr>
    </w:p>
    <w:tbl>
      <w:tblPr>
        <w:tblLayout w:type="fixed"/>
        <w:tblInd w:w="160" w:type="dxa"/>
        <w:tblCellMar>
          <w:top w:w="0" w:type="dxa"/>
          <w:left w:w="0" w:type="dxa"/>
          <w:bottom w:w="0" w:type="dxa"/>
          <w:right w:w="0" w:type="dxa"/>
        </w:tblCellMar>
      </w:tblPr>
      <w:tr>
        <w:trPr>
          <w:trHeight w:val="236"/>
        </w:trPr>
        <w:tc>
          <w:tcPr>
            <w:tcW w:w="17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2680" w:type="dxa"/>
            <w:vAlign w:val="bottom"/>
            <w:tcBorders>
              <w:top w:val="single" w:sz="8" w:color="auto"/>
              <w:bottom w:val="single" w:sz="8" w:color="auto"/>
            </w:tcBorders>
            <w:gridSpan w:val="8"/>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right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2700" w:type="dxa"/>
            <w:vAlign w:val="bottom"/>
            <w:tcBorders>
              <w:top w:val="single" w:sz="8" w:color="auto"/>
              <w:bottom w:val="single" w:sz="8" w:color="auto"/>
            </w:tcBorders>
            <w:gridSpan w:val="8"/>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RNG Fuel</w:t>
            </w:r>
          </w:p>
        </w:tc>
        <w:tc>
          <w:tcPr>
            <w:tcW w:w="920" w:type="dxa"/>
            <w:vAlign w:val="bottom"/>
            <w:gridSpan w:val="3"/>
          </w:tcPr>
          <w:p>
            <w:pPr>
              <w:jc w:val="center"/>
              <w:ind w:right="100"/>
              <w:spacing w:after="0" w:line="111" w:lineRule="exact"/>
              <w:rPr>
                <w:sz w:val="20"/>
                <w:szCs w:val="20"/>
                <w:color w:val="auto"/>
              </w:rPr>
            </w:pPr>
            <w:r>
              <w:rPr>
                <w:rFonts w:ascii="Times New Roman" w:cs="Times New Roman" w:eastAsia="Times New Roman" w:hAnsi="Times New Roman"/>
                <w:sz w:val="12"/>
                <w:szCs w:val="12"/>
                <w:b w:val="1"/>
                <w:bCs w:val="1"/>
                <w:color w:val="auto"/>
              </w:rPr>
              <w:t>Fuel Station</w:t>
            </w:r>
          </w:p>
        </w:tc>
        <w:tc>
          <w:tcPr>
            <w:tcW w:w="80" w:type="dxa"/>
            <w:vAlign w:val="bottom"/>
          </w:tcPr>
          <w:p>
            <w:pPr>
              <w:spacing w:after="0"/>
              <w:rPr>
                <w:sz w:val="9"/>
                <w:szCs w:val="9"/>
                <w:color w:val="auto"/>
              </w:rPr>
            </w:pPr>
          </w:p>
        </w:tc>
        <w:tc>
          <w:tcPr>
            <w:tcW w:w="860" w:type="dxa"/>
            <w:vAlign w:val="bottom"/>
            <w:gridSpan w:val="2"/>
          </w:tcPr>
          <w:p>
            <w:pPr>
              <w:jc w:val="center"/>
              <w:ind w:right="180"/>
              <w:spacing w:after="0" w:line="111" w:lineRule="exact"/>
              <w:rPr>
                <w:sz w:val="20"/>
                <w:szCs w:val="20"/>
                <w:color w:val="auto"/>
              </w:rPr>
            </w:pPr>
            <w:r>
              <w:rPr>
                <w:rFonts w:ascii="Times New Roman" w:cs="Times New Roman" w:eastAsia="Times New Roman" w:hAnsi="Times New Roman"/>
                <w:sz w:val="12"/>
                <w:szCs w:val="12"/>
                <w:b w:val="1"/>
                <w:bCs w:val="1"/>
                <w:color w:val="auto"/>
              </w:rPr>
              <w:t>Renewable</w:t>
            </w:r>
          </w:p>
        </w:tc>
        <w:tc>
          <w:tcPr>
            <w:tcW w:w="100" w:type="dxa"/>
            <w:vAlign w:val="bottom"/>
          </w:tcPr>
          <w:p>
            <w:pPr>
              <w:spacing w:after="0"/>
              <w:rPr>
                <w:sz w:val="9"/>
                <w:szCs w:val="9"/>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9"/>
                <w:szCs w:val="9"/>
                <w:color w:val="auto"/>
              </w:rPr>
            </w:pPr>
          </w:p>
        </w:tc>
        <w:tc>
          <w:tcPr>
            <w:tcW w:w="680" w:type="dxa"/>
            <w:vAlign w:val="bottom"/>
            <w:tcBorders>
              <w:right w:val="single" w:sz="8" w:color="auto"/>
            </w:tcBorders>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RNG Fuel</w:t>
            </w:r>
          </w:p>
        </w:tc>
        <w:tc>
          <w:tcPr>
            <w:tcW w:w="920" w:type="dxa"/>
            <w:vAlign w:val="bottom"/>
            <w:gridSpan w:val="3"/>
          </w:tcPr>
          <w:p>
            <w:pPr>
              <w:jc w:val="center"/>
              <w:ind w:right="100"/>
              <w:spacing w:after="0" w:line="111" w:lineRule="exact"/>
              <w:rPr>
                <w:sz w:val="20"/>
                <w:szCs w:val="20"/>
                <w:color w:val="auto"/>
              </w:rPr>
            </w:pPr>
            <w:r>
              <w:rPr>
                <w:rFonts w:ascii="Times New Roman" w:cs="Times New Roman" w:eastAsia="Times New Roman" w:hAnsi="Times New Roman"/>
                <w:sz w:val="12"/>
                <w:szCs w:val="12"/>
                <w:b w:val="1"/>
                <w:bCs w:val="1"/>
                <w:color w:val="auto"/>
              </w:rPr>
              <w:t>Fuel Station</w:t>
            </w:r>
          </w:p>
        </w:tc>
        <w:tc>
          <w:tcPr>
            <w:tcW w:w="80" w:type="dxa"/>
            <w:vAlign w:val="bottom"/>
          </w:tcPr>
          <w:p>
            <w:pPr>
              <w:spacing w:after="0"/>
              <w:rPr>
                <w:sz w:val="9"/>
                <w:szCs w:val="9"/>
                <w:color w:val="auto"/>
              </w:rPr>
            </w:pPr>
          </w:p>
        </w:tc>
        <w:tc>
          <w:tcPr>
            <w:tcW w:w="860" w:type="dxa"/>
            <w:vAlign w:val="bottom"/>
            <w:gridSpan w:val="2"/>
          </w:tcPr>
          <w:p>
            <w:pPr>
              <w:jc w:val="center"/>
              <w:ind w:right="180"/>
              <w:spacing w:after="0" w:line="111" w:lineRule="exact"/>
              <w:rPr>
                <w:sz w:val="20"/>
                <w:szCs w:val="20"/>
                <w:color w:val="auto"/>
              </w:rPr>
            </w:pPr>
            <w:r>
              <w:rPr>
                <w:rFonts w:ascii="Times New Roman" w:cs="Times New Roman" w:eastAsia="Times New Roman" w:hAnsi="Times New Roman"/>
                <w:sz w:val="12"/>
                <w:szCs w:val="12"/>
                <w:b w:val="1"/>
                <w:bCs w:val="1"/>
                <w:color w:val="auto"/>
              </w:rPr>
              <w:t>Renewable</w:t>
            </w:r>
          </w:p>
        </w:tc>
        <w:tc>
          <w:tcPr>
            <w:tcW w:w="100" w:type="dxa"/>
            <w:vAlign w:val="bottom"/>
          </w:tcPr>
          <w:p>
            <w:pPr>
              <w:spacing w:after="0"/>
              <w:rPr>
                <w:sz w:val="9"/>
                <w:szCs w:val="9"/>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9"/>
                <w:szCs w:val="9"/>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8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8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Net income$ (loss) </w:t>
            </w:r>
            <w:r>
              <w:rPr>
                <w:rFonts w:ascii="Times New Roman" w:cs="Times New Roman" w:eastAsia="Times New Roman" w:hAnsi="Times New Roman"/>
                <w:sz w:val="9"/>
                <w:szCs w:val="9"/>
                <w:color w:val="auto"/>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9,115</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1,284</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7,131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5,722</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677</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9"/>
        </w:trPr>
        <w:tc>
          <w:tcPr>
            <w:tcW w:w="17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Adjustments to reconcile</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 to</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Interest and financing</w:t>
            </w: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6,065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4,044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3,961</w:t>
            </w:r>
          </w:p>
        </w:tc>
        <w:tc>
          <w:tcPr>
            <w:tcW w:w="0" w:type="dxa"/>
            <w:vAlign w:val="bottom"/>
          </w:tcPr>
          <w:p>
            <w:pPr>
              <w:spacing w:after="0"/>
              <w:rPr>
                <w:sz w:val="1"/>
                <w:szCs w:val="1"/>
                <w:color w:val="auto"/>
              </w:rPr>
            </w:pPr>
          </w:p>
        </w:tc>
      </w:tr>
      <w:tr>
        <w:trPr>
          <w:trHeight w:val="193"/>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 net</w:t>
            </w: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7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Net income attributable to</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non-redeemable non-</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8"/>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controlling interests</w:t>
            </w: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right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Depreciation, amortization</w:t>
            </w: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2,959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949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5,942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1,392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3,711</w:t>
            </w:r>
          </w:p>
        </w:tc>
        <w:tc>
          <w:tcPr>
            <w:tcW w:w="0" w:type="dxa"/>
            <w:vAlign w:val="bottom"/>
          </w:tcPr>
          <w:p>
            <w:pPr>
              <w:spacing w:after="0"/>
              <w:rPr>
                <w:sz w:val="1"/>
                <w:szCs w:val="1"/>
                <w:color w:val="auto"/>
              </w:rPr>
            </w:pPr>
          </w:p>
        </w:tc>
      </w:tr>
      <w:tr>
        <w:trPr>
          <w:trHeight w:val="193"/>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accretion</w:t>
            </w: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7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Adjustments to reflect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Adjusted EBITDA from</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equity method investments</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4,137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2,268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2,268</w:t>
            </w:r>
          </w:p>
        </w:tc>
        <w:tc>
          <w:tcPr>
            <w:tcW w:w="0" w:type="dxa"/>
            <w:vAlign w:val="bottom"/>
          </w:tcPr>
          <w:p>
            <w:pPr>
              <w:spacing w:after="0"/>
              <w:rPr>
                <w:sz w:val="1"/>
                <w:szCs w:val="1"/>
                <w:color w:val="auto"/>
              </w:rPr>
            </w:pPr>
          </w:p>
        </w:tc>
      </w:tr>
      <w:tr>
        <w:trPr>
          <w:trHeight w:val="128"/>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(2)</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gridSpan w:val="2"/>
            <w:vMerge w:val="continue"/>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right w:val="single" w:sz="8" w:color="auto"/>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gridSpan w:val="2"/>
            <w:vMerge w:val="continue"/>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72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Unrealized (gain) loss on</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1,060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201"/>
        </w:trPr>
        <w:tc>
          <w:tcPr>
            <w:tcW w:w="1720" w:type="dxa"/>
            <w:vAlign w:val="bottom"/>
          </w:tcPr>
          <w:p>
            <w:pPr>
              <w:ind w:left="20"/>
              <w:spacing w:after="0" w:line="201" w:lineRule="exact"/>
              <w:rPr>
                <w:sz w:val="20"/>
                <w:szCs w:val="20"/>
                <w:color w:val="auto"/>
              </w:rPr>
            </w:pPr>
            <w:r>
              <w:rPr>
                <w:rFonts w:ascii="Times New Roman" w:cs="Times New Roman" w:eastAsia="Times New Roman" w:hAnsi="Times New Roman"/>
                <w:sz w:val="14"/>
                <w:szCs w:val="14"/>
                <w:color w:val="auto"/>
              </w:rPr>
              <w:t xml:space="preserve">derivative instruments </w:t>
            </w:r>
            <w:r>
              <w:rPr>
                <w:rFonts w:ascii="Times New Roman" w:cs="Times New Roman" w:eastAsia="Times New Roman" w:hAnsi="Times New Roman"/>
                <w:sz w:val="18"/>
                <w:szCs w:val="18"/>
                <w:color w:val="auto"/>
                <w:vertAlign w:val="superscript"/>
              </w:rPr>
              <w:t>(3)</w:t>
            </w:r>
          </w:p>
        </w:tc>
        <w:tc>
          <w:tcPr>
            <w:tcW w:w="1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Borders>
              <w:right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Non-cash charges </w:t>
            </w:r>
            <w:r>
              <w:rPr>
                <w:rFonts w:ascii="Times New Roman" w:cs="Times New Roman" w:eastAsia="Times New Roman" w:hAnsi="Times New Roman"/>
                <w:sz w:val="9"/>
                <w:szCs w:val="9"/>
                <w:color w:val="auto"/>
              </w:rPr>
              <w:t>(4)</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1,048</w:t>
            </w:r>
          </w:p>
        </w:tc>
        <w:tc>
          <w:tcPr>
            <w:tcW w:w="0" w:type="dxa"/>
            <w:vAlign w:val="bottom"/>
          </w:tcPr>
          <w:p>
            <w:pPr>
              <w:spacing w:after="0"/>
              <w:rPr>
                <w:sz w:val="1"/>
                <w:szCs w:val="1"/>
                <w:color w:val="auto"/>
              </w:rPr>
            </w:pPr>
          </w:p>
        </w:tc>
      </w:tr>
      <w:tr>
        <w:trPr>
          <w:trHeight w:val="136"/>
        </w:trPr>
        <w:tc>
          <w:tcPr>
            <w:tcW w:w="172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One-time non-recurring</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959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877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958</w:t>
            </w:r>
          </w:p>
        </w:tc>
        <w:tc>
          <w:tcPr>
            <w:tcW w:w="0" w:type="dxa"/>
            <w:vAlign w:val="bottom"/>
          </w:tcPr>
          <w:p>
            <w:pPr>
              <w:spacing w:after="0"/>
              <w:rPr>
                <w:sz w:val="1"/>
                <w:szCs w:val="1"/>
                <w:color w:val="auto"/>
              </w:rPr>
            </w:pPr>
          </w:p>
        </w:tc>
      </w:tr>
      <w:tr>
        <w:trPr>
          <w:trHeight w:val="201"/>
        </w:trPr>
        <w:tc>
          <w:tcPr>
            <w:tcW w:w="1720" w:type="dxa"/>
            <w:vAlign w:val="bottom"/>
          </w:tcPr>
          <w:p>
            <w:pPr>
              <w:ind w:left="20"/>
              <w:spacing w:after="0" w:line="201" w:lineRule="exact"/>
              <w:rPr>
                <w:sz w:val="20"/>
                <w:szCs w:val="20"/>
                <w:color w:val="auto"/>
              </w:rPr>
            </w:pPr>
            <w:r>
              <w:rPr>
                <w:rFonts w:ascii="Times New Roman" w:cs="Times New Roman" w:eastAsia="Times New Roman" w:hAnsi="Times New Roman"/>
                <w:sz w:val="14"/>
                <w:szCs w:val="14"/>
                <w:color w:val="auto"/>
              </w:rPr>
              <w:t xml:space="preserve">charges </w:t>
            </w:r>
            <w:r>
              <w:rPr>
                <w:rFonts w:ascii="Times New Roman" w:cs="Times New Roman" w:eastAsia="Times New Roman" w:hAnsi="Times New Roman"/>
                <w:sz w:val="18"/>
                <w:szCs w:val="18"/>
                <w:color w:val="auto"/>
                <w:vertAlign w:val="superscript"/>
              </w:rPr>
              <w:t>(5)</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Borders>
              <w:right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RNG development costs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Virtual pipeline costs </w:t>
            </w:r>
            <w:r>
              <w:rPr>
                <w:rFonts w:ascii="Times New Roman" w:cs="Times New Roman" w:eastAsia="Times New Roman" w:hAnsi="Times New Roman"/>
                <w:sz w:val="9"/>
                <w:szCs w:val="9"/>
                <w:color w:val="auto"/>
              </w:rPr>
              <w:t>(6)</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4,161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17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Major maintenance for</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2,188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2,188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2,909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2,909</w:t>
            </w:r>
          </w:p>
        </w:tc>
        <w:tc>
          <w:tcPr>
            <w:tcW w:w="0" w:type="dxa"/>
            <w:vAlign w:val="bottom"/>
          </w:tcPr>
          <w:p>
            <w:pPr>
              <w:spacing w:after="0"/>
              <w:rPr>
                <w:sz w:val="1"/>
                <w:szCs w:val="1"/>
                <w:color w:val="auto"/>
              </w:rPr>
            </w:pPr>
          </w:p>
        </w:tc>
      </w:tr>
      <w:tr>
        <w:trPr>
          <w:trHeight w:val="198"/>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Renewable Power</w:t>
            </w: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right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ITC proceeds, net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1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2,620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20,063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15,710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3,872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15,223</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160" w:hanging="152"/>
        <w:spacing w:after="0"/>
        <w:tabs>
          <w:tab w:leader="none" w:pos="160"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income (loss) by segment is included in our quarterly report on Form 10-Q.</w:t>
      </w:r>
    </w:p>
    <w:p>
      <w:pPr>
        <w:spacing w:after="0" w:line="190" w:lineRule="exact"/>
        <w:rPr>
          <w:rFonts w:ascii="Times New Roman" w:cs="Times New Roman" w:eastAsia="Times New Roman" w:hAnsi="Times New Roman"/>
          <w:sz w:val="9"/>
          <w:szCs w:val="9"/>
          <w:color w:val="auto"/>
        </w:rPr>
      </w:pPr>
    </w:p>
    <w:p>
      <w:pPr>
        <w:ind w:left="160" w:hanging="152"/>
        <w:spacing w:after="0"/>
        <w:tabs>
          <w:tab w:leader="none" w:pos="160"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interest, depreciation, amortization and accretion and RNG development costs incurred on equity method investments.</w:t>
      </w:r>
    </w:p>
    <w:p>
      <w:pPr>
        <w:spacing w:after="0" w:line="173" w:lineRule="exact"/>
        <w:rPr>
          <w:rFonts w:ascii="Times New Roman" w:cs="Times New Roman" w:eastAsia="Times New Roman" w:hAnsi="Times New Roman"/>
          <w:sz w:val="9"/>
          <w:szCs w:val="9"/>
          <w:color w:val="auto"/>
        </w:rPr>
      </w:pPr>
    </w:p>
    <w:p>
      <w:pPr>
        <w:ind w:left="160" w:hanging="152"/>
        <w:spacing w:after="0"/>
        <w:tabs>
          <w:tab w:leader="none" w:pos="16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Unrealized (gain) loss on derivative instruments includes change in fair value of commodity swaps and earnout liabilities.</w:t>
      </w:r>
    </w:p>
    <w:p>
      <w:pPr>
        <w:spacing w:after="0" w:line="162" w:lineRule="exact"/>
        <w:rPr>
          <w:rFonts w:ascii="Times New Roman" w:cs="Times New Roman" w:eastAsia="Times New Roman" w:hAnsi="Times New Roman"/>
          <w:sz w:val="19"/>
          <w:szCs w:val="19"/>
          <w:color w:val="auto"/>
          <w:vertAlign w:val="superscript"/>
        </w:rPr>
      </w:pPr>
    </w:p>
    <w:p>
      <w:pPr>
        <w:ind w:left="140" w:hanging="132"/>
        <w:spacing w:after="0"/>
        <w:tabs>
          <w:tab w:leader="none" w:pos="140"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Non-cash charges primarily include stock-based compensation expense and unrealized gain on note receivable.</w:t>
      </w:r>
    </w:p>
    <w:p>
      <w:pPr>
        <w:spacing w:after="0" w:line="167" w:lineRule="exact"/>
        <w:rPr>
          <w:rFonts w:ascii="Times New Roman" w:cs="Times New Roman" w:eastAsia="Times New Roman" w:hAnsi="Times New Roman"/>
          <w:sz w:val="16"/>
          <w:szCs w:val="16"/>
          <w:color w:val="auto"/>
          <w:vertAlign w:val="superscript"/>
        </w:rPr>
      </w:pPr>
    </w:p>
    <w:p>
      <w:pPr>
        <w:ind w:firstLine="8"/>
        <w:spacing w:after="0" w:line="230" w:lineRule="auto"/>
        <w:tabs>
          <w:tab w:leader="none" w:pos="159"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One-time non-recurring charges include (i) certain expenses related to development expenses on our RNG facilities such as lease expenses (in 2024) and legal costs, incurred during construction phase that could not be capitalized per GAAP.</w:t>
      </w:r>
    </w:p>
    <w:p>
      <w:pPr>
        <w:spacing w:after="0" w:line="162" w:lineRule="exact"/>
        <w:rPr>
          <w:rFonts w:ascii="Times New Roman" w:cs="Times New Roman" w:eastAsia="Times New Roman" w:hAnsi="Times New Roman"/>
          <w:sz w:val="19"/>
          <w:szCs w:val="19"/>
          <w:color w:val="auto"/>
          <w:vertAlign w:val="superscript"/>
        </w:rPr>
      </w:pPr>
    </w:p>
    <w:p>
      <w:pPr>
        <w:ind w:right="20" w:firstLine="8"/>
        <w:spacing w:after="0" w:line="362" w:lineRule="auto"/>
        <w:tabs>
          <w:tab w:leader="none" w:pos="132" w:val="left"/>
        </w:tabs>
        <w:numPr>
          <w:ilvl w:val="0"/>
          <w:numId w:val="1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Relates to virtual pipeline costs on our Prince William facility. These are temporary transportation costs incurred until a permanent pipeline is completed, which we currently anticipate in the second half of 2025. The costs are decreased by estimated costs of permanent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bullet"/>
      <w:start w:val="1"/>
    </w:lvl>
  </w:abstractNum>
  <w:abstractNum w:abstractNumId="5">
    <w:nsid w:val="1190CDE7"/>
    <w:multiLevelType w:val="hybridMultilevel"/>
    <w:lvl w:ilvl="0">
      <w:lvlJc w:val="left"/>
      <w:lvlText w:val="2"/>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3"/>
      <w:numFmt w:val="bullet"/>
      <w:start w:val="1"/>
    </w:lvl>
  </w:abstractNum>
  <w:abstractNum w:abstractNumId="9">
    <w:nsid w:val="109CF92E"/>
    <w:multiLevelType w:val="hybridMultilevel"/>
    <w:lvl w:ilvl="0">
      <w:lvlJc w:val="left"/>
      <w:lvlText w:val="4"/>
      <w:numFmt w:val="bullet"/>
      <w:start w:val="1"/>
    </w:lvl>
  </w:abstractNum>
  <w:abstractNum w:abstractNumId="10">
    <w:nsid w:val="DED7263"/>
    <w:multiLevelType w:val="hybridMultilevel"/>
    <w:lvl w:ilvl="0">
      <w:lvlJc w:val="left"/>
      <w:lvlText w:val="5"/>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914"/>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2025-05-08T15:57:13Z</dcterms:created>
  <dcterms:modified xsi:type="dcterms:W3CDTF">2025-05-08T15:57:13Z</dcterms:modified>
</cp:coreProperties>
</file>