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right="1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00" w:type="dxa"/>
            <w:vAlign w:val="bottom"/>
          </w:tcPr>
          <w:p>
            <w:pPr>
              <w:jc w:val="center"/>
              <w:ind w:right="23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0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-610235</wp:posOffset>
            </wp:positionV>
            <wp:extent cx="57150" cy="623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357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-610235</wp:posOffset>
            </wp:positionV>
            <wp:extent cx="57150" cy="623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357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641985</wp:posOffset>
            </wp:positionV>
            <wp:extent cx="6997065" cy="5601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5601335"/>
                    </a:xfrm>
                    <a:prstGeom prst="rect">
                      <a:avLst/>
                    </a:prstGeom>
                    <a:noFill/>
                  </pic:spPr>
                </pic:pic>
              </a:graphicData>
            </a:graphic>
          </wp:anchor>
        </w:drawing>
      </w:r>
    </w:p>
    <w:p>
      <w:pPr>
        <w:spacing w:after="0" w:line="1027" w:lineRule="exact"/>
        <w:rPr>
          <w:sz w:val="24"/>
          <w:szCs w:val="24"/>
          <w:color w:val="auto"/>
        </w:rPr>
      </w:pPr>
    </w:p>
    <w:p>
      <w:pPr>
        <w:sectPr>
          <w:pgSz w:w="11900" w:h="16838" w:orient="portrait"/>
          <w:cols w:equalWidth="0" w:num="2">
            <w:col w:w="2340" w:space="320"/>
            <w:col w:w="8420"/>
          </w:cols>
          <w:pgMar w:left="460" w:top="215" w:right="359" w:bottom="508" w:gutter="0" w:footer="0" w:header="0"/>
        </w:sectPr>
      </w:pPr>
    </w:p>
    <w:tbl>
      <w:tblPr>
        <w:tblLayout w:type="fixed"/>
        <w:tblInd w:w="80" w:type="dxa"/>
        <w:tblCellMar>
          <w:top w:w="0" w:type="dxa"/>
          <w:left w:w="0" w:type="dxa"/>
          <w:bottom w:w="0" w:type="dxa"/>
          <w:right w:w="0" w:type="dxa"/>
        </w:tblCellMar>
      </w:tblPr>
      <w:tr>
        <w:trPr>
          <w:trHeight w:val="230"/>
        </w:trPr>
        <w:tc>
          <w:tcPr>
            <w:tcW w:w="2440" w:type="dxa"/>
            <w:vAlign w:val="bottom"/>
            <w:gridSpan w:val="5"/>
          </w:tcPr>
          <w:p>
            <w:pPr>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240" w:type="dxa"/>
            <w:vAlign w:val="bottom"/>
          </w:tcPr>
          <w:p>
            <w:pPr>
              <w:spacing w:after="0"/>
              <w:rPr>
                <w:sz w:val="19"/>
                <w:szCs w:val="19"/>
                <w:color w:val="auto"/>
              </w:rPr>
            </w:pPr>
          </w:p>
        </w:tc>
        <w:tc>
          <w:tcPr>
            <w:tcW w:w="260" w:type="dxa"/>
            <w:vAlign w:val="bottom"/>
            <w:gridSpan w:val="3"/>
          </w:tcPr>
          <w:p>
            <w:pPr>
              <w:ind w:left="14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Maurer Jonathan Gilbert</w:t>
              </w:r>
            </w:hyperlink>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60"/>
              <w:spacing w:after="0" w:line="17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OPAL Fuels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OPAL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0" w:type="dxa"/>
            <w:vAlign w:val="bottom"/>
            <w:gridSpan w:val="3"/>
            <w:vMerge w:val="continue"/>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40" w:type="dxa"/>
            <w:vAlign w:val="bottom"/>
            <w:tcBorders>
              <w:top w:val="single" w:sz="8" w:color="0000EE"/>
            </w:tcBorders>
          </w:tcPr>
          <w:p>
            <w:pPr>
              <w:spacing w:after="0"/>
              <w:rPr>
                <w:sz w:val="4"/>
                <w:szCs w:val="4"/>
                <w:color w:val="auto"/>
              </w:rPr>
            </w:pPr>
          </w:p>
        </w:tc>
        <w:tc>
          <w:tcPr>
            <w:tcW w:w="2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60" w:type="dxa"/>
            <w:vAlign w:val="bottom"/>
            <w:tcBorders>
              <w:top w:val="single" w:sz="8" w:color="0000EE"/>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 w:type="dxa"/>
            <w:vAlign w:val="bottom"/>
            <w:tcBorders>
              <w:top w:val="single" w:sz="8" w:color="EEEEEE"/>
            </w:tcBorders>
          </w:tcPr>
          <w:p>
            <w:pPr>
              <w:spacing w:after="0"/>
              <w:rPr>
                <w:sz w:val="13"/>
                <w:szCs w:val="13"/>
                <w:color w:val="auto"/>
              </w:rPr>
            </w:pPr>
          </w:p>
        </w:tc>
        <w:tc>
          <w:tcPr>
            <w:tcW w:w="76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18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500" w:type="dxa"/>
            <w:vAlign w:val="bottom"/>
            <w:gridSpan w:val="4"/>
            <w:vMerge w:val="restart"/>
          </w:tcPr>
          <w:p>
            <w:pPr>
              <w:ind w:left="140"/>
              <w:spacing w:after="0" w:line="169" w:lineRule="exact"/>
              <w:rPr>
                <w:sz w:val="20"/>
                <w:szCs w:val="20"/>
                <w:color w:val="auto"/>
              </w:rPr>
            </w:pPr>
            <w:r>
              <w:rPr>
                <w:rFonts w:ascii="Times New Roman" w:cs="Times New Roman" w:eastAsia="Times New Roman" w:hAnsi="Times New Roman"/>
                <w:sz w:val="16"/>
                <w:szCs w:val="16"/>
                <w:color w:val="0000FF"/>
              </w:rPr>
              <w:t>03/31/2025</w:t>
            </w:r>
          </w:p>
        </w:tc>
        <w:tc>
          <w:tcPr>
            <w:tcW w:w="2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242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6"/>
          <w:szCs w:val="16"/>
          <w:color w:val="0000FF"/>
        </w:rPr>
        <w:t>ONE NORTH LEXINGTON AVE, 14TH FLOOR</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left="1" w:right="700" w:hanging="1"/>
        <w:spacing w:after="0" w:line="24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6" w:lineRule="exact"/>
        <w:rPr>
          <w:sz w:val="20"/>
          <w:szCs w:val="20"/>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39"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0"/>
          <w:szCs w:val="20"/>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0"/>
          <w:szCs w:val="20"/>
          <w:color w:val="auto"/>
        </w:rPr>
      </w:pPr>
    </w:p>
    <w:p>
      <w:pPr>
        <w:ind w:left="681"/>
        <w:spacing w:after="0"/>
        <w:rPr>
          <w:sz w:val="20"/>
          <w:szCs w:val="20"/>
          <w:color w:val="auto"/>
        </w:rPr>
      </w:pPr>
      <w:r>
        <w:rPr>
          <w:rFonts w:ascii="Times New Roman" w:cs="Times New Roman" w:eastAsia="Times New Roman" w:hAnsi="Times New Roman"/>
          <w:sz w:val="16"/>
          <w:szCs w:val="16"/>
          <w:color w:val="0000FF"/>
        </w:rPr>
        <w:t>Co-Chief Executive Officer</w:t>
      </w:r>
    </w:p>
    <w:p>
      <w:pPr>
        <w:spacing w:after="0" w:line="307" w:lineRule="exact"/>
        <w:rPr>
          <w:sz w:val="20"/>
          <w:szCs w:val="20"/>
          <w:color w:val="auto"/>
        </w:rPr>
      </w:pPr>
    </w:p>
    <w:p>
      <w:pPr>
        <w:sectPr>
          <w:pgSz w:w="11900" w:h="16838" w:orient="portrait"/>
          <w:cols w:equalWidth="0" w:num="2">
            <w:col w:w="7680" w:space="59"/>
            <w:col w:w="3341"/>
          </w:cols>
          <w:pgMar w:left="460" w:top="215" w:right="359" w:bottom="508" w:gutter="0" w:footer="0" w:header="0"/>
          <w:type w:val="continuous"/>
        </w:sectPr>
      </w:pPr>
    </w:p>
    <w:tbl>
      <w:tblPr>
        <w:tblLayout w:type="fixed"/>
        <w:tblInd w:w="8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960" w:type="dxa"/>
            <w:vAlign w:val="bottom"/>
            <w:tcBorders>
              <w:bottom w:val="single" w:sz="8" w:color="9A9A9A"/>
            </w:tcBorders>
          </w:tcPr>
          <w:p>
            <w:pPr>
              <w:spacing w:after="0"/>
              <w:rPr>
                <w:sz w:val="3"/>
                <w:szCs w:val="3"/>
                <w:color w:val="auto"/>
              </w:rPr>
            </w:pPr>
          </w:p>
        </w:tc>
        <w:tc>
          <w:tcPr>
            <w:tcW w:w="1700" w:type="dxa"/>
            <w:vAlign w:val="bottom"/>
            <w:tcBorders>
              <w:bottom w:val="single" w:sz="8" w:color="9A9A9A"/>
            </w:tcBorders>
          </w:tcPr>
          <w:p>
            <w:pPr>
              <w:spacing w:after="0"/>
              <w:rPr>
                <w:sz w:val="3"/>
                <w:szCs w:val="3"/>
                <w:color w:val="auto"/>
              </w:rPr>
            </w:pPr>
          </w:p>
        </w:tc>
        <w:tc>
          <w:tcPr>
            <w:tcW w:w="3660" w:type="dxa"/>
            <w:vAlign w:val="bottom"/>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200" w:type="dxa"/>
            <w:vAlign w:val="bottom"/>
            <w:vMerge w:val="restart"/>
          </w:tcPr>
          <w:p>
            <w:pPr>
              <w:ind w:left="320"/>
              <w:spacing w:after="0"/>
              <w:rPr>
                <w:sz w:val="20"/>
                <w:szCs w:val="20"/>
                <w:color w:val="auto"/>
              </w:rPr>
            </w:pPr>
            <w:r>
              <w:rPr>
                <w:rFonts w:ascii="Arial" w:cs="Arial" w:eastAsia="Arial" w:hAnsi="Arial"/>
                <w:sz w:val="13"/>
                <w:szCs w:val="13"/>
                <w:color w:val="auto"/>
                <w:w w:val="95"/>
              </w:rPr>
              <w:t>6. Individual or Joint/Group Filing (Check Applicable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660" w:type="dxa"/>
            <w:vAlign w:val="bottom"/>
            <w:vMerge w:val="continue"/>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1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200" w:type="dxa"/>
            <w:vAlign w:val="bottom"/>
          </w:tcPr>
          <w:p>
            <w:pPr>
              <w:ind w:left="3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WHITE PLAINS NY</w:t>
            </w:r>
          </w:p>
        </w:tc>
        <w:tc>
          <w:tcPr>
            <w:tcW w:w="1700" w:type="dxa"/>
            <w:vAlign w:val="bottom"/>
          </w:tcPr>
          <w:p>
            <w:pPr>
              <w:jc w:val="right"/>
              <w:ind w:right="698"/>
              <w:spacing w:after="0"/>
              <w:rPr>
                <w:sz w:val="20"/>
                <w:szCs w:val="20"/>
                <w:color w:val="auto"/>
              </w:rPr>
            </w:pPr>
            <w:r>
              <w:rPr>
                <w:rFonts w:ascii="Times New Roman" w:cs="Times New Roman" w:eastAsia="Times New Roman" w:hAnsi="Times New Roman"/>
                <w:sz w:val="16"/>
                <w:szCs w:val="16"/>
                <w:color w:val="0000FF"/>
              </w:rPr>
              <w:t>10601</w:t>
            </w:r>
          </w:p>
        </w:tc>
        <w:tc>
          <w:tcPr>
            <w:tcW w:w="3660" w:type="dxa"/>
            <w:vAlign w:val="bottom"/>
          </w:tcPr>
          <w:p>
            <w:pPr>
              <w:spacing w:after="0"/>
              <w:rPr>
                <w:sz w:val="19"/>
                <w:szCs w:val="19"/>
                <w:color w:val="auto"/>
              </w:rPr>
            </w:pPr>
          </w:p>
        </w:tc>
        <w:tc>
          <w:tcPr>
            <w:tcW w:w="3200" w:type="dxa"/>
            <w:vAlign w:val="bottom"/>
          </w:tcPr>
          <w:p>
            <w:pPr>
              <w:ind w:left="8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960" w:type="dxa"/>
            <w:vAlign w:val="bottom"/>
            <w:tcBorders>
              <w:bottom w:val="single" w:sz="8" w:color="9A9A9A"/>
            </w:tcBorders>
          </w:tcPr>
          <w:p>
            <w:pPr>
              <w:spacing w:after="0"/>
              <w:rPr>
                <w:sz w:val="12"/>
                <w:szCs w:val="12"/>
                <w:color w:val="auto"/>
              </w:rPr>
            </w:pPr>
          </w:p>
        </w:tc>
        <w:tc>
          <w:tcPr>
            <w:tcW w:w="1700" w:type="dxa"/>
            <w:vAlign w:val="bottom"/>
            <w:tcBorders>
              <w:bottom w:val="single" w:sz="8" w:color="9A9A9A"/>
            </w:tcBorders>
          </w:tcPr>
          <w:p>
            <w:pPr>
              <w:spacing w:after="0"/>
              <w:rPr>
                <w:sz w:val="12"/>
                <w:szCs w:val="12"/>
                <w:color w:val="auto"/>
              </w:rPr>
            </w:pPr>
          </w:p>
        </w:tc>
        <w:tc>
          <w:tcPr>
            <w:tcW w:w="3660" w:type="dxa"/>
            <w:vAlign w:val="bottom"/>
          </w:tcPr>
          <w:p>
            <w:pPr>
              <w:spacing w:after="0"/>
              <w:rPr>
                <w:sz w:val="12"/>
                <w:szCs w:val="12"/>
                <w:color w:val="auto"/>
              </w:rPr>
            </w:pPr>
          </w:p>
        </w:tc>
        <w:tc>
          <w:tcPr>
            <w:tcW w:w="3200" w:type="dxa"/>
            <w:vAlign w:val="bottom"/>
          </w:tcPr>
          <w:p>
            <w:pPr>
              <w:ind w:left="840"/>
              <w:spacing w:after="0" w:line="13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3200" w:type="dxa"/>
            <w:vAlign w:val="bottom"/>
          </w:tcPr>
          <w:p>
            <w:pPr>
              <w:ind w:left="840"/>
              <w:spacing w:after="0" w:line="138"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65"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jc w:val="center"/>
              <w:ind w:left="552"/>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3"/>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jc w:val="center"/>
              <w:ind w:left="732"/>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48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jc w:val="right"/>
              <w:ind w:right="116"/>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60" w:type="dxa"/>
            <w:vAlign w:val="bottom"/>
            <w:gridSpan w:val="3"/>
          </w:tcPr>
          <w:p>
            <w:pPr>
              <w:jc w:val="center"/>
              <w:ind w:left="732"/>
              <w:spacing w:after="0"/>
              <w:rPr>
                <w:sz w:val="20"/>
                <w:szCs w:val="20"/>
                <w:color w:val="auto"/>
              </w:rPr>
            </w:pPr>
            <w:r>
              <w:rPr>
                <w:rFonts w:ascii="Times New Roman" w:cs="Times New Roman" w:eastAsia="Times New Roman" w:hAnsi="Times New Roman"/>
                <w:sz w:val="16"/>
                <w:szCs w:val="16"/>
                <w:color w:val="0000FF"/>
              </w:rPr>
              <w:t>03/31/2025</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jc w:val="center"/>
              <w:ind w:right="264"/>
              <w:spacing w:after="0"/>
              <w:rPr>
                <w:sz w:val="20"/>
                <w:szCs w:val="20"/>
                <w:color w:val="auto"/>
              </w:rPr>
            </w:pPr>
            <w:r>
              <w:rPr>
                <w:rFonts w:ascii="Times New Roman" w:cs="Times New Roman" w:eastAsia="Times New Roman" w:hAnsi="Times New Roman"/>
                <w:sz w:val="13"/>
                <w:szCs w:val="13"/>
                <w:color w:val="0000FF"/>
                <w:w w:val="86"/>
              </w:rPr>
              <w:t>M</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35,868</w:t>
            </w: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tcPr>
          <w:p>
            <w:pPr>
              <w:jc w:val="center"/>
              <w:ind w:left="74"/>
              <w:spacing w:after="0"/>
              <w:rPr>
                <w:sz w:val="20"/>
                <w:szCs w:val="20"/>
                <w:color w:val="auto"/>
              </w:rPr>
            </w:pPr>
            <w:r>
              <w:rPr>
                <w:rFonts w:ascii="Times New Roman" w:cs="Times New Roman" w:eastAsia="Times New Roman" w:hAnsi="Times New Roman"/>
                <w:sz w:val="10"/>
                <w:szCs w:val="10"/>
                <w:color w:val="008000"/>
              </w:rPr>
              <w:t>(1)</w:t>
            </w:r>
          </w:p>
        </w:tc>
        <w:tc>
          <w:tcPr>
            <w:tcW w:w="1260" w:type="dxa"/>
            <w:vAlign w:val="bottom"/>
            <w:gridSpan w:val="3"/>
          </w:tcPr>
          <w:p>
            <w:pPr>
              <w:jc w:val="right"/>
              <w:ind w:right="302"/>
              <w:spacing w:after="0"/>
              <w:rPr>
                <w:sz w:val="20"/>
                <w:szCs w:val="20"/>
                <w:color w:val="auto"/>
              </w:rPr>
            </w:pPr>
            <w:r>
              <w:rPr>
                <w:rFonts w:ascii="Times New Roman" w:cs="Times New Roman" w:eastAsia="Times New Roman" w:hAnsi="Times New Roman"/>
                <w:sz w:val="16"/>
                <w:szCs w:val="16"/>
                <w:color w:val="0000FF"/>
              </w:rPr>
              <w:t>121,668</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80" w:type="dxa"/>
            <w:vAlign w:val="bottom"/>
            <w:tcBorders>
              <w:bottom w:val="single" w:sz="8" w:color="2C2C2C"/>
            </w:tcBorders>
            <w:gridSpan w:val="3"/>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60" w:type="dxa"/>
            <w:vAlign w:val="bottom"/>
            <w:tcBorders>
              <w:bottom w:val="single" w:sz="8" w:color="2C2C2C"/>
            </w:tcBorders>
            <w:gridSpan w:val="3"/>
          </w:tcPr>
          <w:p>
            <w:pPr>
              <w:jc w:val="center"/>
              <w:ind w:left="732"/>
              <w:spacing w:after="0"/>
              <w:rPr>
                <w:sz w:val="20"/>
                <w:szCs w:val="20"/>
                <w:color w:val="auto"/>
              </w:rPr>
            </w:pPr>
            <w:r>
              <w:rPr>
                <w:rFonts w:ascii="Times New Roman" w:cs="Times New Roman" w:eastAsia="Times New Roman" w:hAnsi="Times New Roman"/>
                <w:sz w:val="16"/>
                <w:szCs w:val="16"/>
                <w:color w:val="0000FF"/>
              </w:rPr>
              <w:t>03/31/2025</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85"/>
                <w:vertAlign w:val="subscript"/>
              </w:rPr>
              <w:t>F</w:t>
            </w:r>
            <w:r>
              <w:rPr>
                <w:rFonts w:ascii="Times New Roman" w:cs="Times New Roman" w:eastAsia="Times New Roman" w:hAnsi="Times New Roman"/>
                <w:sz w:val="10"/>
                <w:szCs w:val="10"/>
                <w:color w:val="008000"/>
                <w:w w:val="85"/>
              </w:rPr>
              <w:t>(2)</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12,930</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tcBorders>
              <w:bottom w:val="single" w:sz="8" w:color="2C2C2C"/>
            </w:tcBorders>
          </w:tcPr>
          <w:p>
            <w:pPr>
              <w:jc w:val="center"/>
              <w:ind w:left="74"/>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1.84</w:t>
            </w:r>
          </w:p>
        </w:tc>
        <w:tc>
          <w:tcPr>
            <w:tcW w:w="126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6"/>
                <w:szCs w:val="16"/>
                <w:color w:val="0000FF"/>
              </w:rPr>
              <w:t>108,738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60" w:type="dxa"/>
            <w:vAlign w:val="bottom"/>
            <w:gridSpan w:val="3"/>
          </w:tcPr>
          <w:p>
            <w:pPr>
              <w:jc w:val="center"/>
              <w:ind w:left="732"/>
              <w:spacing w:after="0"/>
              <w:rPr>
                <w:sz w:val="20"/>
                <w:szCs w:val="20"/>
                <w:color w:val="auto"/>
              </w:rPr>
            </w:pPr>
            <w:r>
              <w:rPr>
                <w:rFonts w:ascii="Times New Roman" w:cs="Times New Roman" w:eastAsia="Times New Roman" w:hAnsi="Times New Roman"/>
                <w:sz w:val="16"/>
                <w:szCs w:val="16"/>
                <w:color w:val="0000FF"/>
              </w:rPr>
              <w:t>03/31/2025</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jc w:val="center"/>
              <w:ind w:right="264"/>
              <w:spacing w:after="0"/>
              <w:rPr>
                <w:sz w:val="20"/>
                <w:szCs w:val="20"/>
                <w:color w:val="auto"/>
              </w:rPr>
            </w:pPr>
            <w:r>
              <w:rPr>
                <w:rFonts w:ascii="Times New Roman" w:cs="Times New Roman" w:eastAsia="Times New Roman" w:hAnsi="Times New Roman"/>
                <w:sz w:val="13"/>
                <w:szCs w:val="13"/>
                <w:color w:val="0000FF"/>
                <w:w w:val="86"/>
              </w:rPr>
              <w:t>M</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67,205</w:t>
            </w: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tcPr>
          <w:p>
            <w:pPr>
              <w:jc w:val="center"/>
              <w:ind w:left="74"/>
              <w:spacing w:after="0"/>
              <w:rPr>
                <w:sz w:val="20"/>
                <w:szCs w:val="20"/>
                <w:color w:val="auto"/>
              </w:rPr>
            </w:pPr>
            <w:r>
              <w:rPr>
                <w:rFonts w:ascii="Times New Roman" w:cs="Times New Roman" w:eastAsia="Times New Roman" w:hAnsi="Times New Roman"/>
                <w:sz w:val="10"/>
                <w:szCs w:val="10"/>
                <w:color w:val="008000"/>
              </w:rPr>
              <w:t>(1)</w:t>
            </w:r>
          </w:p>
        </w:tc>
        <w:tc>
          <w:tcPr>
            <w:tcW w:w="1260" w:type="dxa"/>
            <w:vAlign w:val="bottom"/>
            <w:gridSpan w:val="3"/>
          </w:tcPr>
          <w:p>
            <w:pPr>
              <w:jc w:val="right"/>
              <w:ind w:right="302"/>
              <w:spacing w:after="0"/>
              <w:rPr>
                <w:sz w:val="20"/>
                <w:szCs w:val="20"/>
                <w:color w:val="auto"/>
              </w:rPr>
            </w:pPr>
            <w:r>
              <w:rPr>
                <w:rFonts w:ascii="Times New Roman" w:cs="Times New Roman" w:eastAsia="Times New Roman" w:hAnsi="Times New Roman"/>
                <w:sz w:val="16"/>
                <w:szCs w:val="16"/>
                <w:color w:val="0000FF"/>
              </w:rPr>
              <w:t>175,943</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80" w:type="dxa"/>
            <w:vAlign w:val="bottom"/>
            <w:tcBorders>
              <w:bottom w:val="single" w:sz="8" w:color="2C2C2C"/>
            </w:tcBorders>
            <w:gridSpan w:val="3"/>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60" w:type="dxa"/>
            <w:vAlign w:val="bottom"/>
            <w:tcBorders>
              <w:bottom w:val="single" w:sz="8" w:color="2C2C2C"/>
            </w:tcBorders>
            <w:gridSpan w:val="3"/>
          </w:tcPr>
          <w:p>
            <w:pPr>
              <w:jc w:val="center"/>
              <w:ind w:left="732"/>
              <w:spacing w:after="0"/>
              <w:rPr>
                <w:sz w:val="20"/>
                <w:szCs w:val="20"/>
                <w:color w:val="auto"/>
              </w:rPr>
            </w:pPr>
            <w:r>
              <w:rPr>
                <w:rFonts w:ascii="Times New Roman" w:cs="Times New Roman" w:eastAsia="Times New Roman" w:hAnsi="Times New Roman"/>
                <w:sz w:val="16"/>
                <w:szCs w:val="16"/>
                <w:color w:val="0000FF"/>
              </w:rPr>
              <w:t>03/31/2025</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85"/>
                <w:vertAlign w:val="subscript"/>
              </w:rPr>
              <w:t>F</w:t>
            </w:r>
            <w:r>
              <w:rPr>
                <w:rFonts w:ascii="Times New Roman" w:cs="Times New Roman" w:eastAsia="Times New Roman" w:hAnsi="Times New Roman"/>
                <w:sz w:val="10"/>
                <w:szCs w:val="10"/>
                <w:color w:val="008000"/>
                <w:w w:val="85"/>
              </w:rPr>
              <w:t>(2)</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24,227</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tcBorders>
              <w:bottom w:val="single" w:sz="8" w:color="2C2C2C"/>
            </w:tcBorders>
          </w:tcPr>
          <w:p>
            <w:pPr>
              <w:jc w:val="center"/>
              <w:ind w:left="74"/>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1.84</w:t>
            </w:r>
          </w:p>
        </w:tc>
        <w:tc>
          <w:tcPr>
            <w:tcW w:w="126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6"/>
                <w:szCs w:val="16"/>
                <w:color w:val="0000FF"/>
              </w:rPr>
              <w:t>151,716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1"/>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9"/>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spacing w:after="0"/>
              <w:rPr>
                <w:sz w:val="20"/>
                <w:szCs w:val="20"/>
                <w:color w:val="auto"/>
              </w:rPr>
            </w:pPr>
            <w:r>
              <w:rPr>
                <w:rFonts w:ascii="Arial" w:cs="Arial" w:eastAsia="Arial" w:hAnsi="Arial"/>
                <w:sz w:val="11"/>
                <w:szCs w:val="11"/>
                <w:b w:val="1"/>
                <w:bCs w:val="1"/>
                <w:color w:val="auto"/>
              </w:rPr>
              <w:t>Transaction</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42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42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122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spacing w:after="0"/>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2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2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vMerge w:val="restart"/>
          </w:tcPr>
          <w:p>
            <w:pPr>
              <w:jc w:val="right"/>
              <w:ind w:right="236"/>
              <w:spacing w:after="0"/>
              <w:rPr>
                <w:sz w:val="20"/>
                <w:szCs w:val="20"/>
                <w:color w:val="auto"/>
              </w:rPr>
            </w:pPr>
            <w:r>
              <w:rPr>
                <w:rFonts w:ascii="Times New Roman" w:cs="Times New Roman" w:eastAsia="Times New Roman" w:hAnsi="Times New Roman"/>
                <w:sz w:val="10"/>
                <w:szCs w:val="10"/>
                <w:color w:val="008000"/>
              </w:rPr>
              <w:t>(3)</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35,868</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03/31/2025</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ind w:right="401"/>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12"/>
                <w:szCs w:val="12"/>
                <w:color w:val="auto"/>
              </w:rPr>
            </w:pPr>
          </w:p>
        </w:tc>
        <w:tc>
          <w:tcPr>
            <w:tcW w:w="48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0000FF"/>
              </w:rPr>
              <w:t>35,868</w:t>
            </w:r>
          </w:p>
        </w:tc>
        <w:tc>
          <w:tcPr>
            <w:tcW w:w="7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5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6"/>
              </w:rPr>
              <w:t>common</w:t>
            </w:r>
          </w:p>
        </w:tc>
        <w:tc>
          <w:tcPr>
            <w:tcW w:w="660" w:type="dxa"/>
            <w:vAlign w:val="bottom"/>
            <w:vMerge w:val="continue"/>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35,868</w:t>
            </w:r>
          </w:p>
        </w:tc>
        <w:tc>
          <w:tcPr>
            <w:tcW w:w="640" w:type="dxa"/>
            <w:vAlign w:val="bottom"/>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vMerge w:val="restart"/>
          </w:tcPr>
          <w:p>
            <w:pPr>
              <w:jc w:val="right"/>
              <w:ind w:right="236"/>
              <w:spacing w:after="0"/>
              <w:rPr>
                <w:sz w:val="20"/>
                <w:szCs w:val="20"/>
                <w:color w:val="auto"/>
              </w:rPr>
            </w:pPr>
            <w:r>
              <w:rPr>
                <w:rFonts w:ascii="Times New Roman" w:cs="Times New Roman" w:eastAsia="Times New Roman" w:hAnsi="Times New Roman"/>
                <w:sz w:val="10"/>
                <w:szCs w:val="10"/>
                <w:color w:val="008000"/>
              </w:rPr>
              <w:t>(4)</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67,205</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03/31/2025</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ind w:right="401"/>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12"/>
                <w:szCs w:val="12"/>
                <w:color w:val="auto"/>
              </w:rPr>
            </w:pPr>
          </w:p>
        </w:tc>
        <w:tc>
          <w:tcPr>
            <w:tcW w:w="48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0000FF"/>
              </w:rPr>
              <w:t>67,205</w:t>
            </w:r>
          </w:p>
        </w:tc>
        <w:tc>
          <w:tcPr>
            <w:tcW w:w="7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5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6"/>
              </w:rPr>
              <w:t>common</w:t>
            </w:r>
          </w:p>
        </w:tc>
        <w:tc>
          <w:tcPr>
            <w:tcW w:w="660" w:type="dxa"/>
            <w:vAlign w:val="bottom"/>
            <w:vMerge w:val="continue"/>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134,408</w:t>
            </w:r>
          </w:p>
        </w:tc>
        <w:tc>
          <w:tcPr>
            <w:tcW w:w="640" w:type="dxa"/>
            <w:vAlign w:val="bottom"/>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vMerge w:val="restart"/>
          </w:tcPr>
          <w:p>
            <w:pPr>
              <w:jc w:val="right"/>
              <w:ind w:right="236"/>
              <w:spacing w:after="0"/>
              <w:rPr>
                <w:sz w:val="20"/>
                <w:szCs w:val="20"/>
                <w:color w:val="auto"/>
              </w:rPr>
            </w:pPr>
            <w:r>
              <w:rPr>
                <w:rFonts w:ascii="Times New Roman" w:cs="Times New Roman" w:eastAsia="Times New Roman" w:hAnsi="Times New Roman"/>
                <w:sz w:val="10"/>
                <w:szCs w:val="10"/>
                <w:color w:val="008000"/>
              </w:rPr>
              <w:t>(5)</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489,429</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03/31/2025</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ind w:right="401"/>
              <w:spacing w:after="0" w:line="138" w:lineRule="exact"/>
              <w:rPr>
                <w:sz w:val="20"/>
                <w:szCs w:val="20"/>
                <w:color w:val="auto"/>
              </w:rPr>
            </w:pPr>
            <w:r>
              <w:rPr>
                <w:rFonts w:ascii="Times New Roman" w:cs="Times New Roman" w:eastAsia="Times New Roman" w:hAnsi="Times New Roman"/>
                <w:sz w:val="13"/>
                <w:szCs w:val="13"/>
                <w:color w:val="0000FF"/>
                <w:w w:val="84"/>
              </w:rPr>
              <w:t>A</w:t>
            </w:r>
          </w:p>
        </w:tc>
        <w:tc>
          <w:tcPr>
            <w:tcW w:w="58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489,429</w:t>
            </w:r>
          </w:p>
        </w:tc>
        <w:tc>
          <w:tcPr>
            <w:tcW w:w="4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5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6"/>
              </w:rPr>
              <w:t>common</w:t>
            </w:r>
          </w:p>
        </w:tc>
        <w:tc>
          <w:tcPr>
            <w:tcW w:w="660" w:type="dxa"/>
            <w:vAlign w:val="bottom"/>
            <w:vMerge w:val="continue"/>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489,429</w:t>
            </w:r>
          </w:p>
        </w:tc>
        <w:tc>
          <w:tcPr>
            <w:tcW w:w="640" w:type="dxa"/>
            <w:vAlign w:val="bottom"/>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-2325370</wp:posOffset>
            </wp:positionV>
            <wp:extent cx="28575" cy="2330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33045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40" w:right="24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Class A common stock. This transaction represents the settlement of restricted stock units in shares of Class A common stock on their scheduled vesting date.</w:t>
      </w:r>
    </w:p>
    <w:p>
      <w:pPr>
        <w:spacing w:after="0" w:line="21" w:lineRule="exact"/>
        <w:rPr>
          <w:rFonts w:ascii="Times New Roman" w:cs="Times New Roman" w:eastAsia="Times New Roman" w:hAnsi="Times New Roman"/>
          <w:sz w:val="13"/>
          <w:szCs w:val="13"/>
          <w:color w:val="008000"/>
        </w:rPr>
      </w:pPr>
    </w:p>
    <w:p>
      <w:pPr>
        <w:ind w:left="40" w:right="42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shares held by the Company to satisfy tax withholding requirements on vesting of restricted stock units. The total value of securities withheld was based on a price of $1.84 per share, the closing price of Class A common stock on March 31, 2025.</w:t>
      </w:r>
    </w:p>
    <w:p>
      <w:pPr>
        <w:spacing w:after="0" w:line="21" w:lineRule="exact"/>
        <w:rPr>
          <w:rFonts w:ascii="Times New Roman" w:cs="Times New Roman" w:eastAsia="Times New Roman" w:hAnsi="Times New Roman"/>
          <w:sz w:val="13"/>
          <w:szCs w:val="13"/>
          <w:color w:val="008000"/>
        </w:rPr>
      </w:pPr>
    </w:p>
    <w:p>
      <w:pPr>
        <w:ind w:left="40" w:right="22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2023, the Reporting Person was granted 107,605 restricted stock units ("RSUs") pursuant to the terms of the Issuer's 2022 Omnibus Equity Incentive Plan (the "Plan"). A total of 35,869 RSUs vested on March 31, 2024, a total of 35,868 RSUs vested on March 31, 2025, and a total of 35,868 RSUs are scheduled to vest on March 31, 2026, provided that the Reporting Person continues to provide services to the Issuer through the applicable vesting date. Each restricted stock unit represents the right to receive, at settlement, one share of Class A common stock.</w:t>
      </w:r>
    </w:p>
    <w:p>
      <w:pPr>
        <w:spacing w:after="0" w:line="25" w:lineRule="exact"/>
        <w:rPr>
          <w:rFonts w:ascii="Times New Roman" w:cs="Times New Roman" w:eastAsia="Times New Roman" w:hAnsi="Times New Roman"/>
          <w:sz w:val="13"/>
          <w:szCs w:val="13"/>
          <w:color w:val="008000"/>
        </w:rPr>
      </w:pPr>
    </w:p>
    <w:p>
      <w:pPr>
        <w:ind w:left="40" w:right="18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2024, the Reporting Person was granted 201,613 RSUs pursuant to the Plan. A total of 67,205 RSUs vested on March 31, 2025, a total of 67,204 RSUs are scheduled to vest on March 31, 2026, and a total of 67,204 RSUs are scheduled to vest on March 31, 2027, provided that the Reporting Person continues to provide services to the Issuer through the applicable vesting date. Each restricted stock unit represents the right to receive, at settlement, one share of Class A common stock.</w:t>
      </w:r>
    </w:p>
    <w:p>
      <w:pPr>
        <w:spacing w:after="0" w:line="25" w:lineRule="exact"/>
        <w:rPr>
          <w:rFonts w:ascii="Times New Roman" w:cs="Times New Roman" w:eastAsia="Times New Roman" w:hAnsi="Times New Roman"/>
          <w:sz w:val="13"/>
          <w:szCs w:val="13"/>
          <w:color w:val="008000"/>
        </w:rPr>
      </w:pPr>
    </w:p>
    <w:p>
      <w:pPr>
        <w:ind w:left="40" w:right="48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2025, the Reporting Person was granted 489,429 RSUs pursuant to the Plan. A total of 163,143 RSUs are scheduled to vest on March 31, 2026, a total of 163,143 RSUs are scheduled to vest on March 31, 2027, and a total of 163,143 RSUs are scheduled to vest on March 31, 2028, provided that the Reporting Person continues to provide services to the Issuer through the applicable vesting date. Each restricted stock unit represents the right to receive, at settlement, one share of Class A common stock.</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27" w:lineRule="auto"/>
        <w:rPr>
          <w:sz w:val="20"/>
          <w:szCs w:val="20"/>
          <w:color w:val="auto"/>
        </w:rPr>
      </w:pPr>
      <w:r>
        <w:rPr>
          <w:rFonts w:ascii="Times New Roman" w:cs="Times New Roman" w:eastAsia="Times New Roman" w:hAnsi="Times New Roman"/>
          <w:sz w:val="16"/>
          <w:szCs w:val="16"/>
          <w:color w:val="0000FF"/>
        </w:rPr>
        <w:t xml:space="preserve">/s/ John Coghlin as Attorney-in- </w:t>
      </w:r>
      <w:r>
        <w:rPr>
          <w:rFonts w:ascii="Times New Roman" w:cs="Times New Roman" w:eastAsia="Times New Roman" w:hAnsi="Times New Roman"/>
          <w:sz w:val="32"/>
          <w:szCs w:val="32"/>
          <w:color w:val="0000FF"/>
          <w:vertAlign w:val="subscript"/>
        </w:rPr>
        <w:t>04/02/2025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-26035</wp:posOffset>
            </wp:positionV>
            <wp:extent cx="13360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60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-15875</wp:posOffset>
            </wp:positionV>
            <wp:extent cx="178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78435" cy="8255"/>
                    </a:xfrm>
                    <a:prstGeom prst="rect">
                      <a:avLst/>
                    </a:prstGeom>
                    <a:noFill/>
                  </pic:spPr>
                </pic:pic>
              </a:graphicData>
            </a:graphic>
          </wp:anchor>
        </w:drawing>
        <w:drawing>
          <wp:anchor simplePos="0" relativeHeight="251657728" behindDoc="1" locked="0" layoutInCell="0" allowOverlap="1">
            <wp:simplePos x="0" y="0"/>
            <wp:positionH relativeFrom="column">
              <wp:posOffset>5584190</wp:posOffset>
            </wp:positionH>
            <wp:positionV relativeFrom="paragraph">
              <wp:posOffset>-79375</wp:posOffset>
            </wp:positionV>
            <wp:extent cx="472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2440" cy="8255"/>
                    </a:xfrm>
                    <a:prstGeom prst="rect">
                      <a:avLst/>
                    </a:prstGeom>
                    <a:noFill/>
                  </pic:spPr>
                </pic:pic>
              </a:graphicData>
            </a:graphic>
          </wp:anchor>
        </w:drawing>
      </w:r>
    </w:p>
    <w:p>
      <w:pPr>
        <w:spacing w:after="0" w:line="29"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40" w:right="3800" w:hanging="2"/>
        <w:spacing w:after="0" w:line="327"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50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27035" TargetMode="External"/><Relationship Id="rId14"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2025-04-02T19:41:45Z</dcterms:created>
  <dcterms:modified xsi:type="dcterms:W3CDTF">2025-04-02T19:41:45Z</dcterms:modified>
</cp:coreProperties>
</file>