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22, 2022</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2" w:lineRule="exact"/>
        <w:rPr>
          <w:sz w:val="24"/>
          <w:szCs w:val="24"/>
          <w:color w:val="auto"/>
        </w:rPr>
      </w:pPr>
    </w:p>
    <w:p>
      <w:pPr>
        <w:ind w:left="700" w:hanging="449"/>
        <w:spacing w:after="0"/>
        <w:tabs>
          <w:tab w:leader="none" w:pos="70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sz w:val="24"/>
          <w:szCs w:val="24"/>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720"/>
          </w:cols>
          <w:pgMar w:left="320" w:top="1251" w:right="859" w:bottom="1440" w:gutter="0" w:footer="0" w:header="0"/>
        </w:sectPr>
      </w:pPr>
    </w:p>
    <w:p>
      <w:pPr>
        <w:spacing w:after="0" w:line="293"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p>
      <w:pPr>
        <w:jc w:val="center"/>
        <w:ind w:left="120"/>
        <w:spacing w:after="0"/>
        <w:rPr>
          <w:sz w:val="20"/>
          <w:szCs w:val="20"/>
          <w:color w:val="auto"/>
        </w:rPr>
      </w:pPr>
      <w:r>
        <w:rPr>
          <w:rFonts w:ascii="Arial" w:cs="Arial" w:eastAsia="Arial" w:hAnsi="Arial"/>
          <w:sz w:val="18"/>
          <w:szCs w:val="18"/>
          <w:b w:val="1"/>
          <w:bCs w:val="1"/>
          <w:u w:val="single" w:color="auto"/>
          <w:color w:val="auto"/>
        </w:rPr>
        <w:t>Title of each class</w:t>
      </w:r>
    </w:p>
    <w:p>
      <w:pPr>
        <w:spacing w:after="0" w:line="67" w:lineRule="exact"/>
        <w:rPr>
          <w:sz w:val="24"/>
          <w:szCs w:val="24"/>
          <w:color w:val="auto"/>
        </w:rPr>
      </w:pPr>
    </w:p>
    <w:p>
      <w:pPr>
        <w:jc w:val="center"/>
        <w:ind w:left="120"/>
        <w:spacing w:after="0"/>
        <w:rPr>
          <w:sz w:val="20"/>
          <w:szCs w:val="20"/>
          <w:color w:val="auto"/>
        </w:rPr>
      </w:pPr>
      <w:r>
        <w:rPr>
          <w:rFonts w:ascii="Arial" w:cs="Arial" w:eastAsia="Arial" w:hAnsi="Arial"/>
          <w:sz w:val="18"/>
          <w:szCs w:val="18"/>
          <w:color w:val="auto"/>
        </w:rPr>
        <w:t>Class A Common Stock, par value $.0001 per share</w:t>
      </w:r>
    </w:p>
    <w:p>
      <w:pPr>
        <w:spacing w:after="0" w:line="77" w:lineRule="exact"/>
        <w:rPr>
          <w:sz w:val="24"/>
          <w:szCs w:val="24"/>
          <w:color w:val="auto"/>
        </w:rPr>
      </w:pPr>
    </w:p>
    <w:p>
      <w:pPr>
        <w:ind w:left="20"/>
        <w:spacing w:after="0" w:line="277" w:lineRule="auto"/>
        <w:rPr>
          <w:sz w:val="20"/>
          <w:szCs w:val="20"/>
          <w:color w:val="auto"/>
        </w:rPr>
      </w:pPr>
      <w:r>
        <w:rPr>
          <w:rFonts w:ascii="Arial" w:cs="Arial" w:eastAsia="Arial" w:hAnsi="Arial"/>
          <w:sz w:val="18"/>
          <w:szCs w:val="18"/>
          <w:color w:val="auto"/>
        </w:rPr>
        <w:t>Warrants, each whole warrant exercisable for one share of 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Trading Symbol(s)</w:t>
      </w:r>
    </w:p>
    <w:p>
      <w:pPr>
        <w:spacing w:after="0" w:line="97" w:lineRule="exact"/>
        <w:rPr>
          <w:sz w:val="24"/>
          <w:szCs w:val="24"/>
          <w:color w:val="auto"/>
        </w:rPr>
      </w:pPr>
    </w:p>
    <w:p>
      <w:pPr>
        <w:ind w:left="700"/>
        <w:spacing w:after="0"/>
        <w:rPr>
          <w:sz w:val="20"/>
          <w:szCs w:val="20"/>
          <w:color w:val="auto"/>
        </w:rPr>
      </w:pPr>
      <w:r>
        <w:rPr>
          <w:rFonts w:ascii="Arial" w:cs="Arial" w:eastAsia="Arial" w:hAnsi="Arial"/>
          <w:sz w:val="18"/>
          <w:szCs w:val="18"/>
          <w:color w:val="auto"/>
        </w:rPr>
        <w:t>OPAL</w:t>
      </w:r>
    </w:p>
    <w:p>
      <w:pPr>
        <w:spacing w:after="0" w:line="185" w:lineRule="exact"/>
        <w:rPr>
          <w:sz w:val="24"/>
          <w:szCs w:val="24"/>
          <w:color w:val="auto"/>
        </w:rPr>
      </w:pPr>
    </w:p>
    <w:p>
      <w:pPr>
        <w:ind w:left="620"/>
        <w:spacing w:after="0"/>
        <w:rPr>
          <w:sz w:val="20"/>
          <w:szCs w:val="20"/>
          <w:color w:val="auto"/>
        </w:rPr>
      </w:pPr>
      <w:r>
        <w:rPr>
          <w:rFonts w:ascii="Arial" w:cs="Arial" w:eastAsia="Arial" w:hAnsi="Arial"/>
          <w:sz w:val="18"/>
          <w:szCs w:val="18"/>
          <w:color w:val="auto"/>
        </w:rPr>
        <w:t>OPALW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20"/>
        <w:spacing w:after="0"/>
        <w:rPr>
          <w:sz w:val="20"/>
          <w:szCs w:val="20"/>
          <w:color w:val="auto"/>
        </w:rPr>
      </w:pPr>
      <w:r>
        <w:rPr>
          <w:rFonts w:ascii="Arial" w:cs="Arial" w:eastAsia="Arial" w:hAnsi="Arial"/>
          <w:sz w:val="15"/>
          <w:szCs w:val="15"/>
          <w:b w:val="1"/>
          <w:bCs w:val="1"/>
          <w:u w:val="single" w:color="auto"/>
          <w:color w:val="auto"/>
        </w:rPr>
        <w:t>Name of each exchange on which registered</w:t>
      </w:r>
    </w:p>
    <w:p>
      <w:pPr>
        <w:spacing w:after="0" w:line="102"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The Nasdaq Stock Market LLC</w:t>
      </w:r>
    </w:p>
    <w:p>
      <w:pPr>
        <w:spacing w:after="0" w:line="18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The Nasdaq Stock Market LLC</w:t>
      </w:r>
    </w:p>
    <w:p>
      <w:pPr>
        <w:spacing w:after="0" w:line="346" w:lineRule="exact"/>
        <w:rPr>
          <w:sz w:val="24"/>
          <w:szCs w:val="24"/>
          <w:color w:val="auto"/>
        </w:rPr>
      </w:pPr>
    </w:p>
    <w:p>
      <w:pPr>
        <w:sectPr>
          <w:pgSz w:w="11900" w:h="16838" w:orient="portrait"/>
          <w:cols w:equalWidth="0" w:num="3">
            <w:col w:w="4640" w:space="120"/>
            <w:col w:w="1780" w:space="720"/>
            <w:col w:w="3460"/>
          </w:cols>
          <w:pgMar w:left="320" w:top="1251" w:right="85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type w:val="continuous"/>
        </w:sectPr>
      </w:pPr>
    </w:p>
    <w:bookmarkStart w:id="1" w:name="page2"/>
    <w:bookmarkEnd w:id="1"/>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2022, OPAL Fuels Inc., a Delaware corporation (the “Company”), issued a press release announcing the closing of the Company’s previously announced exchange offer (the “Offer”) relating to its outstanding (i) public warrants to purchase shares of Class A common stock of the Company, par value $0.0001 per share (the “Class A common stock”), which warrants trade on The Nasdaq Capital Market under the symbol “OPALW”(the “public warrants”), and (ii) private placement warrants to purchase shares of Class A common stock (together with the public warrants, the “warrants”). The Company also announced the closing of the consent solicitation related to the Offer, which solicited consents from holders of the warrants to amend the warrant agreement that governs all of the warrants (such amendment, the “Warrant Amendment”). The Company issued 3,310,189 shares of Class A common stock in exchange for the warrants tendered in the Offer.</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previously announced, the Company exercised its right, in accordance with the terms of the Warrant Amendment, to exchange each warrant that is outstanding upon the closing of the Offer for 0.225 shares of Class A common stock per warrant (the “Post-Offer Exchange”). The Company fixed the date for the Post-Offer Exchange as December 23, 2022. A copy of the press release is attached as Exhibit 99.1 and is incorporated by reference herein.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Current Report on Form 8-K contains forward-looking statements within the meaning of the federal securities laws, including statements regarding the expected acceptance by the Company of all validly tendered warrants for exchange, the closing of the Offer and Consent Solicitation, and the consummation of the Post-Offer Exchange.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Registration Statement on Form S-4, filed November 18, 2022, as such factors may be updated from time to time in the Company’s periodic filings with the SEC, which are accessible on the SEC’s website at www.sec.gov.</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0000FF"/>
              </w:rPr>
              <w:t>Press release issued by OPAL Fuels Inc., dated December 22, 2022.</w:t>
            </w: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r>
      <w:tr>
        <w:trPr>
          <w:trHeight w:val="304"/>
        </w:trPr>
        <w:tc>
          <w:tcPr>
            <w:tcW w:w="224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33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December 22, 2022</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45920"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301" w:lineRule="exact"/>
        <w:rPr>
          <w:sz w:val="20"/>
          <w:szCs w:val="20"/>
          <w:color w:val="auto"/>
        </w:rPr>
      </w:pPr>
    </w:p>
    <w:p>
      <w:pPr>
        <w:jc w:val="center"/>
        <w:spacing w:after="0" w:line="301" w:lineRule="auto"/>
        <w:rPr>
          <w:sz w:val="20"/>
          <w:szCs w:val="20"/>
          <w:color w:val="auto"/>
        </w:rPr>
      </w:pPr>
      <w:r>
        <w:rPr>
          <w:rFonts w:ascii="Arial" w:cs="Arial" w:eastAsia="Arial" w:hAnsi="Arial"/>
          <w:sz w:val="29"/>
          <w:szCs w:val="29"/>
          <w:b w:val="1"/>
          <w:bCs w:val="1"/>
          <w:color w:val="auto"/>
        </w:rPr>
        <w:t>OPAL Fuels Inc. Announces Successful Completion of Exchange Offer and Consent Solicitation Relating to Warrants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WHITE PLAINS, N.Y. – (December 22, 2022) – OPAL Fuels Inc. (“OPAL Fuels” or the “Company”) (Nasdaq: OPAL), a leading vertically integrated producer and distributor of renewable natural gas, today announced the completion of its previously disclosed exchange offer (the “Offer”) and consent solicitation (the “Consent Solicitation”) relating to (i) public warrants to purchase shares of Class A common stock of the Company, par value $0.0001 per share (the “Class A common stock”), which warrants traded on The Nasdaq Capital Market under the symbol “OPALW” (the “public warrants”), and (ii) private placement warrants to purchase shares of Class A common stock (the “private placement warrants” and, together with the public warrants, the “warrants”). The Company issued approximately 3,310,189 shares of Class A common stock in exchange for the warrants tendered in the Offer.</w:t>
      </w:r>
    </w:p>
    <w:p>
      <w:pPr>
        <w:spacing w:after="0" w:line="205"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The Company and Continental Stock Transfer &amp; Trust Company have entered into the related amendment to the warrant agreement governing the warrants (the “Warrant Amendment”), dated December 21, 2022. Pursuant to the Warrant Amendment, the Company exercised its right to exchange each warrant that was outstanding at the closing of the Offer for 0.225 shares of Class A common stock per warrant, which is a ratio 10% less than the exchange ratio applicable to the Offer (the “Post-Offer Exchange”). The Company has fixed the date for the Post-Offer Exchange as December 23, 2022.</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As a result of the completion of the Offer and the Post-Offer Exchange, there will not be any outstanding warrants. Accordingly, the public warrants will be suspended from trading on the Nasdaq and will be delisted upon completion of the Post-Offer Exchange. The shares of Class A common stock will continue to be listed and trade on the Nasdaq under the symbol “OPAL.” Following completion of the Offer, there are approximately 28,981,579 shares of Class A common stock outstanding (an increase of approximately 12.9% from prior to the closing of the Offer) and following completion of the Post-Offer Exchange there will be approximately 29,477,870 shares of Class A common stock outstanding (an increase of approximately 14.8% from prior to the closing of the Offer and the Post-Offer Exchange).</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engaged BofA Securities as the dealer manager for the Offer and Consent Solicitation, D.F. King &amp; Co., Inc. as the information agent for the Offer and Consent Solicitation, and Continental Stock Transfer &amp; Trust Company served as the exchange agent for the Offer and Consent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OPAL Fuels Inc.</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21"/>
          <w:szCs w:val="21"/>
          <w:u w:val="single" w:color="auto"/>
          <w:color w:val="0000FF"/>
        </w:rPr>
        <w:t>OPAL Fuels Inc.</w:t>
      </w:r>
      <w:r>
        <w:rPr>
          <w:rFonts w:ascii="Arial" w:cs="Arial" w:eastAsia="Arial" w:hAnsi="Arial"/>
          <w:sz w:val="21"/>
          <w:szCs w:val="21"/>
          <w:color w:val="0000FF"/>
        </w:rPr>
        <w:t xml:space="preserve"> </w:t>
      </w:r>
      <w:r>
        <w:rPr>
          <w:rFonts w:ascii="Arial" w:cs="Arial" w:eastAsia="Arial" w:hAnsi="Arial"/>
          <w:sz w:val="21"/>
          <w:szCs w:val="21"/>
          <w:color w:val="000000"/>
        </w:rPr>
        <w:t>(Nasdaq: OPAL) is a leading vertically integrated renewable fuels platform involved in the production and</w:t>
      </w:r>
      <w:r>
        <w:rPr>
          <w:rFonts w:ascii="Arial" w:cs="Arial" w:eastAsia="Arial" w:hAnsi="Arial"/>
          <w:sz w:val="21"/>
          <w:szCs w:val="21"/>
          <w:color w:val="0000FF"/>
        </w:rPr>
        <w:t xml:space="preserve"> </w:t>
      </w:r>
      <w:r>
        <w:rPr>
          <w:rFonts w:ascii="Arial" w:cs="Arial" w:eastAsia="Arial" w:hAnsi="Arial"/>
          <w:sz w:val="21"/>
          <w:szCs w:val="21"/>
          <w:color w:val="000000"/>
        </w:rPr>
        <w:t>distribution of renewable natural gas (“RNG”) for the heavy-duty truck market. RNG is a proven low-carbon fuel that is rapidly decarbonizing the transportation industry now while also significantly reducing fuel costs for fleet owners. OPAL Fuels captures harmful methane emissions at the source and recycles the trapped energy into a commercially viable, lower-cost alternative to diesel fuel. The Company also develops, constructs, and services RNG and hydrogen fueling stations. As a producer and distributor of carbon-reducing fuel for heavy-duty truck fleets for more than a decade, OPAL Fuels delivers complete renewable solutions to customers and production partners.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quarterly report on Form 10-Q,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Disclaimer</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nor shall there be any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343" w:lineRule="auto"/>
        <w:rPr>
          <w:sz w:val="20"/>
          <w:szCs w:val="20"/>
          <w:color w:val="auto"/>
        </w:rPr>
      </w:pPr>
      <w:r>
        <w:rPr>
          <w:rFonts w:ascii="Arial" w:cs="Arial" w:eastAsia="Arial" w:hAnsi="Arial"/>
          <w:sz w:val="19"/>
          <w:szCs w:val="19"/>
          <w:color w:val="auto"/>
        </w:rPr>
        <w:t>issuance or transfer or securities in any jurisdiction in contravention of applicable law. No offer of securities shall be made except by means of a prospectus meeting the requirements of Section 10 of the Securities Act of 1933, as amended.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04" w:lineRule="auto"/>
        <w:rPr>
          <w:sz w:val="20"/>
          <w:szCs w:val="20"/>
          <w:color w:val="auto"/>
        </w:rPr>
      </w:pPr>
      <w:r>
        <w:rPr>
          <w:rFonts w:ascii="Arial" w:cs="Arial" w:eastAsia="Arial" w:hAnsi="Arial"/>
          <w:sz w:val="22"/>
          <w:szCs w:val="22"/>
          <w:color w:val="auto"/>
        </w:rPr>
        <w:t>Jason Stewart</w:t>
      </w:r>
    </w:p>
    <w:p>
      <w:pPr>
        <w:spacing w:after="0" w:line="205" w:lineRule="auto"/>
        <w:rPr>
          <w:sz w:val="20"/>
          <w:szCs w:val="20"/>
          <w:color w:val="auto"/>
        </w:rPr>
      </w:pPr>
      <w:r>
        <w:rPr>
          <w:rFonts w:ascii="Arial" w:cs="Arial" w:eastAsia="Arial" w:hAnsi="Arial"/>
          <w:sz w:val="22"/>
          <w:szCs w:val="22"/>
          <w:color w:val="auto"/>
        </w:rPr>
        <w:t>Senior Director Public Relations &amp; Marketing</w:t>
      </w:r>
    </w:p>
    <w:p>
      <w:pPr>
        <w:spacing w:after="0" w:line="205" w:lineRule="auto"/>
        <w:rPr>
          <w:sz w:val="20"/>
          <w:szCs w:val="20"/>
          <w:color w:val="auto"/>
        </w:rPr>
      </w:pPr>
      <w:r>
        <w:rPr>
          <w:rFonts w:ascii="Arial" w:cs="Arial" w:eastAsia="Arial" w:hAnsi="Arial"/>
          <w:sz w:val="22"/>
          <w:szCs w:val="22"/>
          <w:color w:val="auto"/>
        </w:rPr>
        <w:t>914-421-5336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jstewart@opalfuels.com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rPr>
          <w:sz w:val="20"/>
          <w:szCs w:val="20"/>
          <w:color w:val="auto"/>
        </w:rPr>
      </w:pPr>
      <w:r>
        <w:rPr>
          <w:rFonts w:ascii="Arial" w:cs="Arial" w:eastAsia="Arial" w:hAnsi="Arial"/>
          <w:sz w:val="22"/>
          <w:szCs w:val="22"/>
          <w:u w:val="single" w:color="auto"/>
          <w:color w:val="0000FF"/>
        </w:rPr>
        <w:t>OPALFuelsPR@icrinc.com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04" w:lineRule="auto"/>
        <w:rPr>
          <w:sz w:val="20"/>
          <w:szCs w:val="20"/>
          <w:color w:val="auto"/>
        </w:rPr>
      </w:pPr>
      <w:r>
        <w:rPr>
          <w:rFonts w:ascii="Arial" w:cs="Arial" w:eastAsia="Arial" w:hAnsi="Arial"/>
          <w:sz w:val="22"/>
          <w:szCs w:val="22"/>
          <w:color w:val="auto"/>
        </w:rPr>
        <w:t>Todd Firestone</w:t>
      </w:r>
    </w:p>
    <w:p>
      <w:pPr>
        <w:spacing w:after="0" w:line="205" w:lineRule="auto"/>
        <w:rPr>
          <w:sz w:val="20"/>
          <w:szCs w:val="20"/>
          <w:color w:val="auto"/>
        </w:rPr>
      </w:pPr>
      <w:r>
        <w:rPr>
          <w:rFonts w:ascii="Arial" w:cs="Arial" w:eastAsia="Arial" w:hAnsi="Arial"/>
          <w:sz w:val="22"/>
          <w:szCs w:val="22"/>
          <w:color w:val="auto"/>
        </w:rPr>
        <w:t>Vice President Investor Relations &amp; Corporate Development</w:t>
      </w:r>
    </w:p>
    <w:p>
      <w:pPr>
        <w:spacing w:after="0" w:line="205" w:lineRule="auto"/>
        <w:rPr>
          <w:sz w:val="20"/>
          <w:szCs w:val="20"/>
          <w:color w:val="auto"/>
        </w:rPr>
      </w:pPr>
      <w:r>
        <w:rPr>
          <w:rFonts w:ascii="Arial" w:cs="Arial" w:eastAsia="Arial" w:hAnsi="Arial"/>
          <w:sz w:val="22"/>
          <w:szCs w:val="22"/>
          <w:color w:val="auto"/>
        </w:rPr>
        <w:t>914-705-4001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investors@opalfuels.com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2022-12-22T15:19:34Z</dcterms:created>
  <dcterms:modified xsi:type="dcterms:W3CDTF">2022-12-22T15:19:34Z</dcterms:modified>
</cp:coreProperties>
</file>