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 w:right="5080"/>
        <w:spacing w:after="0" w:line="242" w:lineRule="auto"/>
        <w:rPr>
          <w:sz w:val="20"/>
          <w:szCs w:val="20"/>
          <w:color w:val="auto"/>
        </w:rPr>
      </w:pPr>
      <w:r>
        <w:rPr>
          <w:rFonts w:ascii="Times New Roman" w:cs="Times New Roman" w:eastAsia="Times New Roman" w:hAnsi="Times New Roman"/>
          <w:sz w:val="136"/>
          <w:szCs w:val="136"/>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Annual Report</w:t>
      </w:r>
    </w:p>
    <w:p>
      <w:pPr>
        <w:spacing w:after="0" w:line="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26"/>
          <w:szCs w:val="126"/>
          <w:b w:val="1"/>
          <w:bCs w:val="1"/>
          <w:color w:val="3B2390"/>
        </w:rPr>
        <w:t>2023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FFFFFF"/>
        </w:rPr>
        <w:t>OPAL Fuels</w:t>
      </w:r>
    </w:p>
    <w:p>
      <w:pPr>
        <w:sectPr>
          <w:pgSz w:w="12240" w:h="15840" w:orient="portrait"/>
          <w:cols w:equalWidth="0" w:num="1">
            <w:col w:w="9900"/>
          </w:cols>
          <w:pgMar w:left="900" w:top="618" w:right="1440" w:bottom="634" w:gutter="0" w:footer="0" w:header="0"/>
        </w:sectPr>
      </w:pP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b w:val="1"/>
          <w:bCs w:val="1"/>
          <w:color w:val="FFFFFF"/>
        </w:rPr>
        <w:t>2023 Summary Annual Report and Form 10-K</w:t>
      </w:r>
    </w:p>
    <w:p>
      <w:pPr>
        <w:sectPr>
          <w:pgSz w:w="12240" w:h="15840" w:orient="portrait"/>
          <w:cols w:equalWidth="0" w:num="1">
            <w:col w:w="9900"/>
          </w:cols>
          <w:pgMar w:left="900" w:top="618" w:right="1440" w:bottom="63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475615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45pt" to="576pt,37.4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501015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45pt" to="576pt,39.45pt" o:allowincell="f" strokecolor="#000000" strokeweight="0.5009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color w:val="auto"/>
        </w:rPr>
        <w:t>6</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5" w:lineRule="exact"/>
        <w:rPr>
          <w:sz w:val="20"/>
          <w:szCs w:val="20"/>
          <w:color w:val="auto"/>
        </w:rPr>
      </w:pPr>
    </w:p>
    <w:p>
      <w:pPr>
        <w:ind w:left="2600" w:right="480" w:hanging="2600"/>
        <w:spacing w:after="0" w:line="283" w:lineRule="auto"/>
        <w:tabs>
          <w:tab w:leader="none" w:pos="209"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_______________ to 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001-40272</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OPAL FUELS INC.</w:t>
      </w:r>
    </w:p>
    <w:p>
      <w:pPr>
        <w:jc w:val="center"/>
        <w:spacing w:after="0" w:line="210" w:lineRule="auto"/>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400" w:type="dxa"/>
            <w:vAlign w:val="bottom"/>
            <w:gridSpan w:val="2"/>
          </w:tcPr>
          <w:p>
            <w:pPr>
              <w:jc w:val="right"/>
              <w:ind w:right="2020"/>
              <w:spacing w:after="0"/>
              <w:rPr>
                <w:sz w:val="20"/>
                <w:szCs w:val="20"/>
                <w:color w:val="auto"/>
              </w:rPr>
            </w:pPr>
            <w:r>
              <w:rPr>
                <w:rFonts w:ascii="Times New Roman" w:cs="Times New Roman" w:eastAsia="Times New Roman" w:hAnsi="Times New Roman"/>
                <w:sz w:val="20"/>
                <w:szCs w:val="20"/>
                <w:b w:val="1"/>
                <w:bCs w:val="1"/>
                <w:color w:val="auto"/>
              </w:rPr>
              <w:t>98-1578357</w:t>
            </w:r>
          </w:p>
        </w:tc>
        <w:tc>
          <w:tcPr>
            <w:tcW w:w="20" w:type="dxa"/>
            <w:vAlign w:val="bottom"/>
          </w:tcPr>
          <w:p>
            <w:pPr>
              <w:spacing w:after="0"/>
              <w:rPr>
                <w:sz w:val="19"/>
                <w:szCs w:val="19"/>
                <w:color w:val="auto"/>
              </w:rPr>
            </w:pPr>
          </w:p>
        </w:tc>
      </w:tr>
      <w:tr>
        <w:trPr>
          <w:trHeight w:val="205"/>
        </w:trPr>
        <w:tc>
          <w:tcPr>
            <w:tcW w:w="52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180" w:type="dxa"/>
            <w:vAlign w:val="bottom"/>
          </w:tcPr>
          <w:p>
            <w:pPr>
              <w:spacing w:after="0"/>
              <w:rPr>
                <w:sz w:val="17"/>
                <w:szCs w:val="17"/>
                <w:color w:val="auto"/>
              </w:rPr>
            </w:pPr>
          </w:p>
        </w:tc>
        <w:tc>
          <w:tcPr>
            <w:tcW w:w="524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23"/>
        </w:trPr>
        <w:tc>
          <w:tcPr>
            <w:tcW w:w="52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180" w:type="dxa"/>
            <w:vAlign w:val="bottom"/>
          </w:tcPr>
          <w:p>
            <w:pPr>
              <w:spacing w:after="0"/>
              <w:rPr>
                <w:sz w:val="19"/>
                <w:szCs w:val="19"/>
                <w:color w:val="auto"/>
              </w:rPr>
            </w:pPr>
          </w:p>
        </w:tc>
        <w:tc>
          <w:tcPr>
            <w:tcW w:w="5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75"/>
        </w:trPr>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One North Lexington Avenue, Suite 1450</w:t>
            </w: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528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8"/>
              </w:rPr>
              <w:t>White Plains, New York</w:t>
            </w:r>
          </w:p>
        </w:tc>
        <w:tc>
          <w:tcPr>
            <w:tcW w:w="180" w:type="dxa"/>
            <w:vAlign w:val="bottom"/>
          </w:tcPr>
          <w:p>
            <w:pPr>
              <w:spacing w:after="0"/>
              <w:rPr>
                <w:sz w:val="18"/>
                <w:szCs w:val="18"/>
                <w:color w:val="auto"/>
              </w:rPr>
            </w:pPr>
          </w:p>
        </w:tc>
        <w:tc>
          <w:tcPr>
            <w:tcW w:w="5220" w:type="dxa"/>
            <w:vAlign w:val="bottom"/>
            <w:tcBorders>
              <w:bottom w:val="single" w:sz="8" w:color="auto"/>
            </w:tcBorders>
          </w:tcPr>
          <w:p>
            <w:pPr>
              <w:jc w:val="right"/>
              <w:ind w:right="2260"/>
              <w:spacing w:after="0" w:line="217" w:lineRule="exact"/>
              <w:rPr>
                <w:sz w:val="20"/>
                <w:szCs w:val="20"/>
                <w:color w:val="auto"/>
              </w:rPr>
            </w:pPr>
            <w:r>
              <w:rPr>
                <w:rFonts w:ascii="Times New Roman" w:cs="Times New Roman" w:eastAsia="Times New Roman" w:hAnsi="Times New Roman"/>
                <w:sz w:val="20"/>
                <w:szCs w:val="20"/>
                <w:b w:val="1"/>
                <w:bCs w:val="1"/>
                <w:color w:val="auto"/>
              </w:rPr>
              <w:t>10601</w:t>
            </w:r>
          </w:p>
        </w:tc>
        <w:tc>
          <w:tcPr>
            <w:tcW w:w="20" w:type="dxa"/>
            <w:vAlign w:val="bottom"/>
          </w:tcPr>
          <w:p>
            <w:pPr>
              <w:spacing w:after="0"/>
              <w:rPr>
                <w:sz w:val="18"/>
                <w:szCs w:val="18"/>
                <w:color w:val="auto"/>
              </w:rPr>
            </w:pPr>
          </w:p>
        </w:tc>
      </w:tr>
      <w:tr>
        <w:trPr>
          <w:trHeight w:val="228"/>
        </w:trPr>
        <w:tc>
          <w:tcPr>
            <w:tcW w:w="52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(Address of principal executive offices)</w:t>
            </w:r>
          </w:p>
        </w:tc>
        <w:tc>
          <w:tcPr>
            <w:tcW w:w="180" w:type="dxa"/>
            <w:vAlign w:val="bottom"/>
          </w:tcPr>
          <w:p>
            <w:pPr>
              <w:spacing w:after="0"/>
              <w:rPr>
                <w:sz w:val="19"/>
                <w:szCs w:val="19"/>
                <w:color w:val="auto"/>
              </w:rPr>
            </w:pPr>
          </w:p>
        </w:tc>
        <w:tc>
          <w:tcPr>
            <w:tcW w:w="52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(Zip Code)</w:t>
            </w:r>
          </w:p>
        </w:tc>
      </w:tr>
    </w:tbl>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r>
        <w:rPr>
          <w:rFonts w:ascii="Times New Roman" w:cs="Times New Roman" w:eastAsia="Times New Roman" w:hAnsi="Times New Roman"/>
          <w:sz w:val="20"/>
          <w:szCs w:val="20"/>
          <w:b w:val="1"/>
          <w:bCs w:val="1"/>
          <w:color w:val="auto"/>
        </w:rPr>
        <w:t>: (914) 705-4000</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Class A Common Stock, par value $0.0001 per share</w:t>
            </w:r>
          </w:p>
        </w:tc>
        <w:tc>
          <w:tcPr>
            <w:tcW w:w="180" w:type="dxa"/>
            <w:vAlign w:val="bottom"/>
          </w:tcPr>
          <w:p>
            <w:pPr>
              <w:spacing w:after="0"/>
              <w:rPr>
                <w:sz w:val="19"/>
                <w:szCs w:val="19"/>
                <w:color w:val="auto"/>
              </w:rPr>
            </w:pPr>
          </w:p>
        </w:tc>
        <w:tc>
          <w:tcPr>
            <w:tcW w:w="20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1"/>
              </w:rPr>
              <w:t>OPAL</w:t>
            </w:r>
          </w:p>
        </w:tc>
        <w:tc>
          <w:tcPr>
            <w:tcW w:w="180" w:type="dxa"/>
            <w:vAlign w:val="bottom"/>
          </w:tcPr>
          <w:p>
            <w:pPr>
              <w:spacing w:after="0"/>
              <w:rPr>
                <w:sz w:val="19"/>
                <w:szCs w:val="19"/>
                <w:color w:val="auto"/>
              </w:rPr>
            </w:pPr>
          </w:p>
        </w:tc>
        <w:tc>
          <w:tcPr>
            <w:tcW w:w="38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07" w:lineRule="exact"/>
        <w:rPr>
          <w:sz w:val="20"/>
          <w:szCs w:val="20"/>
          <w:color w:val="auto"/>
        </w:rPr>
      </w:pPr>
    </w:p>
    <w:p>
      <w:pPr>
        <w:ind w:left="480" w:right="1500"/>
        <w:spacing w:after="0" w:line="30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20" w:lineRule="exact"/>
        <w:rPr>
          <w:sz w:val="20"/>
          <w:szCs w:val="20"/>
          <w:color w:val="auto"/>
        </w:rPr>
      </w:pPr>
    </w:p>
    <w:p>
      <w:pPr>
        <w:jc w:val="both"/>
        <w:ind w:firstLine="480"/>
        <w:spacing w:after="0" w:line="234"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77"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70" w:lineRule="exact"/>
        <w:rPr>
          <w:sz w:val="20"/>
          <w:szCs w:val="20"/>
          <w:color w:val="auto"/>
        </w:rPr>
      </w:pPr>
    </w:p>
    <w:p>
      <w:pPr>
        <w:jc w:val="both"/>
        <w:ind w:firstLine="480"/>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680" w:type="dxa"/>
            <w:vAlign w:val="bottom"/>
          </w:tcPr>
          <w:p>
            <w:pPr>
              <w:jc w:val="right"/>
              <w:ind w:right="995"/>
              <w:spacing w:after="0"/>
              <w:rPr>
                <w:sz w:val="20"/>
                <w:szCs w:val="20"/>
                <w:color w:val="auto"/>
              </w:rPr>
            </w:pPr>
            <w:r>
              <w:rPr>
                <w:rFonts w:ascii="PMingLiU" w:cs="PMingLiU" w:eastAsia="PMingLiU" w:hAnsi="PMingLiU"/>
                <w:sz w:val="17"/>
                <w:szCs w:val="17"/>
                <w:color w:val="auto"/>
              </w:rPr>
              <w:t></w:t>
            </w:r>
          </w:p>
        </w:tc>
        <w:tc>
          <w:tcPr>
            <w:tcW w:w="33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Accelerated filer</w:t>
            </w:r>
          </w:p>
        </w:tc>
        <w:tc>
          <w:tcPr>
            <w:tcW w:w="560" w:type="dxa"/>
            <w:vAlign w:val="bottom"/>
          </w:tcPr>
          <w:p>
            <w:pPr>
              <w:jc w:val="right"/>
              <w:spacing w:after="0"/>
              <w:rPr>
                <w:sz w:val="20"/>
                <w:szCs w:val="20"/>
                <w:color w:val="auto"/>
              </w:rPr>
            </w:pPr>
            <w:r>
              <w:rPr>
                <w:rFonts w:ascii="PMingLiU" w:cs="PMingLiU" w:eastAsia="PMingLiU" w:hAnsi="PMingLiU"/>
                <w:sz w:val="17"/>
                <w:szCs w:val="17"/>
                <w:color w:val="auto"/>
              </w:rPr>
              <w:t>6</w:t>
            </w:r>
          </w:p>
        </w:tc>
      </w:tr>
      <w:tr>
        <w:trPr>
          <w:trHeight w:val="211"/>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680" w:type="dxa"/>
            <w:vAlign w:val="bottom"/>
          </w:tcPr>
          <w:p>
            <w:pPr>
              <w:jc w:val="right"/>
              <w:ind w:right="995"/>
              <w:spacing w:after="0"/>
              <w:rPr>
                <w:sz w:val="20"/>
                <w:szCs w:val="20"/>
                <w:color w:val="auto"/>
              </w:rPr>
            </w:pPr>
            <w:r>
              <w:rPr>
                <w:rFonts w:ascii="PMingLiU" w:cs="PMingLiU" w:eastAsia="PMingLiU" w:hAnsi="PMingLiU"/>
                <w:sz w:val="17"/>
                <w:szCs w:val="17"/>
                <w:color w:val="auto"/>
              </w:rPr>
              <w:t></w:t>
            </w:r>
          </w:p>
        </w:tc>
        <w:tc>
          <w:tcPr>
            <w:tcW w:w="33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60" w:type="dxa"/>
            <w:vAlign w:val="bottom"/>
          </w:tcPr>
          <w:p>
            <w:pPr>
              <w:jc w:val="right"/>
              <w:spacing w:after="0"/>
              <w:rPr>
                <w:sz w:val="20"/>
                <w:szCs w:val="20"/>
                <w:color w:val="auto"/>
              </w:rPr>
            </w:pPr>
            <w:r>
              <w:rPr>
                <w:rFonts w:ascii="PMingLiU" w:cs="PMingLiU" w:eastAsia="PMingLiU" w:hAnsi="PMingLiU"/>
                <w:sz w:val="17"/>
                <w:szCs w:val="17"/>
                <w:color w:val="auto"/>
              </w:rPr>
              <w:t>6</w:t>
            </w:r>
          </w:p>
        </w:tc>
      </w:tr>
      <w:tr>
        <w:trPr>
          <w:trHeight w:val="211"/>
        </w:trPr>
        <w:tc>
          <w:tcPr>
            <w:tcW w:w="1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60" w:type="dxa"/>
            <w:vAlign w:val="bottom"/>
          </w:tcPr>
          <w:p>
            <w:pPr>
              <w:jc w:val="right"/>
              <w:spacing w:after="0"/>
              <w:rPr>
                <w:sz w:val="20"/>
                <w:szCs w:val="20"/>
                <w:color w:val="auto"/>
              </w:rPr>
            </w:pPr>
            <w:r>
              <w:rPr>
                <w:rFonts w:ascii="PMingLiU" w:cs="PMingLiU" w:eastAsia="PMingLiU" w:hAnsi="PMingLiU"/>
                <w:sz w:val="17"/>
                <w:szCs w:val="17"/>
                <w:color w:val="auto"/>
              </w:rPr>
              <w:t>6</w:t>
            </w:r>
          </w:p>
        </w:tc>
      </w:tr>
    </w:tbl>
    <w:p>
      <w:pPr>
        <w:spacing w:after="0" w:line="61" w:lineRule="exact"/>
        <w:rPr>
          <w:sz w:val="20"/>
          <w:szCs w:val="20"/>
          <w:color w:val="auto"/>
        </w:rPr>
      </w:pPr>
    </w:p>
    <w:p>
      <w:pPr>
        <w:jc w:val="both"/>
        <w:ind w:firstLine="480"/>
        <w:spacing w:after="0" w:line="22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76" w:lineRule="exact"/>
        <w:rPr>
          <w:sz w:val="20"/>
          <w:szCs w:val="20"/>
          <w:color w:val="auto"/>
        </w:rPr>
      </w:pPr>
    </w:p>
    <w:p>
      <w:pPr>
        <w:jc w:val="both"/>
        <w:ind w:firstLine="480"/>
        <w:spacing w:after="0" w:line="27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47" w:lineRule="exact"/>
        <w:rPr>
          <w:sz w:val="20"/>
          <w:szCs w:val="20"/>
          <w:color w:val="auto"/>
        </w:rPr>
      </w:pPr>
    </w:p>
    <w:p>
      <w:pPr>
        <w:jc w:val="both"/>
        <w:ind w:firstLine="480"/>
        <w:spacing w:after="0" w:line="229"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76" w:lineRule="exact"/>
        <w:rPr>
          <w:sz w:val="20"/>
          <w:szCs w:val="20"/>
          <w:color w:val="auto"/>
        </w:rPr>
      </w:pPr>
    </w:p>
    <w:p>
      <w:pPr>
        <w:jc w:val="both"/>
        <w:ind w:firstLine="480"/>
        <w:spacing w:after="0" w:line="229"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auto"/>
        </w:rPr>
        <w:t></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75" w:lineRule="exact"/>
        <w:rPr>
          <w:sz w:val="20"/>
          <w:szCs w:val="20"/>
          <w:color w:val="auto"/>
        </w:rPr>
      </w:pPr>
    </w:p>
    <w:p>
      <w:pPr>
        <w:jc w:val="both"/>
        <w:ind w:firstLine="480"/>
        <w:spacing w:after="0" w:line="239"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on June 30, 2023, the last business day of the registrant’s most recently completed second fiscal quarter, was approximately $159,858,572 based on the closing price of the registrant’s Class A ordinary shares on The Nasdaq Capital Market on that date.</w:t>
      </w:r>
    </w:p>
    <w:p>
      <w:pPr>
        <w:spacing w:after="0" w:line="76" w:lineRule="exact"/>
        <w:rPr>
          <w:sz w:val="20"/>
          <w:szCs w:val="20"/>
          <w:color w:val="auto"/>
        </w:rPr>
      </w:pPr>
    </w:p>
    <w:p>
      <w:pPr>
        <w:jc w:val="both"/>
        <w:ind w:firstLine="480"/>
        <w:spacing w:after="0" w:line="236" w:lineRule="auto"/>
        <w:rPr>
          <w:sz w:val="20"/>
          <w:szCs w:val="20"/>
          <w:color w:val="auto"/>
        </w:rPr>
      </w:pPr>
      <w:r>
        <w:rPr>
          <w:rFonts w:ascii="Times New Roman" w:cs="Times New Roman" w:eastAsia="Times New Roman" w:hAnsi="Times New Roman"/>
          <w:sz w:val="17"/>
          <w:szCs w:val="17"/>
          <w:color w:val="auto"/>
        </w:rPr>
        <w:t>As of March 13, 2024, a total of 28,082,832 shares of Class A common stock, par value $0.0001 per share, 71,500,000 shares of Class B common stock, par value $0.0001 per share and 72,899,037 shares of Class D common stock, par value $0.0001 per share were issued and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pt" to="540pt,6.2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104775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5pt" to="540pt,8.25pt" o:allowincell="f" strokecolor="#000000" strokeweight="1.5pt"/>
            </w:pict>
          </mc:Fallback>
        </mc:AlternateContent>
      </w:r>
    </w:p>
    <w:p>
      <w:pPr>
        <w:sectPr>
          <w:pgSz w:w="12240" w:h="15840" w:orient="portrait"/>
          <w:cols w:equalWidth="0" w:num="1">
            <w:col w:w="10800"/>
          </w:cols>
          <w:pgMar w:left="720" w:top="882" w:right="720" w:bottom="363" w:gutter="0" w:footer="0" w:header="0"/>
        </w:sectPr>
      </w:pPr>
    </w:p>
    <w:bookmarkStart w:id="2" w:name="page3"/>
    <w:bookmarkEnd w:id="2"/>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1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5372100</wp:posOffset>
                </wp:positionH>
                <wp:positionV relativeFrom="paragraph">
                  <wp:posOffset>13970</wp:posOffset>
                </wp:positionV>
                <wp:extent cx="4953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1.1pt" to="462pt,1.1pt" o:allowincell="f" strokecolor="#000000" strokeweight="0.5pt"/>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0" w:lineRule="exact"/>
        <w:rPr>
          <w:sz w:val="20"/>
          <w:szCs w:val="20"/>
          <w:color w:val="auto"/>
        </w:rPr>
      </w:pPr>
    </w:p>
    <w:p>
      <w:pPr>
        <w:spacing w:after="0"/>
        <w:tabs>
          <w:tab w:leader="none" w:pos="1200" w:val="left"/>
          <w:tab w:leader="none" w:pos="8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18</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 .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4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31"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p>
    <w:p>
      <w:pPr>
        <w:ind w:left="14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31"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p>
    <w:p>
      <w:pPr>
        <w:ind w:left="14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1"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73</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auto"/>
        </w:rPr>
        <w:t>73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4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1"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auto"/>
        </w:rPr>
        <w:t>74</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0" w:lineRule="exact"/>
        <w:rPr>
          <w:sz w:val="20"/>
          <w:szCs w:val="20"/>
          <w:color w:val="auto"/>
        </w:rPr>
      </w:pPr>
    </w:p>
    <w:p>
      <w:pPr>
        <w:spacing w:after="0"/>
        <w:tabs>
          <w:tab w:leader="none" w:pos="1200" w:val="left"/>
          <w:tab w:leader="none" w:pos="876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 and Financial Statement Schedules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30" w:lineRule="exact"/>
        <w:rPr>
          <w:sz w:val="20"/>
          <w:szCs w:val="20"/>
          <w:color w:val="auto"/>
        </w:rPr>
      </w:pPr>
    </w:p>
    <w:p>
      <w:pPr>
        <w:ind w:left="1220"/>
        <w:spacing w:after="0"/>
        <w:tabs>
          <w:tab w:leader="none" w:pos="876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79</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References in this Annual Report on Form 10-K (this “Form 10-K” or “Annual Report”) to “we,” “us,” “our,” “OPAL Fuels,” “OPAL,” the “Company” and similar terms all refer to OPAL Fuels Inc. and its subsidiaries, unless otherwise stated or the context otherwise requires.</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A glossary of terms (the “Glossary”) that should be used as a reference when reading this Annual Report can be found immediately prior to Item 1A.</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Capitalized terms that are used in this Annual Report are either defined when they are first used or in the Glossary.</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dollar amounts are stated in United States (“U.S.”) dollars unless otherwise stated.</w:t>
      </w:r>
    </w:p>
    <w:p>
      <w:pPr>
        <w:sectPr>
          <w:pgSz w:w="12240" w:h="15840" w:orient="portrait"/>
          <w:cols w:equalWidth="0" w:num="1">
            <w:col w:w="9380"/>
          </w:cols>
          <w:pgMar w:left="1440" w:top="941" w:right="142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80"/>
          </w:cols>
          <w:pgMar w:left="1440" w:top="941" w:right="1420" w:bottom="41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FORWARD-LOOKING STATEMENTS AND RISK FACTOR SUMMARY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75" w:lineRule="exact"/>
        <w:rPr>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and manage growth profitably, maintain relationships with customers and suppliers and retain key employees;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our principal officers, key employees or directors;</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intense competition and competitive pressures from other companies in the industry in which we operate;</w:t>
      </w:r>
    </w:p>
    <w:p>
      <w:pPr>
        <w:spacing w:after="0" w:line="181" w:lineRule="exact"/>
        <w:rPr>
          <w:rFonts w:ascii="Times New Roman" w:cs="Times New Roman" w:eastAsia="Times New Roman" w:hAnsi="Times New Roman"/>
          <w:sz w:val="19"/>
          <w:szCs w:val="19"/>
          <w:color w:val="auto"/>
        </w:rPr>
      </w:pPr>
    </w:p>
    <w:p>
      <w:pPr>
        <w:jc w:val="both"/>
        <w:ind w:left="960" w:right="20" w:hanging="480"/>
        <w:spacing w:after="0" w:line="246"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spacing w:after="0" w:line="172"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relating to our business, operations and financial performance, including market conditions and global and economic factors beyond our control;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reduction or elimination of government economic incentives to the renewable energy market;</w:t>
      </w:r>
    </w:p>
    <w:p>
      <w:pPr>
        <w:spacing w:after="0" w:line="176" w:lineRule="exact"/>
        <w:rPr>
          <w:rFonts w:ascii="Times New Roman" w:cs="Times New Roman" w:eastAsia="Times New Roman" w:hAnsi="Times New Roman"/>
          <w:sz w:val="20"/>
          <w:szCs w:val="20"/>
          <w:color w:val="auto"/>
        </w:rPr>
      </w:pPr>
    </w:p>
    <w:p>
      <w:pPr>
        <w:jc w:val="both"/>
        <w:ind w:left="960" w:right="20" w:hanging="480"/>
        <w:spacing w:after="0" w:line="249"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on which we operate our LFG and livestock waste projects that generate electricity and (iii) RNG prices for Environmental Attributes, LCFS credits and other incentives;</w:t>
      </w:r>
    </w:p>
    <w:p>
      <w:pPr>
        <w:spacing w:after="0" w:line="168"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identify, acquire, develop and operate renewable projects and fueling stations (“Fueling Stations”);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issue equity or equity-linked securities or obtain or amend debt financing;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renewable energy not being sustained;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of climate change, changing weather patterns and conditions and natural disasters;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legal, tax and regulatory changes;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detailed under the section entitled “Risk Factors.”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OPAL Fuels Inc. (including its subsidiaries, the “Company”, “OPAL”, “we,” “us” or “our”)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harmful methane emissions created by decaying organic waste as opposed to natural gas which is a fossil fuel pumped from the ground. We have participated in the biogas-to-energy industry for over 20 years.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fuel-based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Tax Credits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the U.S. Department of Treasury (the, “Treasury”) and the U.S. Internal Revenue Service (the, “IRS”) proposed regulations regarding Investment Tax Credits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Program</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November 17, 2023, we entered into an At Market Issuance Sales Agreement (the “Sales Agreement”) with each of B. Riley Securities, Inc., Cantor Fitzgerald &amp; Co. and Stifel, Nicolaus &amp; Company, Incorporated (each, an “Agent,” and collectively, the “Agents”) pursuant to which we may issue and sell shares of our Class A common stock having an aggregate offering price of up to $75 million from time to time through the Agents.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issuance and sale of Class A common stock under the Sales Agreement are effected pursuant to the registration statement on Form S-3 (File No. 333-273584) that we filed with the United States Securities and Exchange Commission (the “SEC”) on August 1, 2023 as amended on August 11, 2023, and declared effective by the SEC on September 6, 2023, together with a related prospectus supplement. Sales of our Class A common stock through the Agents may be made by any method that is deemed an “at the market offering” as defined in Rule 415(a)(4) promulgated under the Securities Act of 1933, as amended. We will pay each Agent, upon the sale by such Agent of Class A common stock pursuant to the Sales Agreement, an amount equal to up to 3.0% of the gross proceeds of each such sale of Class A common stock.</w:t>
      </w:r>
    </w:p>
    <w:p>
      <w:pPr>
        <w:sectPr>
          <w:pgSz w:w="12240" w:h="15840" w:orient="portrait"/>
          <w:cols w:equalWidth="0" w:num="1">
            <w:col w:w="9360"/>
          </w:cols>
          <w:pgMar w:left="1440" w:top="941" w:right="1440" w:bottom="348"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941" w:right="1440" w:bottom="348" w:gutter="0" w:footer="0" w:header="0"/>
          <w:type w:val="continuous"/>
        </w:sectPr>
      </w:pPr>
    </w:p>
    <w:bookmarkStart w:id="5" w:name="page6"/>
    <w:bookmarkEnd w:id="5"/>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From the date of execution of the Sales Agreement through December 31, 2023, we issued and sold 90,103 shares of Class A common stock for total proceeds, net of commissions and related costs of $0.4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Sale and Purchase Agreement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October 20, 2023, our wholly-owned subsidiary entered into an Asset Purchase and Sale Agreement (for the purposes of this paragraph, the “Agreement”) with Washington Gas Light Company (“WGL”). The subsidiary is currently constructing a production facility at the Prince William County landfill located in Manassas, Virginia,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is on or prior to October 20, 2024. As of December 31, 2023, we have recorded capital expenditure of $1.8 million which is included in its Property, Plant and Equipment on our consolidated balance sheet.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D Common Stock Exchange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12, 2024, Fortistar, through its subsidiary OPAL Holdco, converted 71,500,000 shares of Class D common stock of the Company held by it, each of which is entitled to five votes per share on all matters on which stockholders generally are entitled to vote, for an equal number of shares of newly issued Class B common stock, each of which is entitled to one vote per share on such matters. The share conversion had no effect on the economic interest in the Company held by Fortistar or OPAL Holdco. Fortistar converted such shares in order that the Company’s Class A common stock would become eligible for inclusion in certain stock market indices, on which many broad-based mutual funds and exchange-traded index funds are based. There can be no assurance that the Company’s Class A common stock will be included in any stock market index as a result of the share conversion, or that if the Company’s Class A common stock is included in any such index, that the price per share of the Company’s Class A common stock will be positively affected.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spacing w:after="0" w:line="175" w:lineRule="exact"/>
        <w:rPr>
          <w:sz w:val="20"/>
          <w:szCs w:val="20"/>
          <w:color w:val="auto"/>
        </w:rPr>
      </w:pPr>
    </w:p>
    <w:p>
      <w:pPr>
        <w:jc w:val="both"/>
        <w:ind w:left="960" w:hanging="480"/>
        <w:spacing w:after="0" w:line="249"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Promoting the reduction of methane and GHG emissions and expanding the use of renewable fuels to displace fossil-based fuels: </w:t>
      </w:r>
      <w:r>
        <w:rPr>
          <w:rFonts w:ascii="Times New Roman" w:cs="Times New Roman" w:eastAsia="Times New Roman" w:hAnsi="Times New Roman"/>
          <w:sz w:val="20"/>
          <w:szCs w:val="20"/>
          <w:color w:val="auto"/>
        </w:rPr>
        <w:t>We share the renewable fuel industry’s commitment to providing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20"/>
          <w:szCs w:val="20"/>
          <w:color w:val="auto"/>
        </w:rPr>
        <w:t>Throughout our over 20-years of biogas conversion experience, we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capabilities to new feedstock sources and technologies: </w:t>
      </w:r>
      <w:r>
        <w:rPr>
          <w:rFonts w:ascii="Times New Roman" w:cs="Times New Roman" w:eastAsia="Times New Roman" w:hAnsi="Times New Roman"/>
          <w:sz w:val="20"/>
          <w:szCs w:val="20"/>
          <w:color w:val="auto"/>
        </w:rPr>
        <w:t>We believe we will be 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enter new markets for our products. With our experience and industry expertise, we believe we are well-positioned to take advantage of opportunities to meet the clean energy needs of other industries looking to use renewable energy in their operations both domestic and internationally. We are actively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6" w:name="page7"/>
    <w:bookmarkEnd w:id="6"/>
    <w:p>
      <w:pPr>
        <w:jc w:val="both"/>
        <w:ind w:left="960"/>
        <w:spacing w:after="0" w:line="246" w:lineRule="auto"/>
        <w:rPr>
          <w:sz w:val="20"/>
          <w:szCs w:val="20"/>
          <w:color w:val="auto"/>
        </w:rPr>
      </w:pPr>
      <w:r>
        <w:rPr>
          <w:rFonts w:ascii="Times New Roman" w:cs="Times New Roman" w:eastAsia="Times New Roman" w:hAnsi="Times New Roman"/>
          <w:sz w:val="20"/>
          <w:szCs w:val="20"/>
          <w:color w:val="auto"/>
        </w:rPr>
        <w:t>reviewing opportunities beyond our core LFG and dairy RNG business. Specifically, we intend to diversify our project portfolio beyond landfill biogas through the expansion into additional methane producing assets.</w:t>
      </w:r>
    </w:p>
    <w:p>
      <w:pPr>
        <w:spacing w:after="0" w:line="173" w:lineRule="exact"/>
        <w:rPr>
          <w:sz w:val="20"/>
          <w:szCs w:val="20"/>
          <w:color w:val="auto"/>
        </w:rPr>
      </w:pPr>
    </w:p>
    <w:p>
      <w:pPr>
        <w:jc w:val="both"/>
        <w:ind w:left="960" w:hanging="480"/>
        <w:spacing w:after="0" w:line="264"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9"/>
          <w:szCs w:val="19"/>
          <w:color w:val="auto"/>
        </w:rPr>
        <w:t>We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well positioned to empower our customers to achieve their sustainability and carbon reduction goals, by, for example,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Vertical Integration of Business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combination of Biogas Conversion Projects and Fueling Stations, together with our dispensing, generation, and monetization of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transportation customers. The increasing adoption of RNG as a fuel for transportation use amongst our customers subsequently gives us more opportunities to secure additional gas rights for Biogas Conversion Projects.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and Project Expertise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management team has decades of combined experience in the design, development, construction, maintenance, and operation of Biogas Conversion Projects and Fueling Stations that dispense RNG, as well as the monetization of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their day-to-day activities.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 We apply our experience and knowledge to identify new sources of biogas.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have a network of experienced and creditworthy EPC contractors to perform design, development, procurement and construction services under our supervision.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8" w:right="1440" w:bottom="34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Access to Development Opportunities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many relationships throughout the industry supply chain including technology and equipment providers, feedstock owners and RNG off-takers. We believe the strong reputation we have attained and our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and referrals from existing partners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We actively seek to extend the term of our contracts at project sites and views our positive relationships with the owners and managers of host landfills and dairy farms as a contributing factor to our ability to extend contract terms as they come due.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Large and Diverse Project Portfolio</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 large, technologically optimized Biogas Conversion Project portfolio. Our ability to solve complex project development challenges and integrate such solutions across our entire project portfolio has supported the long-term successful partnerships we have with our Biogas Conversion Project hosts. Because we are able to meet the varying needs of our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EHS and Compliance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our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Nature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Capture and Conversion Business</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2" w:lineRule="exact"/>
        <w:rPr>
          <w:sz w:val="20"/>
          <w:szCs w:val="20"/>
          <w:color w:val="auto"/>
        </w:rPr>
      </w:pPr>
    </w:p>
    <w:p>
      <w:pPr>
        <w:jc w:val="both"/>
        <w:spacing w:after="0" w:line="249" w:lineRule="auto"/>
        <w:tabs>
          <w:tab w:leader="none" w:pos="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power purchase agreements.</w:t>
      </w:r>
    </w:p>
    <w:p>
      <w:pPr>
        <w:spacing w:after="0" w:line="171"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1" w:right="1440" w:bottom="348" w:gutter="0" w:footer="0" w:header="0"/>
          <w:type w:val="continuous"/>
        </w:sectPr>
      </w:pPr>
    </w:p>
    <w:bookmarkStart w:id="8" w:name="page9"/>
    <w:bookmarkEnd w:id="8"/>
    <w:p>
      <w:pPr>
        <w:jc w:val="both"/>
        <w:spacing w:after="0" w:line="248" w:lineRule="auto"/>
        <w:rPr>
          <w:sz w:val="20"/>
          <w:szCs w:val="20"/>
          <w:color w:val="auto"/>
        </w:rPr>
      </w:pPr>
      <w:r>
        <w:rPr>
          <w:rFonts w:ascii="Times New Roman" w:cs="Times New Roman" w:eastAsia="Times New Roman" w:hAnsi="Times New Roman"/>
          <w:sz w:val="20"/>
          <w:szCs w:val="20"/>
          <w:color w:val="auto"/>
        </w:rPr>
        <w:t>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72"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differentiate ourselves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Dispensing and Monetization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2023, we dispensed 35.3 million gasoline gallon equivalent (“GGEs”) of RNG to the transportation market, generating corresponding Environmental Attributes, utilizing our current network of Fueling Stations across the United States.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Hydrogen Fuel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the coming years, we believe we will be able to provide hydrogen fuel to vehicle fleets by constructing and servicing hydrogen fueling stations as well as providing RNG for hydrogen production.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We Generate Revenue</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Overview. </w:t>
      </w:r>
      <w:r>
        <w:rPr>
          <w:rFonts w:ascii="Times New Roman" w:cs="Times New Roman" w:eastAsia="Times New Roman" w:hAnsi="Times New Roman"/>
          <w:sz w:val="19"/>
          <w:szCs w:val="19"/>
          <w:color w:val="auto"/>
        </w:rPr>
        <w:t>Our revenues are driven principally from the sale of Environmental Attributes that are generated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from dispensing RNG as transportation fuel for heavy and medium-duty trucking fleets at Fueling Stations. In addition, we generate revenue from (i) the sale of Renewable Power, (ii) design, development, construction and service of Fueling Stations, and (iii) sales of RNG produced by OPAL and third parties as pipeline quality natural gas.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Environmental Attributes. </w:t>
      </w:r>
      <w:r>
        <w:rPr>
          <w:rFonts w:ascii="Times New Roman" w:cs="Times New Roman" w:eastAsia="Times New Roman" w:hAnsi="Times New Roman"/>
          <w:sz w:val="20"/>
          <w:szCs w:val="20"/>
          <w:color w:val="auto"/>
        </w:rPr>
        <w:t>Currently, our Environmental Attributes revenue stream is primarily comprised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RINs, LCFS credits, ISCC Carbon Credits and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an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20"/>
          <w:szCs w:val="20"/>
          <w:i w:val="1"/>
          <w:iCs w:val="1"/>
          <w:color w:val="auto"/>
        </w:rPr>
        <w:t>“Biogas RNG Market Opportunity”.</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Power Purchase Agreements. </w:t>
      </w:r>
      <w:r>
        <w:rPr>
          <w:rFonts w:ascii="Times New Roman" w:cs="Times New Roman" w:eastAsia="Times New Roman" w:hAnsi="Times New Roman"/>
          <w:sz w:val="20"/>
          <w:szCs w:val="20"/>
          <w:color w:val="auto"/>
        </w:rPr>
        <w:t>Our Renewable Power projects have associated Power Purchase Agreements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Fueling Station Construction and Services. </w:t>
      </w:r>
      <w:r>
        <w:rPr>
          <w:rFonts w:ascii="Times New Roman" w:cs="Times New Roman" w:eastAsia="Times New Roman" w:hAnsi="Times New Roman"/>
          <w:sz w:val="20"/>
          <w:szCs w:val="20"/>
          <w:color w:val="auto"/>
        </w:rPr>
        <w:t>We have significant experience in the engineering, design,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construction and operation of Fueling Stations that dispense RNG. We use a combination of custom designed and off-the-shelf equipment to build these stations. We also perform in-house manufacturing and modularized portable CNG compressor packages for smaller dispensing stations, utilizing our patented technology that allows faster and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8" w:right="1440" w:bottom="348" w:gutter="0" w:footer="0" w:header="0"/>
          <w:type w:val="continuous"/>
        </w:sectPr>
      </w:pPr>
    </w:p>
    <w:bookmarkStart w:id="9" w:name="page10"/>
    <w:bookmarkEnd w:id="9"/>
    <w:p>
      <w:pPr>
        <w:jc w:val="both"/>
        <w:spacing w:after="0" w:line="248" w:lineRule="auto"/>
        <w:rPr>
          <w:sz w:val="20"/>
          <w:szCs w:val="20"/>
          <w:color w:val="auto"/>
        </w:rPr>
      </w:pPr>
      <w:r>
        <w:rPr>
          <w:rFonts w:ascii="Times New Roman" w:cs="Times New Roman" w:eastAsia="Times New Roman" w:hAnsi="Times New Roman"/>
          <w:sz w:val="20"/>
          <w:szCs w:val="20"/>
          <w:color w:val="auto"/>
        </w:rPr>
        <w:t>easier station installations. These portable packages can include defueling panels that allow smaller fleet owners to avoid expensive maintenance shop upgrades. In addition, we also generate revenues by providing operations and maintenance services for customer stations; and by helping our customers obtain federal, state and local tax credits, grants and incentives.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Biogas Conversion Projects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Typically, a Biogas Conversion Project includes two phases: (i) biogas collection, and (ii) processing and purifying biogas.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because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spacing w:after="0" w:line="171"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a process that separates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20"/>
          <w:szCs w:val="20"/>
          <w:color w:val="auto"/>
        </w:rPr>
        <w:t xml:space="preserve"> from the methane molecules. Further treatment of the biogas is often required to remove residual nitrogen and/or oxygen to meet pipeline specifications.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If a biogas capture and conversion project is not within close proximity to a pipeline, the RNG is transported by road using tube trailers to a gas injection point. This is referred to as a virtual pipeline.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Biogas RNG Market Opportunity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Biogas can be collected and processed to remove impurities for use as RNG (a form of high-Btu fuel) and can be injected into existing natural gas pipelines because it is fully interchangeable with fossil fuel-based natural gas. Partially treated biogas can be used directly in heating applications (as a form of medium-Btu fuel) or in the production of Renewable Power. Our current primary sources of biogas are landfills and dairy farms.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Landfill Gas Sources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8" w:right="1440" w:bottom="348" w:gutter="0" w:footer="0" w:header="0"/>
          <w:type w:val="continuous"/>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20"/>
          <w:szCs w:val="20"/>
          <w:color w:val="auto"/>
        </w:rPr>
        <w:t>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20-years. In most cases, the agreements contain renewal provisions. With respect to all of our existing or proposed LFG-to-RNG Biogas Conversion Projects currently in operation or under construction (a total of 14 projects), all but one relates to landfills that are currently open and accepting more waste, which we believe provides a high degree of visibility into the long-term volumes of RNG capable of being generated at each of these projects.</w:t>
      </w:r>
    </w:p>
    <w:p>
      <w:pPr>
        <w:spacing w:after="0" w:line="170"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Using proven biogas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20"/>
          <w:szCs w:val="20"/>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 and exported to international markets.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Livestock Sources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Livestock are the top agricultural source of GHG worldwide, according to the EPA. Livestock waste, particularly from dairies, produces 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71"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view dairy farms as a significant opportunity for us to expand our RNG business. Processing biogas from dairy farms requires similar expertise and capabilities as processing biogas from landfills.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Highly Fragmented Market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LFG market is heavily fragmented, which we believe represents an opportunity for companies like us to find project opportunities. The top players in the industry account for the majority of installed LFG capacity. This market dynamic creates the opportunity for consolidation by well capitalized, experienced market participants such as OPAL.</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LFG has accounted for most of the growth in Biogas Conversion Projects to date, we believe additional economically viable LFG project opportunities exist. According to the EPA LMOP project database, as of July 2023, there were 532 LFG projects in operation in the United States, including 359 operating LFG-to-electricity projects that may be converted to produce RNG as well as 470 additional candidate landfills. Based on EPA data, these 470 candidate landfills have the potential to collect a combined 342.9 million standard cubic feet of LFG per day. Based on our industry experience, technical knowledge and analysis we believe many of these sites are potentially economically viable for RNG project acquisitions.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8" w:right="1440" w:bottom="34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Well-Established Regulatory Framework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RINs are credits used by Obligated Parties for regulatory compliance as part of the RFS program. The RFS program is a federal law introduced in 2005 and updated in 2007 to incorporate renewable content into various transportation fuels. Through the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20"/>
          <w:szCs w:val="20"/>
          <w:i w:val="1"/>
          <w:iCs w:val="1"/>
          <w:color w:val="auto"/>
        </w:rPr>
        <w:t>D3</w:t>
      </w:r>
      <w:r>
        <w:rPr>
          <w:rFonts w:ascii="Times New Roman" w:cs="Times New Roman" w:eastAsia="Times New Roman" w:hAnsi="Times New Roman"/>
          <w:sz w:val="20"/>
          <w:szCs w:val="20"/>
          <w:color w:val="auto"/>
        </w:rPr>
        <w:t>”) RIN, which is currently the highest priced RIN and commands a premium compared to non-cellulosic renewable fuels such as ethanol and renewable diesel.</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began in 2023.</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LCFS programs are attractive because LCFS credits can be additive to RINs. In California, the most established program, the LCFS program is administered by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We are poised to take advantage of these LCFS programs because RNG from dairies has very low or negative CI, and therefore generates valuable credits in states with LCFS programs.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Currently, it is estimated that RNG production in the United States can only cover about 1.5% of the U.S. heavy and medium-duty vehicles fuel market. RNG production is projected to triple by 2027, increasing the RNG industry share to as much as 2.5%. Although it is likely that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Benefits Incentivize Switching to RNG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Projects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2023, we owned and operated 25 projects, eight of which are RNG projects and 17 of which are Renewable Power Projects. As of that date, our RNG projects in operation had a design capacity of 5.2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eight of our current Renewable Power Projects being considered candidates for conversion to RNG projects in the foreseeable future.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1" w:right="1440" w:bottom="348" w:gutter="0" w:footer="0" w:header="0"/>
          <w:type w:val="continuous"/>
        </w:sectPr>
      </w:pPr>
    </w:p>
    <w:bookmarkStart w:id="12" w:name="page13"/>
    <w:bookmarkEnd w:id="12"/>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OPAL’s Share</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of Design</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Expected</w:t>
            </w:r>
          </w:p>
        </w:tc>
      </w:tr>
      <w:tr>
        <w:trPr>
          <w:trHeight w:val="200"/>
        </w:trPr>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Commercial</w:t>
            </w:r>
          </w:p>
        </w:tc>
      </w:tr>
      <w:tr>
        <w:trPr>
          <w:trHeight w:val="200"/>
        </w:trPr>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(MMbtus</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Source of</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w w:val="98"/>
              </w:rPr>
              <w:t>Operation</w:t>
            </w:r>
          </w:p>
        </w:tc>
      </w:tr>
      <w:tr>
        <w:trPr>
          <w:trHeight w:val="219"/>
        </w:trPr>
        <w:tc>
          <w:tcPr>
            <w:tcW w:w="8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60" w:type="dxa"/>
            <w:vAlign w:val="bottom"/>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5"/>
              </w:rPr>
              <w:t>per year)</w:t>
            </w:r>
            <w:r>
              <w:rPr>
                <w:rFonts w:ascii="Times New Roman" w:cs="Times New Roman" w:eastAsia="Times New Roman" w:hAnsi="Times New Roman"/>
                <w:sz w:val="20"/>
                <w:szCs w:val="20"/>
                <w:b w:val="1"/>
                <w:bCs w:val="1"/>
                <w:color w:val="auto"/>
                <w:w w:val="95"/>
                <w:vertAlign w:val="superscript"/>
              </w:rPr>
              <w:t>(1)</w:t>
            </w:r>
          </w:p>
        </w:tc>
        <w:tc>
          <w:tcPr>
            <w:tcW w:w="180" w:type="dxa"/>
            <w:vAlign w:val="bottom"/>
          </w:tcPr>
          <w:p>
            <w:pPr>
              <w:spacing w:after="0"/>
              <w:rPr>
                <w:sz w:val="19"/>
                <w:szCs w:val="19"/>
                <w:color w:val="auto"/>
              </w:rPr>
            </w:pPr>
          </w:p>
        </w:tc>
        <w:tc>
          <w:tcPr>
            <w:tcW w:w="11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Biogas</w:t>
            </w:r>
          </w:p>
        </w:tc>
        <w:tc>
          <w:tcPr>
            <w:tcW w:w="180" w:type="dxa"/>
            <w:vAlign w:val="bottom"/>
          </w:tcPr>
          <w:p>
            <w:pPr>
              <w:spacing w:after="0"/>
              <w:rPr>
                <w:sz w:val="19"/>
                <w:szCs w:val="19"/>
                <w:color w:val="auto"/>
              </w:rPr>
            </w:pPr>
          </w:p>
        </w:tc>
        <w:tc>
          <w:tcPr>
            <w:tcW w:w="112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tcPr>
          <w:p>
            <w:pPr>
              <w:spacing w:after="0"/>
              <w:rPr>
                <w:sz w:val="19"/>
                <w:szCs w:val="19"/>
                <w:color w:val="auto"/>
              </w:rPr>
            </w:pPr>
          </w:p>
        </w:tc>
        <w:tc>
          <w:tcPr>
            <w:tcW w:w="1600" w:type="dxa"/>
            <w:vAlign w:val="bottom"/>
            <w:gridSpan w:val="2"/>
          </w:tcPr>
          <w:p>
            <w:pPr>
              <w:jc w:val="center"/>
              <w:ind w:right="60"/>
              <w:spacing w:after="0" w:line="219" w:lineRule="exact"/>
              <w:rPr>
                <w:sz w:val="20"/>
                <w:szCs w:val="20"/>
                <w:color w:val="auto"/>
              </w:rPr>
            </w:pPr>
            <w:r>
              <w:rPr>
                <w:rFonts w:ascii="Times New Roman" w:cs="Times New Roman" w:eastAsia="Times New Roman" w:hAnsi="Times New Roman"/>
                <w:sz w:val="18"/>
                <w:szCs w:val="18"/>
                <w:b w:val="1"/>
                <w:bCs w:val="1"/>
                <w:color w:val="auto"/>
                <w:w w:val="96"/>
              </w:rPr>
              <w:t>Date</w:t>
            </w:r>
            <w:r>
              <w:rPr>
                <w:rFonts w:ascii="Times New Roman" w:cs="Times New Roman" w:eastAsia="Times New Roman" w:hAnsi="Times New Roman"/>
                <w:sz w:val="20"/>
                <w:szCs w:val="20"/>
                <w:b w:val="1"/>
                <w:bCs w:val="1"/>
                <w:color w:val="auto"/>
                <w:w w:val="96"/>
                <w:vertAlign w:val="superscript"/>
              </w:rPr>
              <w:t>(5)</w:t>
            </w:r>
          </w:p>
        </w:tc>
      </w:tr>
      <w:tr>
        <w:trPr>
          <w:trHeight w:val="238"/>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Greentree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2"/>
                <w:szCs w:val="22"/>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3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8"/>
              </w:rPr>
              <w:t>Imperial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2"/>
                <w:szCs w:val="22"/>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N/A</w:t>
            </w:r>
          </w:p>
        </w:tc>
      </w:tr>
      <w:tr>
        <w:trPr>
          <w:trHeight w:val="297"/>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7"/>
              </w:rPr>
              <w:t>Emerald</w:t>
            </w:r>
            <w:r>
              <w:rPr>
                <w:rFonts w:ascii="Times New Roman" w:cs="Times New Roman" w:eastAsia="Times New Roman" w:hAnsi="Times New Roman"/>
                <w:sz w:val="23"/>
                <w:szCs w:val="23"/>
                <w:color w:val="auto"/>
                <w:w w:val="97"/>
                <w:vertAlign w:val="superscript"/>
              </w:rPr>
              <w:t>(2)(3)</w:t>
            </w:r>
            <w:r>
              <w:rPr>
                <w:rFonts w:ascii="Times New Roman" w:cs="Times New Roman" w:eastAsia="Times New Roman" w:hAnsi="Times New Roman"/>
                <w:sz w:val="20"/>
                <w:szCs w:val="20"/>
                <w:color w:val="auto"/>
                <w:w w:val="97"/>
              </w:rPr>
              <w:t xml:space="preserve">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1,327,140</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N/A</w:t>
            </w:r>
          </w:p>
        </w:tc>
      </w:tr>
      <w:tr>
        <w:trPr>
          <w:trHeight w:val="223"/>
        </w:trPr>
        <w:tc>
          <w:tcPr>
            <w:tcW w:w="366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w w:val="98"/>
              </w:rPr>
              <w:t>New River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19"/>
                <w:szCs w:val="19"/>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N/A</w:t>
            </w:r>
          </w:p>
        </w:tc>
      </w:tr>
      <w:tr>
        <w:trPr>
          <w:trHeight w:val="297"/>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7"/>
              </w:rPr>
              <w:t>Noble Road</w:t>
            </w:r>
            <w:r>
              <w:rPr>
                <w:rFonts w:ascii="Times New Roman" w:cs="Times New Roman" w:eastAsia="Times New Roman" w:hAnsi="Times New Roman"/>
                <w:sz w:val="23"/>
                <w:szCs w:val="23"/>
                <w:color w:val="auto"/>
                <w:w w:val="97"/>
                <w:vertAlign w:val="superscript"/>
              </w:rPr>
              <w:t>(2)</w:t>
            </w:r>
            <w:r>
              <w:rPr>
                <w:rFonts w:ascii="Times New Roman" w:cs="Times New Roman" w:eastAsia="Times New Roman" w:hAnsi="Times New Roman"/>
                <w:sz w:val="20"/>
                <w:szCs w:val="20"/>
                <w:color w:val="auto"/>
                <w:w w:val="97"/>
              </w:rPr>
              <w:t xml:space="preserve">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3660" w:type="dxa"/>
            <w:vAlign w:val="bottom"/>
            <w:gridSpan w:val="2"/>
          </w:tcPr>
          <w:p>
            <w:pPr>
              <w:jc w:val="right"/>
              <w:ind w:right="200"/>
              <w:spacing w:after="0" w:line="259" w:lineRule="exact"/>
              <w:rPr>
                <w:sz w:val="20"/>
                <w:szCs w:val="20"/>
                <w:color w:val="auto"/>
              </w:rPr>
            </w:pPr>
            <w:r>
              <w:rPr>
                <w:rFonts w:ascii="Times New Roman" w:cs="Times New Roman" w:eastAsia="Times New Roman" w:hAnsi="Times New Roman"/>
                <w:sz w:val="20"/>
                <w:szCs w:val="20"/>
                <w:color w:val="auto"/>
                <w:w w:val="98"/>
              </w:rPr>
              <w:t>Pine Bend</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22"/>
                <w:szCs w:val="22"/>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2"/>
                <w:szCs w:val="22"/>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N/A</w:t>
            </w:r>
          </w:p>
        </w:tc>
      </w:tr>
      <w:tr>
        <w:trPr>
          <w:trHeight w:val="260"/>
        </w:trPr>
        <w:tc>
          <w:tcPr>
            <w:tcW w:w="3660" w:type="dxa"/>
            <w:vAlign w:val="bottom"/>
            <w:gridSpan w:val="2"/>
          </w:tcPr>
          <w:p>
            <w:pPr>
              <w:jc w:val="right"/>
              <w:ind w:right="200"/>
              <w:spacing w:after="0" w:line="259" w:lineRule="exact"/>
              <w:rPr>
                <w:sz w:val="20"/>
                <w:szCs w:val="20"/>
                <w:color w:val="auto"/>
              </w:rPr>
            </w:pPr>
            <w:r>
              <w:rPr>
                <w:rFonts w:ascii="Times New Roman" w:cs="Times New Roman" w:eastAsia="Times New Roman" w:hAnsi="Times New Roman"/>
                <w:sz w:val="20"/>
                <w:szCs w:val="20"/>
                <w:color w:val="auto"/>
                <w:w w:val="97"/>
              </w:rPr>
              <w:t>Biotown</w:t>
            </w:r>
            <w:r>
              <w:rPr>
                <w:rFonts w:ascii="Times New Roman" w:cs="Times New Roman" w:eastAsia="Times New Roman" w:hAnsi="Times New Roman"/>
                <w:sz w:val="23"/>
                <w:szCs w:val="23"/>
                <w:color w:val="auto"/>
                <w:w w:val="97"/>
                <w:vertAlign w:val="superscript"/>
              </w:rPr>
              <w:t>(2)</w:t>
            </w:r>
            <w:r>
              <w:rPr>
                <w:rFonts w:ascii="Times New Roman" w:cs="Times New Roman" w:eastAsia="Times New Roman" w:hAnsi="Times New Roman"/>
                <w:sz w:val="20"/>
                <w:szCs w:val="20"/>
                <w:color w:val="auto"/>
                <w:w w:val="97"/>
              </w:rPr>
              <w:t xml:space="preserve">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48,573</w:t>
            </w:r>
          </w:p>
        </w:tc>
        <w:tc>
          <w:tcPr>
            <w:tcW w:w="180" w:type="dxa"/>
            <w:vAlign w:val="bottom"/>
          </w:tcPr>
          <w:p>
            <w:pPr>
              <w:spacing w:after="0"/>
              <w:rPr>
                <w:sz w:val="22"/>
                <w:szCs w:val="22"/>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w:t>
            </w:r>
          </w:p>
        </w:tc>
        <w:tc>
          <w:tcPr>
            <w:tcW w:w="180" w:type="dxa"/>
            <w:vAlign w:val="bottom"/>
          </w:tcPr>
          <w:p>
            <w:pPr>
              <w:spacing w:after="0"/>
              <w:rPr>
                <w:sz w:val="22"/>
                <w:szCs w:val="22"/>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N/A</w:t>
            </w:r>
          </w:p>
        </w:tc>
      </w:tr>
      <w:tr>
        <w:trPr>
          <w:trHeight w:val="225"/>
        </w:trPr>
        <w:tc>
          <w:tcPr>
            <w:tcW w:w="36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w w:val="97"/>
              </w:rPr>
              <w:t>Sunoma</w:t>
            </w:r>
            <w:r>
              <w:rPr>
                <w:rFonts w:ascii="Times New Roman" w:cs="Times New Roman" w:eastAsia="Times New Roman" w:hAnsi="Times New Roman"/>
                <w:sz w:val="23"/>
                <w:szCs w:val="23"/>
                <w:color w:val="auto"/>
                <w:w w:val="97"/>
                <w:vertAlign w:val="superscript"/>
              </w:rPr>
              <w:t>(4)</w:t>
            </w:r>
            <w:r>
              <w:rPr>
                <w:rFonts w:ascii="Times New Roman" w:cs="Times New Roman" w:eastAsia="Times New Roman" w:hAnsi="Times New Roman"/>
                <w:sz w:val="20"/>
                <w:szCs w:val="20"/>
                <w:color w:val="auto"/>
                <w:w w:val="97"/>
              </w:rPr>
              <w:t xml:space="preserve"> . . . . . . . . . . . . . . . . . . . . . . . . . . .</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192,350</w:t>
            </w:r>
          </w:p>
        </w:tc>
        <w:tc>
          <w:tcPr>
            <w:tcW w:w="180" w:type="dxa"/>
            <w:vAlign w:val="bottom"/>
          </w:tcPr>
          <w:p>
            <w:pPr>
              <w:spacing w:after="0"/>
              <w:rPr>
                <w:sz w:val="19"/>
                <w:szCs w:val="19"/>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90%</w:t>
            </w:r>
          </w:p>
        </w:tc>
        <w:tc>
          <w:tcPr>
            <w:tcW w:w="180" w:type="dxa"/>
            <w:vAlign w:val="bottom"/>
          </w:tcPr>
          <w:p>
            <w:pPr>
              <w:spacing w:after="0"/>
              <w:rPr>
                <w:sz w:val="19"/>
                <w:szCs w:val="19"/>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N/A</w:t>
            </w:r>
          </w:p>
        </w:tc>
      </w:tr>
      <w:tr>
        <w:trPr>
          <w:trHeight w:val="238"/>
        </w:trPr>
        <w:tc>
          <w:tcPr>
            <w:tcW w:w="3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5,244,241</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8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Prince William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2"/>
                <w:szCs w:val="22"/>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First quarter 2024</w:t>
            </w:r>
          </w:p>
        </w:tc>
      </w:tr>
      <w:tr>
        <w:trPr>
          <w:trHeight w:val="297"/>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Hilltop</w:t>
            </w:r>
            <w:r>
              <w:rPr>
                <w:rFonts w:ascii="Times New Roman" w:cs="Times New Roman" w:eastAsia="Times New Roman" w:hAnsi="Times New Roman"/>
                <w:sz w:val="23"/>
                <w:szCs w:val="23"/>
                <w:color w:val="auto"/>
                <w:w w:val="98"/>
                <w:vertAlign w:val="superscript"/>
              </w:rPr>
              <w:t>(6)</w:t>
            </w:r>
            <w:r>
              <w:rPr>
                <w:rFonts w:ascii="Times New Roman" w:cs="Times New Roman" w:eastAsia="Times New Roman" w:hAnsi="Times New Roman"/>
                <w:sz w:val="20"/>
                <w:szCs w:val="20"/>
                <w:color w:val="auto"/>
                <w:w w:val="98"/>
              </w:rPr>
              <w:t xml:space="preserve">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Not Determined</w:t>
            </w:r>
          </w:p>
        </w:tc>
      </w:tr>
      <w:tr>
        <w:trPr>
          <w:trHeight w:val="260"/>
        </w:trPr>
        <w:tc>
          <w:tcPr>
            <w:tcW w:w="3660" w:type="dxa"/>
            <w:vAlign w:val="bottom"/>
            <w:gridSpan w:val="2"/>
          </w:tcPr>
          <w:p>
            <w:pPr>
              <w:jc w:val="right"/>
              <w:ind w:right="200"/>
              <w:spacing w:after="0" w:line="259" w:lineRule="exact"/>
              <w:rPr>
                <w:sz w:val="20"/>
                <w:szCs w:val="20"/>
                <w:color w:val="auto"/>
              </w:rPr>
            </w:pPr>
            <w:r>
              <w:rPr>
                <w:rFonts w:ascii="Times New Roman" w:cs="Times New Roman" w:eastAsia="Times New Roman" w:hAnsi="Times New Roman"/>
                <w:sz w:val="20"/>
                <w:szCs w:val="20"/>
                <w:color w:val="auto"/>
                <w:w w:val="96"/>
              </w:rPr>
              <w:t>Vander Schaaf</w:t>
            </w:r>
            <w:r>
              <w:rPr>
                <w:rFonts w:ascii="Times New Roman" w:cs="Times New Roman" w:eastAsia="Times New Roman" w:hAnsi="Times New Roman"/>
                <w:sz w:val="23"/>
                <w:szCs w:val="23"/>
                <w:color w:val="auto"/>
                <w:w w:val="96"/>
                <w:vertAlign w:val="superscript"/>
              </w:rPr>
              <w:t>(6)</w:t>
            </w:r>
            <w:r>
              <w:rPr>
                <w:rFonts w:ascii="Times New Roman" w:cs="Times New Roman" w:eastAsia="Times New Roman" w:hAnsi="Times New Roman"/>
                <w:sz w:val="20"/>
                <w:szCs w:val="20"/>
                <w:color w:val="auto"/>
                <w:w w:val="96"/>
              </w:rPr>
              <w:t xml:space="preserve">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2"/>
                <w:szCs w:val="22"/>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2"/>
                <w:szCs w:val="22"/>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Not Determined</w:t>
            </w:r>
          </w:p>
        </w:tc>
      </w:tr>
      <w:tr>
        <w:trPr>
          <w:trHeight w:val="223"/>
        </w:trPr>
        <w:tc>
          <w:tcPr>
            <w:tcW w:w="366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w w:val="97"/>
              </w:rPr>
              <w:t>Polk County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1,060,000</w:t>
            </w:r>
          </w:p>
        </w:tc>
        <w:tc>
          <w:tcPr>
            <w:tcW w:w="180" w:type="dxa"/>
            <w:vAlign w:val="bottom"/>
          </w:tcPr>
          <w:p>
            <w:pPr>
              <w:spacing w:after="0"/>
              <w:rPr>
                <w:sz w:val="19"/>
                <w:szCs w:val="19"/>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19"/>
                <w:szCs w:val="19"/>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Fourth quarter 2024</w:t>
            </w:r>
          </w:p>
        </w:tc>
      </w:tr>
      <w:tr>
        <w:trPr>
          <w:trHeight w:val="297"/>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Sapphire</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796,284</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Third quarter 2024</w:t>
            </w:r>
          </w:p>
        </w:tc>
      </w:tr>
      <w:tr>
        <w:trPr>
          <w:trHeight w:val="225"/>
        </w:trPr>
        <w:tc>
          <w:tcPr>
            <w:tcW w:w="36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w w:val="97"/>
              </w:rPr>
              <w:t>Atlantic</w:t>
            </w:r>
            <w:r>
              <w:rPr>
                <w:rFonts w:ascii="Times New Roman" w:cs="Times New Roman" w:eastAsia="Times New Roman" w:hAnsi="Times New Roman"/>
                <w:sz w:val="23"/>
                <w:szCs w:val="23"/>
                <w:color w:val="auto"/>
                <w:w w:val="97"/>
                <w:vertAlign w:val="superscript"/>
              </w:rPr>
              <w:t>(2)</w:t>
            </w:r>
            <w:r>
              <w:rPr>
                <w:rFonts w:ascii="Times New Roman" w:cs="Times New Roman" w:eastAsia="Times New Roman" w:hAnsi="Times New Roman"/>
                <w:sz w:val="20"/>
                <w:szCs w:val="20"/>
                <w:color w:val="auto"/>
                <w:w w:val="97"/>
              </w:rPr>
              <w:t xml:space="preserve"> . . . . . . . . . . . . . . . . . . . . . . . . . . .</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331,785</w:t>
            </w:r>
          </w:p>
        </w:tc>
        <w:tc>
          <w:tcPr>
            <w:tcW w:w="180" w:type="dxa"/>
            <w:vAlign w:val="bottom"/>
          </w:tcPr>
          <w:p>
            <w:pPr>
              <w:spacing w:after="0"/>
              <w:rPr>
                <w:sz w:val="19"/>
                <w:szCs w:val="19"/>
                <w:color w:val="auto"/>
              </w:rPr>
            </w:pPr>
          </w:p>
        </w:tc>
        <w:tc>
          <w:tcPr>
            <w:tcW w:w="1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3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19"/>
                <w:szCs w:val="19"/>
                <w:color w:val="auto"/>
              </w:rPr>
            </w:pPr>
          </w:p>
        </w:tc>
        <w:tc>
          <w:tcPr>
            <w:tcW w:w="160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Mid 2025</w:t>
            </w:r>
          </w:p>
        </w:tc>
      </w:tr>
      <w:tr>
        <w:trPr>
          <w:trHeight w:val="239"/>
        </w:trPr>
        <w:tc>
          <w:tcPr>
            <w:tcW w:w="3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4,424,351</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1"/>
        </w:trPr>
        <w:tc>
          <w:tcPr>
            <w:tcW w:w="8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83" w:lineRule="exact"/>
        <w:rPr>
          <w:sz w:val="20"/>
          <w:szCs w:val="20"/>
          <w:color w:val="auto"/>
        </w:rPr>
      </w:pPr>
    </w:p>
    <w:p>
      <w:pPr>
        <w:jc w:val="both"/>
        <w:ind w:left="480" w:hanging="480"/>
        <w:spacing w:after="0" w:line="252"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for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Emerald completed commissioning and commenced operations during the third quarter of 2023.</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see Item 3: Legal Proceedings and Note 17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2" w:right="1440" w:bottom="34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Renewable Power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Renewable Power projects in operation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Nameplate</w:t>
            </w:r>
          </w:p>
        </w:tc>
        <w:tc>
          <w:tcPr>
            <w:tcW w:w="1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 RNG</w:t>
            </w:r>
          </w:p>
        </w:tc>
      </w:tr>
      <w:tr>
        <w:trPr>
          <w:trHeight w:val="200"/>
        </w:trPr>
        <w:tc>
          <w:tcPr>
            <w:tcW w:w="642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capacity</w:t>
            </w:r>
          </w:p>
        </w:tc>
        <w:tc>
          <w:tcPr>
            <w:tcW w:w="18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conversion</w:t>
            </w:r>
          </w:p>
        </w:tc>
      </w:tr>
      <w:tr>
        <w:trPr>
          <w:trHeight w:val="219"/>
        </w:trPr>
        <w:tc>
          <w:tcPr>
            <w:tcW w:w="6420" w:type="dxa"/>
            <w:vAlign w:val="bottom"/>
          </w:tcPr>
          <w:p>
            <w:pPr>
              <w:spacing w:after="0"/>
              <w:rPr>
                <w:sz w:val="19"/>
                <w:szCs w:val="19"/>
                <w:color w:val="auto"/>
              </w:rPr>
            </w:pPr>
          </w:p>
        </w:tc>
        <w:tc>
          <w:tcPr>
            <w:tcW w:w="132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8"/>
              </w:rPr>
              <w:t>(MW per hour)</w:t>
            </w:r>
            <w:r>
              <w:rPr>
                <w:rFonts w:ascii="Times New Roman" w:cs="Times New Roman" w:eastAsia="Times New Roman" w:hAnsi="Times New Roman"/>
                <w:sz w:val="20"/>
                <w:szCs w:val="20"/>
                <w:b w:val="1"/>
                <w:bCs w:val="1"/>
                <w:color w:val="auto"/>
                <w:w w:val="98"/>
                <w:vertAlign w:val="superscript"/>
              </w:rPr>
              <w:t>(1)</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7"/>
              </w:rPr>
              <w:t>candidate</w:t>
            </w:r>
            <w:r>
              <w:rPr>
                <w:rFonts w:ascii="Times New Roman" w:cs="Times New Roman" w:eastAsia="Times New Roman" w:hAnsi="Times New Roman"/>
                <w:sz w:val="20"/>
                <w:szCs w:val="20"/>
                <w:b w:val="1"/>
                <w:bCs w:val="1"/>
                <w:color w:val="auto"/>
                <w:w w:val="97"/>
                <w:vertAlign w:val="superscript"/>
              </w:rPr>
              <w:t>(2)</w:t>
            </w: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operation:</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Sycamore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Lopez .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Miramar Energy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San Marcos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Santa Cruz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San Diego – Miramar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West Covina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Port Charlotte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Taunton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Arbor Hills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23"/>
        </w:trPr>
        <w:tc>
          <w:tcPr>
            <w:tcW w:w="64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C&amp;C . . . . . . . . . . . . . . . . . . . . . . . . . . . . . . . . . . . . . . . . . . . . . . . . . . . . . . . . . .</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9"/>
                <w:szCs w:val="19"/>
                <w:color w:val="auto"/>
              </w:rPr>
            </w:pPr>
          </w:p>
        </w:tc>
        <w:tc>
          <w:tcPr>
            <w:tcW w:w="13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Albany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Concord and CMS.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Pioneer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Prince William I</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20" w:type="dxa"/>
            <w:vAlign w:val="bottom"/>
          </w:tcPr>
          <w:p>
            <w:pPr>
              <w:spacing w:after="0" w:line="259" w:lineRule="exact"/>
              <w:rPr>
                <w:sz w:val="20"/>
                <w:szCs w:val="20"/>
                <w:color w:val="auto"/>
              </w:rPr>
            </w:pPr>
            <w:r>
              <w:rPr>
                <w:rFonts w:ascii="Times New Roman" w:cs="Times New Roman" w:eastAsia="Times New Roman" w:hAnsi="Times New Roman"/>
                <w:sz w:val="20"/>
                <w:szCs w:val="20"/>
                <w:color w:val="auto"/>
              </w:rPr>
              <w:t>Prince William II</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 . . . . . . . . . . . . . . . .</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2"/>
                <w:szCs w:val="22"/>
                <w:color w:val="auto"/>
              </w:rPr>
            </w:pPr>
          </w:p>
        </w:tc>
        <w:tc>
          <w:tcPr>
            <w:tcW w:w="13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3"/>
              </w:rPr>
              <w:t>Yes</w:t>
            </w:r>
          </w:p>
        </w:tc>
      </w:tr>
      <w:tr>
        <w:trPr>
          <w:trHeight w:val="223"/>
        </w:trPr>
        <w:tc>
          <w:tcPr>
            <w:tcW w:w="64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Old Dominion . . . . . . . . . . . . . . . . . . . . . . . . . . . . . . . . . . . . . . . . . . . . . . . . . . .</w:t>
            </w:r>
          </w:p>
        </w:tc>
        <w:tc>
          <w:tcPr>
            <w:tcW w:w="13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19"/>
                <w:szCs w:val="19"/>
                <w:color w:val="auto"/>
              </w:rPr>
            </w:pPr>
          </w:p>
        </w:tc>
        <w:tc>
          <w:tcPr>
            <w:tcW w:w="13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3"/>
              </w:rPr>
              <w:t>Yes</w:t>
            </w:r>
          </w:p>
        </w:tc>
      </w:tr>
      <w:tr>
        <w:trPr>
          <w:trHeight w:val="240"/>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0"/>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construction:</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Fall River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jc w:val="both"/>
        <w:ind w:left="480" w:hanging="480"/>
        <w:spacing w:after="0" w:line="250"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70" w:lineRule="auto"/>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ind w:left="480" w:hanging="480"/>
        <w:spacing w:after="0" w:line="245"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RNG conversion is completed, it is currently contemplated that the Arbor Hills renewable power plant will continue limited operations on a stand-by, emergency basis through March of 2031.</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 William I renewable power plant discontinued operations in Q1 2024.</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 William II discontinued operations in Q1 2024.</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our portfolio and respond to competitive pressures. We have demonstrated a track record of strategic flexibility over our greater than 20-year history which has allowed us to pivot towards projects and markets that we believe deliver optimal returns and shareholder value in response to changes in market, regulatory and competitive pressures.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2" w:right="1440" w:bottom="348" w:gutter="0" w:footer="0" w:header="0"/>
          <w:type w:val="continuous"/>
        </w:sectPr>
      </w:pPr>
    </w:p>
    <w:bookmarkStart w:id="14" w:name="page15"/>
    <w:bookmarkEnd w:id="14"/>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biogas market is highly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projects are subject to federal RFS program regulations, including the Energy Policy Act of 2005 (the “</w:t>
      </w:r>
      <w:r>
        <w:rPr>
          <w:rFonts w:ascii="Times New Roman" w:cs="Times New Roman" w:eastAsia="Times New Roman" w:hAnsi="Times New Roman"/>
          <w:sz w:val="20"/>
          <w:szCs w:val="20"/>
          <w:i w:val="1"/>
          <w:iCs w:val="1"/>
          <w:color w:val="auto"/>
        </w:rPr>
        <w:t>EPACT 2005</w:t>
      </w:r>
      <w:r>
        <w:rPr>
          <w:rFonts w:ascii="Times New Roman" w:cs="Times New Roman" w:eastAsia="Times New Roman" w:hAnsi="Times New Roman"/>
          <w:sz w:val="20"/>
          <w:szCs w:val="20"/>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projects are also subject to state renewable fuel standard regulations. By way of example, the LCFS program in California required producers of petroleum-based fuels to reduce the CI of their products by at least 10% by 2020 and requires a reduction of at least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EPA under the Clean Air Act (the “</w:t>
      </w:r>
      <w:r>
        <w:rPr>
          <w:rFonts w:ascii="Times New Roman" w:cs="Times New Roman" w:eastAsia="Times New Roman" w:hAnsi="Times New Roman"/>
          <w:sz w:val="20"/>
          <w:szCs w:val="20"/>
          <w:i w:val="1"/>
          <w:iCs w:val="1"/>
          <w:color w:val="auto"/>
        </w:rPr>
        <w:t>CAA</w:t>
      </w:r>
      <w:r>
        <w:rPr>
          <w:rFonts w:ascii="Times New Roman" w:cs="Times New Roman" w:eastAsia="Times New Roman" w:hAnsi="Times New Roman"/>
          <w:sz w:val="20"/>
          <w:szCs w:val="20"/>
          <w:color w:val="auto"/>
        </w:rPr>
        <w:t>”) regulates emissions of pollutants to protect the environment and public health. The CAA contains provisions for New Source Review (the “</w:t>
      </w:r>
      <w:r>
        <w:rPr>
          <w:rFonts w:ascii="Times New Roman" w:cs="Times New Roman" w:eastAsia="Times New Roman" w:hAnsi="Times New Roman"/>
          <w:sz w:val="20"/>
          <w:szCs w:val="20"/>
          <w:i w:val="1"/>
          <w:iCs w:val="1"/>
          <w:color w:val="auto"/>
        </w:rPr>
        <w:t>NSR</w:t>
      </w:r>
      <w:r>
        <w:rPr>
          <w:rFonts w:ascii="Times New Roman" w:cs="Times New Roman" w:eastAsia="Times New Roman" w:hAnsi="Times New Roman"/>
          <w:sz w:val="20"/>
          <w:szCs w:val="20"/>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5" w:name="page16"/>
    <w:bookmarkEnd w:id="15"/>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Before an RNG project can be developed, all the Resource Conservation and Recovery (th</w:t>
      </w:r>
      <w:r>
        <w:rPr>
          <w:rFonts w:ascii="Times New Roman" w:cs="Times New Roman" w:eastAsia="Times New Roman" w:hAnsi="Times New Roman"/>
          <w:sz w:val="20"/>
          <w:szCs w:val="20"/>
          <w:i w:val="1"/>
          <w:iCs w:val="1"/>
          <w:color w:val="auto"/>
        </w:rPr>
        <w:t>e “RCRA”)</w:t>
      </w:r>
      <w:r>
        <w:rPr>
          <w:rFonts w:ascii="Times New Roman" w:cs="Times New Roman" w:eastAsia="Times New Roman" w:hAnsi="Times New Roman"/>
          <w:sz w:val="20"/>
          <w:szCs w:val="20"/>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FERC</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8" w:right="1440" w:bottom="348"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color w:val="auto"/>
        </w:rPr>
        <w:t>Qualifying Facilities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Public Utility Regulatory Policies Act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State Utility Regulation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Production and Sale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Regulations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w:t>
      </w:r>
    </w:p>
    <w:p>
      <w:pPr>
        <w:sectPr>
          <w:pgSz w:w="12240" w:h="15840" w:orient="portrait"/>
          <w:cols w:equalWidth="0" w:num="1">
            <w:col w:w="9360"/>
          </w:cols>
          <w:pgMar w:left="1440" w:top="941" w:right="1440" w:bottom="348"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1" w:right="1440" w:bottom="348" w:gutter="0" w:footer="0" w:header="0"/>
          <w:type w:val="continuous"/>
        </w:sectPr>
      </w:pPr>
    </w:p>
    <w:bookmarkStart w:id="17" w:name="page18"/>
    <w:bookmarkEnd w:id="17"/>
    <w:p>
      <w:pPr>
        <w:jc w:val="both"/>
        <w:spacing w:after="0" w:line="249" w:lineRule="auto"/>
        <w:rPr>
          <w:sz w:val="20"/>
          <w:szCs w:val="20"/>
          <w:color w:val="auto"/>
        </w:rPr>
      </w:pPr>
      <w:r>
        <w:rPr>
          <w:rFonts w:ascii="Times New Roman" w:cs="Times New Roman" w:eastAsia="Times New Roman" w:hAnsi="Times New Roman"/>
          <w:sz w:val="20"/>
          <w:szCs w:val="20"/>
          <w:color w:val="auto"/>
        </w:rPr>
        <w:t>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Production Tax Credit (the “PTC”). We view the enactment of the IRA as favorable for the overall business climate for the renewable energy industry. However, there is uncertainty related to the applicability of the IRA to our current and planned projects and the scope of the IRA and its interpretations may change if there is a change in the U.S. administration or if government agencies’ authority to interpret federal law is restricted as a result of the Supreme Court’s review of the Chevron doctrine under which federal government agencies have been awarded board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the Treasury and the IRS proposed regulations regarding ITCs on renewable energy projects where the IRS specified certain types of RNG equipment is ineligible for the ITC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 Credits for certain of our construction costs, this would reduce the amount of ITCs available and thus could have a material adverse effect on our operations and our business.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20"/>
          <w:szCs w:val="20"/>
          <w:i w:val="1"/>
          <w:iCs w:val="1"/>
          <w:color w:val="auto"/>
        </w:rPr>
        <w:t>Business — Legal Proceedings.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corporate headquarters are located in White Plains, New York, where we occupy approximately 13,600 square feet of shared office space with an affiliate of Fortistar pursuant to an Administrative Services Agreement. We believe this office space is adequate for our needs for the immediate future and that, should it be necessary, we can lease additional space to accommodate any future growth.</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8" w:right="1440" w:bottom="348" w:gutter="0" w:footer="0" w:header="0"/>
          <w:type w:val="continuous"/>
        </w:sectPr>
      </w:pPr>
    </w:p>
    <w:bookmarkStart w:id="18" w:name="page19"/>
    <w:bookmarkEnd w:id="18"/>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construction office and maintenance facility is located in Rancho Cucamonga, California, where we occupy approximately 29,935 square feet of combined office space, maintenance shop and loading dock. In March 2022, we entered into an amendment to the lease which extended the lease term to January 2026. We believe the space that we currently lease is adequate for our needs for the immediate future but we may seek additional space to accommodate future growth, which we believe will be available to us on satisfactory terms.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2023, we had approximately 326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values</w:t>
      </w:r>
    </w:p>
    <w:p>
      <w:pPr>
        <w:spacing w:after="0" w:line="170" w:lineRule="exact"/>
        <w:rPr>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SAFETY — </w:t>
      </w:r>
      <w:r>
        <w:rPr>
          <w:rFonts w:ascii="Times New Roman" w:cs="Times New Roman" w:eastAsia="Times New Roman" w:hAnsi="Times New Roman"/>
          <w:sz w:val="20"/>
          <w:szCs w:val="20"/>
          <w:color w:val="auto"/>
        </w:rPr>
        <w:t>Passion for safety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INTEGRITY </w:t>
      </w:r>
      <w:r>
        <w:rPr>
          <w:rFonts w:ascii="Times New Roman" w:cs="Times New Roman" w:eastAsia="Times New Roman" w:hAnsi="Times New Roman"/>
          <w:sz w:val="20"/>
          <w:szCs w:val="20"/>
          <w:color w:val="auto"/>
        </w:rPr>
        <w:t>— Straightforward, open and honest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RELATIONSHIPS </w:t>
      </w:r>
      <w:r>
        <w:rPr>
          <w:rFonts w:ascii="Times New Roman" w:cs="Times New Roman" w:eastAsia="Times New Roman" w:hAnsi="Times New Roman"/>
          <w:sz w:val="20"/>
          <w:szCs w:val="20"/>
          <w:color w:val="auto"/>
        </w:rPr>
        <w:t>— Engaging all stakeholders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EXCELLENCE </w:t>
      </w:r>
      <w:r>
        <w:rPr>
          <w:rFonts w:ascii="Times New Roman" w:cs="Times New Roman" w:eastAsia="Times New Roman" w:hAnsi="Times New Roman"/>
          <w:sz w:val="20"/>
          <w:szCs w:val="20"/>
          <w:color w:val="auto"/>
        </w:rPr>
        <w:t>— Quality and creativity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management and leadership</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Human rights, health and safety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accidents occur. We continuously strive to provide a secure working environment for both our office-based and field operations personnel.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website can be found at </w:t>
      </w:r>
      <w:r>
        <w:rPr>
          <w:rFonts w:ascii="Times New Roman" w:cs="Times New Roman" w:eastAsia="Times New Roman" w:hAnsi="Times New Roman"/>
          <w:sz w:val="20"/>
          <w:szCs w:val="20"/>
          <w:i w:val="1"/>
          <w:iCs w:val="1"/>
          <w:color w:val="auto"/>
        </w:rPr>
        <w:t>www.opalfuels.com</w:t>
      </w:r>
      <w:r>
        <w:rPr>
          <w:rFonts w:ascii="Times New Roman" w:cs="Times New Roman" w:eastAsia="Times New Roman" w:hAnsi="Times New Roman"/>
          <w:sz w:val="20"/>
          <w:szCs w:val="20"/>
          <w:color w:val="auto"/>
        </w:rPr>
        <w:t xml:space="preserve">. We make available, free of charge through our website, our Annual Report on Form 10-K, Quarterly Reports on Form 10-Q, Current Reports on Form 8-K,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10-K or any other filing we make with the SEC. The filings are also available through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10-K.</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48" w:right="1440" w:bottom="348"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are definitions of terms used in this Form 10-K.</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“ArcLight” refers to ArcLight Clean Transition Corp. II, a blank check company incorporated as a Cayman Islands exempt company, and our previous name prior to the Closing.</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“Ares” refers to ARCC Beacon LLC, a Delaware limited liability company.</w:t>
      </w:r>
    </w:p>
    <w:p>
      <w:pPr>
        <w:spacing w:after="0" w:line="179"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i w:val="1"/>
          <w:iCs w:val="1"/>
          <w:color w:val="auto"/>
        </w:rPr>
        <w:t>“BCA” refers to the Business Combination Agreement dated as of December 2, 2021 (as the same has been or may be amended, modified, supplemented or waived from time to time), by and among ArcLight, OPAL Fuels and OPAL Holdco.</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“Business Combination” refers to the transaction contemplated by the BCA.</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“Bylaws” refers to the bylaws of OPAL.</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A common stock” refers to the shares of Class A common stock, par value $0.0001 per share, of OPAL.</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“Class A Units” refers to the Class A Units as defined in the Second A&amp;R LLC Agreement.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B common stock” refers to the shares of Class B common stock, par value $0.0001 per share, of OPAL.</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“Class B Units” refers to the Class B Units as defined in the Second A&amp;R LLC Agreement.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C common stock” refers to the shares of Class C common stock, par value $0.0001 per share, of OPAL.</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D common stock” refers to the shares of Class D common stock, par value $0.0001 per share, of OPAL.</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“Closing” refers to the closing of the Business Combination.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“Closing Date” refers to July 21, 2022.</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“Company”, “we”, “our”, “us” or similar terms refers to OPAL Fuels Inc. individually or on a consolidated basis, as the context may require.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“Exchange Act” refers to the Securities Exchange Act of 1934, 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“FASB” refers to the Financial Accounting Standards Board.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“Fortistar” refers to Fortistar LLC, a Delaware limited liability company.</w:t>
      </w:r>
    </w:p>
    <w:p>
      <w:pPr>
        <w:spacing w:after="0" w:line="17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7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“Hillman” refers to Hillman RNG Investments, LLC, a Delaware limited liability company and an affiliate of Fortistar.</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refers to the Investment Company Act of 1940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“Sarbanes-Oxley Act” refers to the Sarbanes-Oxley Act of 2002.</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“Securities Act” refers to the Securities Act of 1933, 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“Sponsor” refers to ArcLight CTC Holdings II, L.P., a Delaware limited partnership.</w:t>
      </w:r>
    </w:p>
    <w:p>
      <w:pPr>
        <w:sectPr>
          <w:pgSz w:w="12240" w:h="15840" w:orient="portrait"/>
          <w:cols w:equalWidth="0" w:num="1">
            <w:col w:w="9360"/>
          </w:cols>
          <w:pgMar w:left="1440" w:top="941" w:right="1440" w:bottom="348"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1" w:right="1440" w:bottom="348" w:gutter="0" w:footer="0" w:header="0"/>
          <w:type w:val="continuous"/>
        </w:sectPr>
      </w:pPr>
    </w:p>
    <w:bookmarkStart w:id="20" w:name="page21"/>
    <w:bookmarkEnd w:id="20"/>
    <w:p>
      <w:pPr>
        <w:jc w:val="both"/>
        <w:ind w:firstLine="480"/>
        <w:spacing w:after="0" w:line="247" w:lineRule="auto"/>
        <w:rPr>
          <w:sz w:val="20"/>
          <w:szCs w:val="20"/>
          <w:color w:val="auto"/>
        </w:rPr>
      </w:pPr>
      <w:r>
        <w:rPr>
          <w:rFonts w:ascii="Times New Roman" w:cs="Times New Roman" w:eastAsia="Times New Roman" w:hAnsi="Times New Roman"/>
          <w:sz w:val="20"/>
          <w:szCs w:val="20"/>
          <w:i w:val="1"/>
          <w:iCs w:val="1"/>
          <w:color w:val="auto"/>
        </w:rPr>
        <w:t>“Tax Receivable Agreement” refers to the Tax Receivable Agreement, dated July 21, 2022, by and among OPAL Fuels Inc, Opal Holdco LLC and the Parties named therein as included in Exhibit 10.6 to the Current Report on Form 8-K, filed with the SEC on July 27, 2022, as the same may be amended, modified, supplemented or waived from time to time in accordance with its terms.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addition, the following is a glossary of key industry terms used herein:</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“Advanced Clean Trucks Regulation” refers to the rules adopted by the California Air Resources Board on June 25, 2020 requiring the sale of zero-emission heavy-duty trucks.</w:t>
      </w:r>
    </w:p>
    <w:p>
      <w:pPr>
        <w:spacing w:after="0" w:line="17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“Btu” refers to British thermal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“CARB” refers to the California Air Resources Board.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“CI” refers to carbon intensity.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“CNG” refers to compressed natural gas.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20"/>
          <w:szCs w:val="20"/>
          <w:i w:val="1"/>
          <w:iCs w:val="1"/>
          <w:color w:val="auto"/>
        </w:rPr>
        <w:t>” refers to carbon dioxide.</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“D3” refers to cellulosic biofuel with a 60% GHG reduction requirement.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“EHS” refers to environment, health and safety.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“EISA” refers to the Energy Independence and Security Act of 2007.</w:t>
      </w:r>
    </w:p>
    <w:p>
      <w:pPr>
        <w:spacing w:after="0" w:line="179"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 refers to the U.S. Environmental Protection Agency.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“EPACT 2005” refers to the Energy Policy Act of 2005.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“FERC” refers to the U.S. Federal Energy Regulatory Commission.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“GHG” refers to greenhouse gases.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“ISOs” refers to independent system operators.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“LCFS” refers to Low Carbon Fuel Standard or similar types of federal and state programs.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“LFG” refers to landfill gas.</w:t>
      </w:r>
    </w:p>
    <w:p>
      <w:pPr>
        <w:spacing w:after="0" w:line="17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“Obligated Parties” means refiners or importers of gasoline or diesel fuel under the RFS program.</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“QFs” refers to qualifying small power production facilities under the Federal Power Act and the Public Utility Regulatory Policies Act of 1978, as amended</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“RECs” refers to renewable energy credits.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“ISCC Carbon Credits” refers to Environmental Attributes associated with renewable biomethane.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“Renewable Power” refers to electricity generated from renewable sources.</w:t>
      </w:r>
    </w:p>
    <w:p>
      <w:pPr>
        <w:sectPr>
          <w:pgSz w:w="12240" w:h="15840" w:orient="portrait"/>
          <w:cols w:equalWidth="0" w:num="1">
            <w:col w:w="9360"/>
          </w:cols>
          <w:pgMar w:left="1440" w:top="950" w:right="144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50" w:right="1440" w:bottom="348" w:gutter="0" w:footer="0" w:header="0"/>
          <w:type w:val="continuous"/>
        </w:sectPr>
      </w:pPr>
    </w:p>
    <w:bookmarkStart w:id="21" w:name="page22"/>
    <w:bookmarkEnd w:id="21"/>
    <w:p>
      <w:pPr>
        <w:ind w:left="480"/>
        <w:spacing w:after="0"/>
        <w:rPr>
          <w:sz w:val="20"/>
          <w:szCs w:val="20"/>
          <w:color w:val="auto"/>
        </w:rPr>
      </w:pPr>
      <w:r>
        <w:rPr>
          <w:rFonts w:ascii="Times New Roman" w:cs="Times New Roman" w:eastAsia="Times New Roman" w:hAnsi="Times New Roman"/>
          <w:sz w:val="20"/>
          <w:szCs w:val="20"/>
          <w:i w:val="1"/>
          <w:iCs w:val="1"/>
          <w:color w:val="auto"/>
        </w:rPr>
        <w:t>“RFS” refers to the EPA’s Renewable Fuel Standard.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“RINs” refers to Renewable Identification Numbers.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“RNG” refers to renewable natural gas.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“RPS” refers to Renewable Portfolio Standards.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“RTOs” refers to regional transmission organizations.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“RVOs” refers to renewable volume obligations.</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“September 2020 Executive Order” refers to Executive Order N-79-20 issued by the Governor of the State of California in September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Related to Our Third Party Relationships and Government Regulation of Our Business</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do not own any of the biogas project sites from which our Biogas Conversion Projects collect biogas, and therefore we depend on contractual relationships with, and the cooperation of,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our Biogas Conversion Projects facilities, which may have an adverse impact on our business, financial condition and results of operations.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obtain rights to utilize the biogas and the biogas project sites on which our projects operate under contractual arrangements, with the associated biogas rights generally being for fixed terms of 20 years or more, with certain additional renewal options. The gas rights associated with our 31 projects in operation or under construction, two of which include Renewable Power projects that are in the process of conversion to RNG, are due to expire at varying points over the next 25 years. See “Business — Our Projects.” Because the rights we hold in connection with our projects typically include the right to produce electricity generated from Renewable Power, or RNG, but not both,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additional rights necessary in connection with conversion from production of Renewable Power to RNG, we cannot guarantee that this success will continue in the future on commercial terms that are attractive to us or at all, and any failure to do so, or any other disruption in the relationship with any of the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ownership interests in the land subject to the licenses, easements, leases and rights-of-way necessary for the operation of our business may be subject to mortgages securing loans or other liens (such as tax liens) and other easements, lease rights and rights-of-way of third parties (such as leases of mineral rights). As a result, certain of our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1" w:right="1440" w:bottom="348" w:gutter="0" w:footer="0" w:header="0"/>
          <w:type w:val="continuous"/>
        </w:sectPr>
      </w:pPr>
    </w:p>
    <w:bookmarkStart w:id="22" w:name="page23"/>
    <w:bookmarkEnd w:id="22"/>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owners and operators of biogas project sites generally make no warranties to us as to the quality or quantity of gas produced.</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that may affect the quantity and quality of biogas, including, among other things: (i) their ability to perform in accordance with their commitments to third parties (other than us) under agreements and permits; (ii) transportation of source materials,</w:t>
      </w:r>
    </w:p>
    <w:p>
      <w:pPr>
        <w:ind w:left="360" w:hanging="360"/>
        <w:spacing w:after="0" w:line="235"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herd health and labor issues at the dairy farms generating the manure to be processed at our digester facilities;</w:t>
      </w:r>
    </w:p>
    <w:p>
      <w:pPr>
        <w:spacing w:after="0" w:line="17" w:lineRule="exact"/>
        <w:rPr>
          <w:rFonts w:ascii="Times New Roman" w:cs="Times New Roman" w:eastAsia="Times New Roman" w:hAnsi="Times New Roman"/>
          <w:sz w:val="20"/>
          <w:szCs w:val="20"/>
          <w:color w:val="auto"/>
        </w:rPr>
      </w:pPr>
    </w:p>
    <w:p>
      <w:pPr>
        <w:jc w:val="both"/>
        <w:spacing w:after="0" w:line="248"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gas collection issues at landfill projects such as broken pipes, ground water accumulation, inadequate landcover and labor issues, and (v) the particular character and mix of trash received. We cannot guarantee that our production will be free from operational risks, nor can we guarantee the production of a sufficient quantity and quality of biogas from the owners and operators of biogas conversion project sites.</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without consulting with us, including in circumstances where they have a contractual obligation to do so. Such decisions made by the biogas conversion project site owners and operators could impact our ability to produce RNG or Renewable Power and generate the associated Environmental Attributes.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financial condition of the biogas conversion project sites may be affected by conditions and events that are beyond our control. Significant deterioration in the financial condition of any biogas conversion project waste site could cause the biogas conversion project site owners and operators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If we are unable to maintain good relationships with these site owners and operators, or if they take any actions that disrupt or halt production of RNG or Renewable Power, our business, financial condition and results of operations could be materially and adversely affected.</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gas-powered vehicles and to contract with us for the provision of compressed natural gas to these fleets.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are dependent on vehicle and engine manufacturers to succeed in our target RNG fuel dispensing markets, and we have no influence or control over their activities. These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supply chain disruptions, crises or other developments.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ectPr>
          <w:pgSz w:w="12240" w:h="15840" w:orient="portrait"/>
          <w:cols w:equalWidth="0" w:num="1">
            <w:col w:w="9360"/>
          </w:cols>
          <w:pgMar w:left="1440" w:top="951" w:right="1440" w:bottom="348"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51" w:right="1440" w:bottom="348" w:gutter="0" w:footer="0" w:header="0"/>
          <w:type w:val="continuous"/>
        </w:sectPr>
      </w:pPr>
    </w:p>
    <w:bookmarkStart w:id="23" w:name="page24"/>
    <w:bookmarkEnd w:id="23"/>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components manufactured and supplied by third parties and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our production and distribution of RNG and Renewable Power or the generation of related Environmental Attributes or RNG dispensing at Fueling Stations, potentially harming our brand, reputation and growth prospects.</w:t>
      </w:r>
    </w:p>
    <w:p>
      <w:pPr>
        <w:spacing w:after="0" w:line="2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operations are subject to stringent and complex federal, state and local EHS laws and regulations, including those relating to the release, emission or discharge of materials into the air, water and ground, the generation, storage, handling, use, transportation and disposal of hazardous materials and wastes, and the health and safety of our employees and other persons.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These laws and regulations impose numerous obligations applicable to our operations, including the acquisition of permits before construction and operation of our Biogas Conversion Projects and Fueling Stations; the restriction of types, quantities and concentration of materials that can be released into the environment; the limitation or prohibition of our activities on certain lands lying within wilderness, wetlands and other protected areas; the application of specific health and safety criteria addressing worker protection; and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51" w:right="1440" w:bottom="348" w:gutter="0" w:footer="0" w:header="0"/>
          <w:type w:val="continuous"/>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20"/>
          <w:szCs w:val="20"/>
          <w:color w:val="auto"/>
        </w:rPr>
        <w:t>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with respect to production from the non-complying facility, (iv) the imposition of liens, fines, refunds and interest, and/or civil or criminal liability and (v) delays or failures in the development of new Biogas Conversion Projects and Fueling Stations.</w:t>
      </w:r>
    </w:p>
    <w:p>
      <w:pPr>
        <w:spacing w:after="0" w:line="17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EPA annually sets proposed and actual RVOs for the RIN market in accordance with the mandates established by EISA. The EPA’s issuance of timely and sufficient annual RVOs to accommodate the RNG industry’s growing production levels may be needed to stabilize the RIN market. The EPA annually sets proposed RVOs for D3 (cellulosic biofuel with a 60% GHG reduction requirement) RINs in accordance with the mandates established by the EISA. In June 2023, the EPA set RVOs for 2023 through 2025 via a new Set rule.</w:t>
      </w:r>
    </w:p>
    <w:p>
      <w:pPr>
        <w:spacing w:after="0" w:line="172"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There can be no assurance that the EPA will timely set annual RVOs in the future or that the RVOs will continue to increase or be sufficient to satisfy the growing supply of RNG which may be targeted for the U.S. transportation fuel market. The EPA may set RVOs inaccurately or inconsistently, and the manner in which the EPA sets RVOs may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8" w:right="1440" w:bottom="348" w:gutter="0" w:footer="0" w:header="0"/>
          <w:type w:val="continuous"/>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9"/>
          <w:szCs w:val="19"/>
          <w:color w:val="auto"/>
        </w:rPr>
        <w:t>change under legislative or regulatory revisions.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CI of transportation fuel sold and purchased in the state. A CI score is calculated as grams of CO2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If we are unable to sell LCFS credits, it could adversely affect our business.</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ability to generate revenue from sales of RINs and LCFS credits depends on our strict compliance with these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our business is influenced by laws, rules and regulations that require reductions in carbon emissions and/or the use of renewable fuels, such as the programs under which we generate Environmental Credits. These programs and regulations, which encourage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(a) obtaining authorization by FERC pursuant to the Federal Power Act to sell electric energy, capacity and/or ancillary services at market-based rates, (b) acceptance by FERC of a tariff providing for such</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0"/>
          <w:szCs w:val="20"/>
          <w:color w:val="auto"/>
        </w:rPr>
        <w:t>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do not intend to develop, construct or operate electric generating facilities that would require us to apply for and receive MBR Authority from FERC. Nevertheless, if we were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 site owners and operators are also subject to extensive federal, state and local regulations and policies, including permitting requirements. Any failure on their part to comply with any laws, regulations, rules or permits, applicable to them may also adversely affect our business, investments and results of operations.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and are commonly subject to resistance from citizen or other groups and other political pressures, including allegations by such persons that a site is in violation of any applicable permits, laws 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8" w:right="1440" w:bottom="348" w:gutter="0" w:footer="0" w:header="0"/>
          <w:type w:val="continuous"/>
        </w:sectPr>
      </w:pPr>
    </w:p>
    <w:bookmarkStart w:id="27" w:name="page28"/>
    <w:bookmarkEnd w:id="27"/>
    <w:p>
      <w:pPr>
        <w:jc w:val="both"/>
        <w:spacing w:after="0" w:line="246" w:lineRule="auto"/>
        <w:rPr>
          <w:sz w:val="20"/>
          <w:szCs w:val="20"/>
          <w:color w:val="auto"/>
        </w:rPr>
      </w:pPr>
      <w:r>
        <w:rPr>
          <w:rFonts w:ascii="Times New Roman" w:cs="Times New Roman" w:eastAsia="Times New Roman" w:hAnsi="Times New Roman"/>
          <w:sz w:val="20"/>
          <w:szCs w:val="20"/>
          <w:color w:val="auto"/>
        </w:rPr>
        <w:t>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by biogas conversion project site owners and operators to comply with extensive federal, state and local regulations and policies, including permitting requirements, may result in the suspension or cessation of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 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There is also uncertainly if IRA incentives may be reduced or repealed in the future, especially following the 2024 elections. In addition, the timing of when assets are placed in service has in the past and could in the future impact our tax rate. If we experience unexpected delays in this timing, we may not be able to take advantage of ITCs as expected. If we are not able to utilize the ITCs as expected this could have an adverse effect of our financial results.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w:t>
      </w:r>
    </w:p>
    <w:p>
      <w:pPr>
        <w:sectPr>
          <w:pgSz w:w="12240" w:h="15840" w:orient="portrait"/>
          <w:cols w:equalWidth="0" w:num="1">
            <w:col w:w="9360"/>
          </w:cols>
          <w:pgMar w:left="1440" w:top="948" w:right="1440" w:bottom="348"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8" w:right="1440" w:bottom="348" w:gutter="0" w:footer="0" w:header="0"/>
          <w:type w:val="continuous"/>
        </w:sectPr>
      </w:pPr>
    </w:p>
    <w:bookmarkStart w:id="28" w:name="page29"/>
    <w:bookmarkEnd w:id="28"/>
    <w:p>
      <w:pPr>
        <w:jc w:val="both"/>
        <w:spacing w:after="0" w:line="246" w:lineRule="auto"/>
        <w:rPr>
          <w:sz w:val="20"/>
          <w:szCs w:val="20"/>
          <w:color w:val="auto"/>
        </w:rPr>
      </w:pPr>
      <w:r>
        <w:rPr>
          <w:rFonts w:ascii="Times New Roman" w:cs="Times New Roman" w:eastAsia="Times New Roman" w:hAnsi="Times New Roman"/>
          <w:sz w:val="20"/>
          <w:szCs w:val="20"/>
          <w:color w:val="auto"/>
        </w:rPr>
        <w:t>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8" w:right="1440" w:bottom="348" w:gutter="0" w:footer="0" w:header="0"/>
          <w:type w:val="continuous"/>
        </w:sectPr>
      </w:pPr>
    </w:p>
    <w:bookmarkStart w:id="29" w:name="page30"/>
    <w:bookmarkEnd w:id="29"/>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1"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We are dependent on third-party utility companies to provide sufficient utilities including sewer, water, gas and electricity, to sustain our operations and operate our Biogas Conversion Projects. Any major or sustained disruptions in the supply of utilities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24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spacing w:after="0" w:line="25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7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w:t>
      </w:r>
    </w:p>
    <w:p>
      <w:pPr>
        <w:sectPr>
          <w:pgSz w:w="12240" w:h="15840" w:orient="portrait"/>
          <w:cols w:equalWidth="0" w:num="1">
            <w:col w:w="9380"/>
          </w:cols>
          <w:pgMar w:left="1440" w:top="951" w:right="1420" w:bottom="348"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80"/>
          </w:cols>
          <w:pgMar w:left="1440" w:top="951" w:right="1420" w:bottom="348" w:gutter="0" w:footer="0" w:header="0"/>
          <w:type w:val="continuous"/>
        </w:sectPr>
      </w:pPr>
    </w:p>
    <w:bookmarkStart w:id="30" w:name="page31"/>
    <w:bookmarkEnd w:id="30"/>
    <w:p>
      <w:pPr>
        <w:jc w:val="both"/>
        <w:spacing w:after="0" w:line="248" w:lineRule="auto"/>
        <w:rPr>
          <w:sz w:val="20"/>
          <w:szCs w:val="20"/>
          <w:color w:val="auto"/>
        </w:rPr>
      </w:pPr>
      <w:r>
        <w:rPr>
          <w:rFonts w:ascii="Times New Roman" w:cs="Times New Roman" w:eastAsia="Times New Roman" w:hAnsi="Times New Roman"/>
          <w:sz w:val="20"/>
          <w:szCs w:val="20"/>
          <w:color w:val="auto"/>
        </w:rPr>
        <w:t>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2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Risks Related to Our Business</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significant portion of our revenues comes from the sale of Environmental Attributes, which exist because of legal and governmental regulatory requirements. A change in law or in governmental policies concerning renewable fuels, landfill or animal waste site biogas or the sale of Environmental Attributes could be expected to affect the market for, and the pricing of, the Environmental Attributes that we can generate through production at our Biogas Conversion Projects. A reduction in the prices we receive for Environmental Attributes, or a reduction in demand for them, whether through market forces generally, through the actions of market participants generally, or through the consolidation or elimination of participants competing in the market for the purchase and retirement of Environmental Attributes, could have a material adverse effect on our results of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volatility in the price of oil, gasoline, diesel, natural gas, RNG, or Environmental Attribute prices could adversely affect our business.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If the prices of crude oil, gasoline and diesel decline,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8" w:right="1440" w:bottom="348" w:gutter="0" w:footer="0" w:header="0"/>
          <w:type w:val="continuous"/>
        </w:sectPr>
      </w:pPr>
    </w:p>
    <w:bookmarkStart w:id="31" w:name="page32"/>
    <w:bookmarkEnd w:id="31"/>
    <w:p>
      <w:pPr>
        <w:jc w:val="both"/>
        <w:spacing w:after="0" w:line="246" w:lineRule="auto"/>
        <w:rPr>
          <w:sz w:val="20"/>
          <w:szCs w:val="20"/>
          <w:color w:val="auto"/>
        </w:rPr>
      </w:pPr>
      <w:r>
        <w:rPr>
          <w:rFonts w:ascii="Times New Roman" w:cs="Times New Roman" w:eastAsia="Times New Roman" w:hAnsi="Times New Roman"/>
          <w:sz w:val="20"/>
          <w:szCs w:val="20"/>
          <w:color w:val="auto"/>
        </w:rPr>
        <w:t>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w:t>
      </w:r>
    </w:p>
    <w:p>
      <w:pPr>
        <w:sectPr>
          <w:pgSz w:w="12240" w:h="15840" w:orient="portrait"/>
          <w:cols w:equalWidth="0" w:num="1">
            <w:col w:w="9360"/>
          </w:cols>
          <w:pgMar w:left="1440" w:top="948" w:right="1440" w:bottom="348"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48" w:right="1440" w:bottom="348" w:gutter="0" w:footer="0" w:header="0"/>
          <w:type w:val="continuous"/>
        </w:sectPr>
      </w:pPr>
    </w:p>
    <w:bookmarkStart w:id="32" w:name="page33"/>
    <w:bookmarkEnd w:id="32"/>
    <w:p>
      <w:pPr>
        <w:jc w:val="both"/>
        <w:spacing w:after="0" w:line="248" w:lineRule="auto"/>
        <w:rPr>
          <w:sz w:val="20"/>
          <w:szCs w:val="20"/>
          <w:color w:val="auto"/>
        </w:rPr>
      </w:pPr>
      <w:r>
        <w:rPr>
          <w:rFonts w:ascii="Times New Roman" w:cs="Times New Roman" w:eastAsia="Times New Roman" w:hAnsi="Times New Roman"/>
          <w:sz w:val="20"/>
          <w:szCs w:val="20"/>
          <w:color w:val="auto"/>
        </w:rPr>
        <w:t>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Independent System Operators (“ISOs”) and regional transmission organizations (“RTOs”) that control and administer regional power markets.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78"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Risk Factors Relating to Our Biogas Capture Business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acquire, convert, develop and operate Biogas Conversion Projects, as well as expand production at current Biogas Conversion Projects, is subject to many risks.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8" w:right="1440" w:bottom="348" w:gutter="0" w:footer="0" w:header="0"/>
          <w:type w:val="continuous"/>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20"/>
          <w:szCs w:val="20"/>
          <w:color w:val="auto"/>
        </w:rPr>
        <w:t>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ability to acquire, convert, develop and operate Biogas Conversion Projects, as well as expand production at current Biogas Conversion Projects, is subject to several additional risks, including:</w:t>
      </w:r>
    </w:p>
    <w:p>
      <w:pPr>
        <w:spacing w:after="0" w:line="174" w:lineRule="exact"/>
        <w:rPr>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energy commodity prices, such as natural gas and wholesale electricity prices, which could have a significant effect on our revenues and expenses;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risks and the effect of disruptions on our business, including the effects of global health crises, weather conditions, catastrophic events, such as fires, explosions, earthquakes, droughts and acts of terrorism, and other force majeure events that impact us, our counterparties, suppliers, distributors and subcontractors;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markets where we have less experience, such as our Biogas Conversion Projects for biogas recovery at livestock farms;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66" w:lineRule="auto"/>
        <w:tabs>
          <w:tab w:leader="none" w:pos="9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53"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or delays in obtaining desired or necessary land rights, including ownership, leases, easements, zoning rights and building permits;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48" w:right="1440" w:bottom="348" w:gutter="0" w:footer="0" w:header="0"/>
          <w:type w:val="continuous"/>
        </w:sectPr>
      </w:pPr>
    </w:p>
    <w:bookmarkStart w:id="34" w:name="page35"/>
    <w:bookmarkEnd w:id="34"/>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keeping in good standing permits, authorizations and consents from local city, county, state and US federal government agencies and organizations;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penalties, including potential termination, under short-term and long-term contracts for failing to produce or deliver a sufficient quantity and acceptable quality of RNG in accordance with our contractual obligations;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regulatory changes related to the transportation of RNG, which may increase the transportation cost for delivering under our contracts then in effect;</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and authorization of local utilities or other energy development off-takers to ensure successful interconnection to energy grids to enable power and gas sales;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Biogas Conversion Projects.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acquisition of existing Biogas Conversion Projects involves numerous risks, many of which may not be 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Additional risks related to acquiring existing projects, include:</w:t>
      </w:r>
    </w:p>
    <w:p>
      <w:pPr>
        <w:spacing w:after="0" w:line="177" w:lineRule="exact"/>
        <w:rPr>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we pay could significantly deplete our cash reserves or result in dilution to our existing stockholders;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or assets may not improve our customer offerings or market position as planned;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integrating the operations and personnel of the acquired companies;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personnel and counterparties of the acquired companies may terminate their relationships with the acquired companies as a result of or following the acquisition;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additional financial and accounting challenges and complexities in certain areas, such as tax planning and financial reporting;</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additional costs and expenses related to complying with additional laws, rules or regulations in new jurisdictions;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and management’s attention may be disrupted or diverted by transition or integration issues and the complexity of managing geographically diverse enterprises;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one-time write-offs or restructuring charges in connection with an acquisition;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8" w:right="1440" w:bottom="348" w:gutter="0" w:footer="0" w:header="0"/>
          <w:type w:val="continuous"/>
        </w:sectPr>
      </w:pPr>
    </w:p>
    <w:bookmarkStart w:id="35" w:name="page36"/>
    <w:bookmarkEnd w:id="35"/>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the cost savings or other financial benefits we anticipated.</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5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ectPr>
          <w:pgSz w:w="12240" w:h="15840" w:orient="portrait"/>
          <w:cols w:equalWidth="0" w:num="1">
            <w:col w:w="9360"/>
          </w:cols>
          <w:pgMar w:left="1440" w:top="948" w:right="1440" w:bottom="348"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48" w:right="1440" w:bottom="348"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9"/>
          <w:szCs w:val="19"/>
          <w:b w:val="1"/>
          <w:bCs w:val="1"/>
          <w:i w:val="1"/>
          <w:iCs w:val="1"/>
          <w:color w:val="auto"/>
        </w:rPr>
        <w:t>Construction, development and operation of our Biogas Conversion Projects involves significant risks and hazards.</w:t>
      </w:r>
    </w:p>
    <w:p>
      <w:pPr>
        <w:spacing w:after="0" w:line="17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Furthermore, some of our facilities are located in areas prone to extreme weather conditions, most notably extreme cold.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w:t>
      </w:r>
    </w:p>
    <w:p>
      <w:pPr>
        <w:sectPr>
          <w:pgSz w:w="12240" w:h="15840" w:orient="portrait"/>
          <w:cols w:equalWidth="0" w:num="1">
            <w:col w:w="9360"/>
          </w:cols>
          <w:pgMar w:left="1440" w:top="951" w:right="1440" w:bottom="348"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51" w:right="1440" w:bottom="348" w:gutter="0" w:footer="0" w:header="0"/>
          <w:type w:val="continuous"/>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9"/>
          <w:szCs w:val="19"/>
          <w:color w:val="auto"/>
        </w:rPr>
        <w:t>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5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1"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report and we were not to deliver any further Environmental Attribute volume to NextEra under the agreement, the maximum potential payment to NextEra under these provisions would be approximately $9.9 million based on current market prices for such Environmental Attributes.</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8" w:right="1440" w:bottom="348" w:gutter="0" w:footer="0" w:header="0"/>
          <w:type w:val="continuous"/>
        </w:sectPr>
      </w:pPr>
    </w:p>
    <w:bookmarkStart w:id="38" w:name="page39"/>
    <w:bookmarkEnd w:id="38"/>
    <w:p>
      <w:pPr>
        <w:jc w:val="both"/>
        <w:spacing w:after="0" w:line="265" w:lineRule="auto"/>
        <w:rPr>
          <w:sz w:val="20"/>
          <w:szCs w:val="20"/>
          <w:color w:val="auto"/>
        </w:rPr>
      </w:pPr>
      <w:r>
        <w:rPr>
          <w:rFonts w:ascii="Times New Roman" w:cs="Times New Roman" w:eastAsia="Times New Roman" w:hAnsi="Times New Roman"/>
          <w:sz w:val="19"/>
          <w:szCs w:val="19"/>
          <w:color w:val="auto"/>
        </w:rPr>
        <w:t>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2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78"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w:t>
      </w:r>
    </w:p>
    <w:p>
      <w:pPr>
        <w:sectPr>
          <w:pgSz w:w="12240" w:h="15840" w:orient="portrait"/>
          <w:cols w:equalWidth="0" w:num="1">
            <w:col w:w="9360"/>
          </w:cols>
          <w:pgMar w:left="1440" w:top="948"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48" w:right="1440" w:bottom="348" w:gutter="0" w:footer="0" w:header="0"/>
          <w:type w:val="continuous"/>
        </w:sectPr>
      </w:pPr>
    </w:p>
    <w:bookmarkStart w:id="39" w:name="page40"/>
    <w:bookmarkEnd w:id="39"/>
    <w:p>
      <w:pPr>
        <w:jc w:val="both"/>
        <w:spacing w:after="0" w:line="249" w:lineRule="auto"/>
        <w:rPr>
          <w:sz w:val="20"/>
          <w:szCs w:val="20"/>
          <w:color w:val="auto"/>
        </w:rPr>
      </w:pPr>
      <w:r>
        <w:rPr>
          <w:rFonts w:ascii="Times New Roman" w:cs="Times New Roman" w:eastAsia="Times New Roman" w:hAnsi="Times New Roman"/>
          <w:sz w:val="20"/>
          <w:szCs w:val="20"/>
          <w:color w:val="auto"/>
        </w:rPr>
        <w:t>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74" w:lineRule="exact"/>
        <w:rPr>
          <w:sz w:val="20"/>
          <w:szCs w:val="20"/>
          <w:color w:val="auto"/>
        </w:rPr>
      </w:pPr>
    </w:p>
    <w:p>
      <w:pPr>
        <w:jc w:val="both"/>
        <w:ind w:firstLine="480"/>
        <w:spacing w:after="0" w:line="232" w:lineRule="auto"/>
        <w:rPr>
          <w:sz w:val="20"/>
          <w:szCs w:val="20"/>
          <w:color w:val="auto"/>
        </w:rPr>
      </w:pPr>
      <w:r>
        <w:rPr>
          <w:rFonts w:ascii="Times New Roman" w:cs="Times New Roman" w:eastAsia="Times New Roman" w:hAnsi="Times New Roman"/>
          <w:sz w:val="20"/>
          <w:szCs w:val="20"/>
          <w:color w:val="auto"/>
        </w:rPr>
        <w:t>Sequestering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20"/>
          <w:szCs w:val="20"/>
          <w:color w:val="auto"/>
        </w:rPr>
        <w:t xml:space="preserv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18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w:t>
      </w:r>
    </w:p>
    <w:p>
      <w:pPr>
        <w:sectPr>
          <w:pgSz w:w="12240" w:h="15840" w:orient="portrait"/>
          <w:cols w:equalWidth="0" w:num="1">
            <w:col w:w="9360"/>
          </w:cols>
          <w:pgMar w:left="1440" w:top="948" w:right="1440" w:bottom="348"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48" w:right="1440" w:bottom="348" w:gutter="0" w:footer="0" w:header="0"/>
          <w:type w:val="continuous"/>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20"/>
          <w:szCs w:val="20"/>
          <w:color w:val="auto"/>
        </w:rPr>
        <w:t>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Risk Factors Relating to Our Dispensing Business</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Additional factors that may influence the adoption of natural gas vehicle fuels, many of which are beyond our control, include, among others:</w:t>
      </w:r>
    </w:p>
    <w:p>
      <w:pPr>
        <w:spacing w:after="0" w:line="174" w:lineRule="exact"/>
        <w:rPr>
          <w:sz w:val="20"/>
          <w:szCs w:val="20"/>
          <w:color w:val="auto"/>
        </w:rPr>
      </w:pPr>
    </w:p>
    <w:p>
      <w:pPr>
        <w:ind w:left="96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demand for trucks that use natural gas vehicle fuels due to business disruptions and depressed oil prices;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ectPr>
          <w:pgSz w:w="12240" w:h="15840" w:orient="portrait"/>
          <w:cols w:equalWidth="0" w:num="1">
            <w:col w:w="9360"/>
          </w:cols>
          <w:pgMar w:left="1440" w:top="948" w:right="1440" w:bottom="348"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48" w:right="1440" w:bottom="348" w:gutter="0" w:footer="0" w:header="0"/>
          <w:type w:val="continuous"/>
        </w:sectPr>
      </w:pPr>
    </w:p>
    <w:bookmarkStart w:id="41" w:name="page42"/>
    <w:bookmarkEnd w:id="41"/>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in the supply, demand, use and prices of crude oil, gasoline, diesel, RNG, natural gas and other vehicle fuels, such as electricity, hydrogen, renewable diesel, biodiesel and ethanol;</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emissions and other environmental regulations and pressures on producing, transporting, and dispensing our fuels.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Acquisition, financing, construction, and development of Fueling Station projects by us or our partners that own projects may not commence on anticipated timelines or at all.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acquisition, financing, construction and development of projects involves numerous risks, including:</w:t>
      </w:r>
    </w:p>
    <w:p>
      <w:pPr>
        <w:spacing w:after="0" w:line="170" w:lineRule="exact"/>
        <w:rPr>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projects;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all necessary rights to land access and use;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cost and schedule for completing construction;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biogas potential, including quality, volume, and asset life;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obtain financing for a project on acceptable terms or at all;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deliveries or increases in the price of equipment or other materials;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and other regulatory issues, license revocation and changes in legal requirements;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2" w:name="page43"/>
    <w:bookmarkEnd w:id="42"/>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labor, labor disputes and work stoppages or the inability to find an adequate supply of workers;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receive quality and timely performance of third-party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engineering and environmental problems;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overruns or supply chain disruptions;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health crises, pandemics, catastrophic events, including fires, explosions, earthquakes, droughts and acts of terrorism, and other force majeure events;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interconnection and access to utilities.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new projects have no operating history. A new project may be unable to fund principal and interest payments under its debt service obligations or may operate at a loss.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and cost overruns.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48" w:right="1440" w:bottom="348"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auto"/>
        </w:rPr>
        <w:t>Additional Risk Factors Relating to Our Business in General</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Certain of our Biogas Conversion Projects and Fueling Stations are newly constructed or are under construction and may not perform as we expect.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2023, our total indebtedness was $209.1 million, excluding deferred financing costs. Additionally, we have redeemable preferred non-controlling interests outstanding of $130.0 million plus accrued and unpaid dividends thereon.</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substantial indebtedness and preferred units redemption obligations could have important consequences, including, for example:</w:t>
      </w:r>
    </w:p>
    <w:p>
      <w:pPr>
        <w:spacing w:after="0" w:line="174" w:lineRule="exact"/>
        <w:rPr>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2" w:right="1440" w:bottom="348" w:gutter="0" w:footer="0" w:header="0"/>
          <w:type w:val="continuous"/>
        </w:sectPr>
      </w:pPr>
    </w:p>
    <w:bookmarkStart w:id="44" w:name="page45"/>
    <w:bookmarkEnd w:id="44"/>
    <w:p>
      <w:pPr>
        <w:jc w:val="both"/>
        <w:ind w:left="960" w:hanging="480"/>
        <w:spacing w:after="0" w:line="246"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interest rates on our existing debt facilities or a reduction in the supply of project debt financing could reduce our ability to construct and operate new RNG projects or fueling stations;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financial flexibility could reduce our ability to plan for and react to unexpected opportunities; and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48" w:right="1440" w:bottom="348"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Our cash could be adversely affected if the financial institutions in which we hold our cash fail.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accounting losses and may incur additional losses in the future.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Loss of our key management could adversely affect our business performance. Our management team has limited experience in operating a public company such as us.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ectPr>
          <w:pgSz w:w="12240" w:h="15840" w:orient="portrait"/>
          <w:cols w:equalWidth="0" w:num="1">
            <w:col w:w="9360"/>
          </w:cols>
          <w:pgMar w:left="1440" w:top="941" w:right="1440" w:bottom="348"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1" w:right="1440" w:bottom="348"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Any failure to maintain effective internal control over financial reporting could adversely affect us.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Section 404 of the Sarbanes-Oxley Act of 2002 requires us to include in our annual reports on Form 10-K an assessment by management of the effectiveness of our internal control over financial reporting. We have previously reported material weaknesses in our internal control over financial reporting related to certain control deficiencies in accounting and disclosures of significant and unusual transactions, timely and effective reviews of accounts reconciliations and application of ASC 606. As a result of these material weaknesses, we concluded that our internal control over financial reporting were not operating effectively for each of the years ended December 31, 2022 and 2021.</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management of the Company successfully completed the testing necessary to conclude that the material weaknesses have been remediated. We will continue to monitor the effectiveness of these and other processes, procedures, and controls and will make any further changes that management determines to be appropriate.</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However, we cannot guarantee that these steps have been or will be sufficient to remediate the deficiencies or that in the future we will not have a material weakness that prevents us from concluding that our internal control financial reporting is effective. If our remedial measures are insufficient to address the material weaknesses or if additional material weaknesses arise in the future, this could result in a loss of investor confidence in the reliability of our financial statements, which in turn, could negatively affect the market price of our securities, including the Class A common stock. Furthermore, our interim or annual financial statements may contain material misstatements or omissions and we could be required to restate our financial results. In addition, any such failures could result in litigation or regulatory actions by the SEC or other regulatory authorities, delisting of our securities and harm to our reputation and financial condition, or diversion of financial and management resources from the operation of our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Company</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 Sales of up to 163,676,735 shares of our Class A common stock may be effected pursuant to our registration statement on Form S-3 filed under the Securities Act (file number 333-266757), which was declared effective on August 10, 2023, or in reliance upon an exemption from registration under the Securities Act.</w:t>
      </w:r>
    </w:p>
    <w:p>
      <w:pPr>
        <w:spacing w:after="0" w:line="170"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w:t>
      </w:r>
    </w:p>
    <w:p>
      <w:pPr>
        <w:sectPr>
          <w:pgSz w:w="12240" w:h="15840" w:orient="portrait"/>
          <w:cols w:equalWidth="0" w:num="1">
            <w:col w:w="9360"/>
          </w:cols>
          <w:pgMar w:left="1440" w:top="941"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41" w:right="1440" w:bottom="348" w:gutter="0" w:footer="0" w:header="0"/>
          <w:type w:val="continuous"/>
        </w:sectPr>
      </w:pPr>
    </w:p>
    <w:bookmarkStart w:id="47" w:name="page48"/>
    <w:bookmarkEnd w:id="47"/>
    <w:p>
      <w:pPr>
        <w:jc w:val="both"/>
        <w:spacing w:after="0" w:line="248" w:lineRule="auto"/>
        <w:rPr>
          <w:sz w:val="20"/>
          <w:szCs w:val="20"/>
          <w:color w:val="auto"/>
        </w:rPr>
      </w:pPr>
      <w:r>
        <w:rPr>
          <w:rFonts w:ascii="Times New Roman" w:cs="Times New Roman" w:eastAsia="Times New Roman" w:hAnsi="Times New Roman"/>
          <w:sz w:val="20"/>
          <w:szCs w:val="20"/>
          <w:color w:val="auto"/>
        </w:rPr>
        <w:t>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Litigation or legal proceedings could expose us to significant liabilities and have a negative impact on our reputations or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48" w:name="page49"/>
    <w:bookmarkEnd w:id="48"/>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145,289,762 shares of OPAL, comprising 84.2% of our outstanding common stock as of March 13, 2024. All of these shares (with the exception of 880,600 shares of Class A common stock purchased by Fortistar in the PIPE Investment and 10,125 shares of Class A common stock held directly by Mr. Comora) are Class B common stock and Class D common stock, which have no economic rights but are entitled to five votes per share, respectively, giving Mr. Mark Comora control over 94.1% of our voting power. OPAL Holdco and Hillman are controlled, indirectly, by Mr. Mark Comora through entities affiliated with Mr. Mark Comora, including Fortistar and certain of its other affiliates. Mr. Mark Comora is the Chairman of our board of directors.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8" w:right="1440" w:bottom="348" w:gutter="0" w:footer="0" w:header="0"/>
          <w:type w:val="continuous"/>
        </w:sectPr>
      </w:pPr>
    </w:p>
    <w:bookmarkStart w:id="49" w:name="page50"/>
    <w:bookmarkEnd w:id="49"/>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68"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w:t>
      </w:r>
    </w:p>
    <w:p>
      <w:pPr>
        <w:sectPr>
          <w:pgSz w:w="12240" w:h="15840" w:orient="portrait"/>
          <w:cols w:equalWidth="0" w:num="1">
            <w:col w:w="9360"/>
          </w:cols>
          <w:pgMar w:left="1440" w:top="948" w:right="1440" w:bottom="348"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48" w:right="1440" w:bottom="348" w:gutter="0" w:footer="0" w:header="0"/>
          <w:type w:val="continuous"/>
        </w:sectPr>
      </w:pPr>
    </w:p>
    <w:bookmarkStart w:id="50" w:name="page51"/>
    <w:bookmarkEnd w:id="50"/>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25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5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5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5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80"/>
          </w:cols>
          <w:pgMar w:left="1440" w:top="948" w:right="1420" w:bottom="348" w:gutter="0" w:footer="0" w:header="0"/>
          <w:type w:val="continuous"/>
        </w:sectPr>
      </w:pPr>
    </w:p>
    <w:bookmarkStart w:id="51" w:name="page52"/>
    <w:bookmarkEnd w:id="51"/>
    <w:p>
      <w:pPr>
        <w:jc w:val="both"/>
        <w:spacing w:after="0" w:line="246" w:lineRule="auto"/>
        <w:rPr>
          <w:sz w:val="20"/>
          <w:szCs w:val="20"/>
          <w:color w:val="auto"/>
        </w:rPr>
      </w:pPr>
      <w:r>
        <w:rPr>
          <w:rFonts w:ascii="Times New Roman" w:cs="Times New Roman" w:eastAsia="Times New Roman" w:hAnsi="Times New Roman"/>
          <w:sz w:val="20"/>
          <w:szCs w:val="20"/>
          <w:color w:val="auto"/>
        </w:rPr>
        <w:t>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dual-class structure of our common stock may adversely affect the trading market for the shares of Class A common stock.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we will be able to comply with the continued listing standards of Nasdaq.</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spacing w:after="0" w:line="166" w:lineRule="exact"/>
        <w:rPr>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availability of market quotations for our securities;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that the Class A common stock is a “penny stock” which will require brokers trading in the Class A common stock to adhere to more stringent rules;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reduction in the level of trading activity in the secondary trading market for shares of the Class A common stock;</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amount of analyst coverage;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are contained in the Organizational Documents that could delay or prevent a change of control.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ectPr>
          <w:pgSz w:w="12240" w:h="15840" w:orient="portrait"/>
          <w:cols w:equalWidth="0" w:num="1">
            <w:col w:w="9360"/>
          </w:cols>
          <w:pgMar w:left="1440" w:top="948" w:right="1440" w:bottom="348"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8" w:right="1440" w:bottom="348" w:gutter="0" w:footer="0" w:header="0"/>
          <w:type w:val="continuous"/>
        </w:sectPr>
      </w:pPr>
    </w:p>
    <w:bookmarkStart w:id="52" w:name="page53"/>
    <w:bookmarkEnd w:id="52"/>
    <w:p>
      <w:pPr>
        <w:ind w:left="480"/>
        <w:spacing w:after="0"/>
        <w:rPr>
          <w:sz w:val="20"/>
          <w:szCs w:val="20"/>
          <w:color w:val="auto"/>
        </w:rPr>
      </w:pPr>
      <w:r>
        <w:rPr>
          <w:rFonts w:ascii="Times New Roman" w:cs="Times New Roman" w:eastAsia="Times New Roman" w:hAnsi="Times New Roman"/>
          <w:sz w:val="20"/>
          <w:szCs w:val="20"/>
          <w:color w:val="auto"/>
        </w:rPr>
        <w:t>These provisions, among other things:</w:t>
      </w:r>
    </w:p>
    <w:p>
      <w:pPr>
        <w:spacing w:after="0" w:line="177" w:lineRule="exact"/>
        <w:rPr>
          <w:sz w:val="20"/>
          <w:szCs w:val="20"/>
          <w:color w:val="auto"/>
        </w:rPr>
      </w:pPr>
    </w:p>
    <w:p>
      <w:pPr>
        <w:jc w:val="both"/>
        <w:ind w:left="960" w:hanging="480"/>
        <w:spacing w:after="0" w:line="246"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call special meetings of stockholders;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fill vacancies on our board;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our board to establish the number of directors;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board is expressly authorized to make, alter or repeal the Bylaws;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jurisdictions in which certain stockholder litigation may be brought.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7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$133.0 million depending on OPAL Fuels’s rate of recovery of the tax basis increases associated with the deemed exchange of the OPAL Fuels Common Units (other than those held by us). This estimated Tax Receivable Agreement lump-sum payment is calculated using a discount rate equal to 7.47%, applied against an undiscounted liability of approximately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1" w:right="1440" w:bottom="348" w:gutter="0" w:footer="0" w:header="0"/>
          <w:type w:val="continuous"/>
        </w:sectPr>
      </w:pPr>
    </w:p>
    <w:bookmarkStart w:id="53" w:name="page54"/>
    <w:bookmarkEnd w:id="53"/>
    <w:p>
      <w:pPr>
        <w:jc w:val="both"/>
        <w:spacing w:after="0" w:line="248" w:lineRule="auto"/>
        <w:rPr>
          <w:sz w:val="20"/>
          <w:szCs w:val="20"/>
          <w:color w:val="auto"/>
        </w:rPr>
      </w:pPr>
      <w:r>
        <w:rPr>
          <w:rFonts w:ascii="Times New Roman" w:cs="Times New Roman" w:eastAsia="Times New Roman" w:hAnsi="Times New Roman"/>
          <w:sz w:val="20"/>
          <w:szCs w:val="20"/>
          <w:color w:val="auto"/>
        </w:rPr>
        <w:t>$240.8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Information Technology Risks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48" w:right="1440" w:bottom="348" w:gutter="0" w:footer="0" w:header="0"/>
          <w:type w:val="continuous"/>
        </w:sectPr>
      </w:pPr>
    </w:p>
    <w:bookmarkStart w:id="54" w:name="page55"/>
    <w:bookmarkEnd w:id="54"/>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15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on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172"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spacing w:after="0" w:line="2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the Class A common stock has been, and is likely to continue to be, volatile and could fluctuate in response to a number of factors, many of which are beyond our control.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 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8" w:right="1440" w:bottom="348" w:gutter="0" w:footer="0" w:header="0"/>
          <w:type w:val="continuous"/>
        </w:sectPr>
      </w:pPr>
    </w:p>
    <w:bookmarkStart w:id="55" w:name="page56"/>
    <w:bookmarkEnd w:id="55"/>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 credit ratings downgrade or other negative action by a credit rating organization could adversely affect the trading price of the shares of our Class A common stock.</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Credit rating agencies continually revise their ratings for companies they follow. The condition of the financial and credit markets and prevailing interest rates have fluctuated in the past and are likely to fluctuate in the future.</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 (including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spacing w:after="0" w:line="18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51" w:right="1440" w:bottom="348"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rely on information technology and data to operate our business and develop, market, and deliver our products and services to our customers. We have implemented and maintain various information security processes designed to identify, assess and manage material risks from cybersecurity threats to critical computer networks, third party hosted services, communications systems, hardware, software, and our confidential, personal, proprietary, and sensitive data (collectively, “Information Assets”). Accordingly, we maintain certain risk assessment processes intended to identify cybersecurity threats. We have implemented an information technology security policy, which includes cybersecurity vulnerability management designed to protect the confidentiality, integrity, and availability of our Information Assets and mitigate harm to our business.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engage in processes designed to identify such threats by, among other things, monitoring the threat environment using manual and automated tools. We subscribe to reports and services that identify cybersecurity threats, analyze reports of threats and conduct vulnerability assessments to identify vulnerabilities.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Depending on the environment, we implement and maintain various technical, physical and organizational measures designed to manage and mitigate material risks from cybersecurity threats to our Information Assets. We work with third parties, including cybersecurity software providers and managed cybersecurity service providers, to identify and assess cybersecurity risks and conduct penetration testing.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a third-party service provider reporting to the Company’s management. Management is also responsible for integrating cybersecurity considerations into our overall risk management strategy, communicating key priorities to employees, approving budgets, helping to prepare for cybersecurity incidents, approving cybersecurity processes, reviewing security assessments and making required disclosures. Management participates in cybersecurity incident response efforts by being a member of the incident response team and helping direct our response to cybersecurity incidents.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do not own any real property. Our corporate headquarters are located in White Plains, New York, where we occupy approximately 13,600 square feet of shared office space with an affiliate of Fortistar pursuant to an Administrative Services Agreement. In addition, we lease office and maintenance facilities in Oronoco, Minnesota and Rancho Cucamonga, California. Our interests in our RNG and Renewable Power projects are our only material properties. See Item 1. Business — Our projects for additional information.</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Set forth below is information related to the Company’s material pending legal proceedings as of the date of this report, other than ordinary routine litigation incidental to the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Central Valley Project</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September 2021, an indirect subsidiary of the Company, MD Digester, LLC, entered into a fixed-price Engineering, Procurement and Construction Contract (an “EPC Contract”) with VEC Partners, Inc. d/b/a CEI Builders (“Contractor”) for the design and construction of a turn-key renewable natural gas production facility using dairy cow</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1" w:right="1440" w:bottom="348" w:gutter="0" w:footer="0" w:header="0"/>
          <w:type w:val="continuous"/>
        </w:sectPr>
      </w:pPr>
    </w:p>
    <w:bookmarkStart w:id="57" w:name="page58"/>
    <w:bookmarkEnd w:id="57"/>
    <w:p>
      <w:pPr>
        <w:jc w:val="both"/>
        <w:spacing w:after="0" w:line="246" w:lineRule="auto"/>
        <w:rPr>
          <w:sz w:val="20"/>
          <w:szCs w:val="20"/>
          <w:color w:val="auto"/>
        </w:rPr>
      </w:pPr>
      <w:r>
        <w:rPr>
          <w:rFonts w:ascii="Times New Roman" w:cs="Times New Roman" w:eastAsia="Times New Roman" w:hAnsi="Times New Roman"/>
          <w:sz w:val="20"/>
          <w:szCs w:val="20"/>
          <w:color w:val="auto"/>
        </w:rPr>
        <w:t>manure as feedstock. In December 2021, a second indirect subsidiary of the Company, VS Digester, LLC entered into a nearly identical EPC Contract for the design and construction of a second facility in connection with the same project.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Contractor has submitted a series of change order requests seeking to increase the EPC Contract price under each contract by approximately $14 million (i.e., approximately $28 million in total), primarily due to modifications to Contractor’s design drawings that are required to meet its contracted performance guaranties and a termination (for default) of one of Contractor’s major equipment manufacturers. The Company disputes substantially all of the change order requests.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Contractor is required to select an arbitrator who will in concert with the Company’s selected arbitrator nominate a Chair for the AAA, three-person arbitration panel. As a result of the procedural status of these matters, no discovery has occurred. The EPC Agreement provides that Contractor is obligated to continue working during the course of the litigation and related arbitration proceedings. Contractor’s performance under both of the EPC Contracts is fully bonded by licensed sureties.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Despite informal settlement discussions with Contractor, the parties have not been able as of yet to resolve the claims. The Company believes its claims against Contractor have substantial merit, and intends to prosecute its claims vigorously. However, due to the incipient stage of the litigation and related arbitration, its ongoing status, and the uncertainties involved in all litigation and arbitration, the Company does not believe it is feasible at this time to assess the likely outcome of the litigation and related arbitration, the timing of its resolution, or its ultimate impact on the Central Valley projects or the Company’s business, financial condition or results of operations.</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8" w:right="1440" w:bottom="348"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shares of Class A common stock are traded on the Nasdaq Stock Market LLC under the symbol “OPAL”.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On March 13, 2024, the closing sale price of our shares of Class A common stock, as reported on the Nasdaq Stock Market LLC, was $4.91 per share.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number of shareholders of record of our shares of Class A common stock was approximately 11 on March 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Dividends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Use of Proceeds from Registered Offerings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7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Part II, Item 8 — “Financial Statements and Supplementary Data” and the risk factors identified in Part I, Item 1A — “Risk Factors” of this Annual Report. For further discussion regarding our results of operations for the year ended December 31, 2022 as compared to the year ended December 31, 2021, refer to Part II, Item 7 — “Management’s Discussion and Analysis of Financial Condition and Results of Operations” in our Annual Report on Form 10-K for the fiscal year ended December 31, 2022, as filed with the SEC on March 29, 2023. In addition to historical information, this discussion and analysis includes certain forward-looking statements which reflect our current expectations. The Company’s actual results may materially differ from these forward-looking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is a vertically integrated leader in the capture and conversion of biogas into low carbon intensity Renewable Power and renewable natural gas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harmful methane emissions created by decaying organic waste as opposed to natural gas which is a fossil fuel pumped from the ground. We have participated in the biogas-to-energy industry for over 20 years.</w:t>
      </w:r>
    </w:p>
    <w:p>
      <w:pPr>
        <w:spacing w:after="0" w:line="158"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w:t>
      </w:r>
    </w:p>
    <w:p>
      <w:pPr>
        <w:sectPr>
          <w:pgSz w:w="12240" w:h="15840" w:orient="portrait"/>
          <w:cols w:equalWidth="0" w:num="1">
            <w:col w:w="9360"/>
          </w:cols>
          <w:pgMar w:left="1440" w:top="941" w:right="1440" w:bottom="348"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41" w:right="1440" w:bottom="348" w:gutter="0" w:footer="0" w:header="0"/>
          <w:type w:val="continuous"/>
        </w:sectPr>
      </w:pPr>
    </w:p>
    <w:bookmarkStart w:id="59" w:name="page60"/>
    <w:bookmarkEnd w:id="59"/>
    <w:p>
      <w:pPr>
        <w:jc w:val="both"/>
        <w:spacing w:after="0" w:line="248" w:lineRule="auto"/>
        <w:rPr>
          <w:sz w:val="20"/>
          <w:szCs w:val="20"/>
          <w:color w:val="auto"/>
        </w:rPr>
      </w:pPr>
      <w:r>
        <w:rPr>
          <w:rFonts w:ascii="Times New Roman" w:cs="Times New Roman" w:eastAsia="Times New Roman" w:hAnsi="Times New Roman"/>
          <w:sz w:val="20"/>
          <w:szCs w:val="20"/>
          <w:color w:val="auto"/>
        </w:rPr>
        <w:t>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2023, we owned and operated 25 projects, eight of which are RNG projects and 17 of which are Renewable Power Projects. As of that date, our RNG projects in operation had a design capacity of 5.2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eight of our current Renewable Power Projects being considered candidates for conversion to RNG projects in the foreseeable future.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Reduction Act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PTC. We view the enactment of the IRA as favorable for the overall business climate for the renewable energy industry. However, there is uncertainty related to the applicability of the IRA to our current and planned projects and the scope of the IRA and its interpretations may change if there is a change in the U.S. administration or if government agencies’ authority to interpret federal law is restricted as a result of the Supreme Court’s review of the Chevron doctrine under which federal government agencies have been awarded board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the Treasury and the IRS proposed regulations regarding ITCs on renewable energy projects where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Program</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November 17, 2023, we entered into an At Market Issuance Sales Agreement (the “Sales Agreement”) with each of B. Riley Securities, Inc., Cantor Fitzgerald &amp; Co. and Stifel, Nicolaus &amp; Company, Incorporated (each, an “Agent,” and collectively, the “Agents”) pursuant to which we may issue and sell shares of our Class A common stock having an aggregate offering price of up to $75 million from time to time through the Agents.</w:t>
      </w:r>
    </w:p>
    <w:p>
      <w:pPr>
        <w:spacing w:after="0" w:line="16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issuance and sale of ClassA common stock under the Sales Agreement are effected pursuant to the registration statement on Form S-3 (File No. 333-273584) that we filed with the United States Securities and Exchange Commission (the “SEC”) on August 1, 2023 as amended on August 11, 2023, and declared effective by the SEC on September 6,</w:t>
      </w:r>
    </w:p>
    <w:p>
      <w:pPr>
        <w:sectPr>
          <w:pgSz w:w="12240" w:h="15840" w:orient="portrait"/>
          <w:cols w:equalWidth="0" w:num="1">
            <w:col w:w="9360"/>
          </w:cols>
          <w:pgMar w:left="1440" w:top="948"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48" w:right="1440" w:bottom="348" w:gutter="0" w:footer="0" w:header="0"/>
          <w:type w:val="continuous"/>
        </w:sectPr>
      </w:pPr>
    </w:p>
    <w:bookmarkStart w:id="60" w:name="page61"/>
    <w:bookmarkEnd w:id="60"/>
    <w:p>
      <w:pPr>
        <w:jc w:val="both"/>
        <w:spacing w:after="0" w:line="248" w:lineRule="auto"/>
        <w:rPr>
          <w:sz w:val="20"/>
          <w:szCs w:val="20"/>
          <w:color w:val="auto"/>
        </w:rPr>
      </w:pPr>
      <w:r>
        <w:rPr>
          <w:rFonts w:ascii="Times New Roman" w:cs="Times New Roman" w:eastAsia="Times New Roman" w:hAnsi="Times New Roman"/>
          <w:sz w:val="20"/>
          <w:szCs w:val="20"/>
          <w:color w:val="auto"/>
        </w:rPr>
        <w:t>2023, together with a related prospectus supplement. Sales of our Class A common stock through the Agents may be made by any method that is deemed an “at the market offering” as defined in Rule 415(a)(4) promulgated under the Securities Act of 1933, as amended. We will pay each Agent, upon the sale by such Agent of Class A common stock pursuant to the Sales Agreement, an amount equal to up to 3.0% of the gross proceeds of each such sale of Class A common stock.</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From the date of execution of the Sales Agreement through December 31, 2023, we issued and sold 90,103 shares of Class A common stock for total proceeds, net of commissions and related costs of $0.4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Sale and Purchase Agreement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October 20, 2023, our wholly-owned subsidiary entered into an Asset Purchase and Sale Agreement (for the purposes of this paragraph, the “Agreement”) with Washington Gas Light Company (“WGL”). The subsidiary is currently constructing a production facility (the “Facility”) at the Prince William County landfill located in Manassas, Virginia, on a parcel located on the landfill,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Project from the subsidiary after the final completion of the Project at a purchase price of $25 million. The closing is contingent upon approval of the Agreement by the Virginia State Corporation Commission, as well as the satisfaction of customary closing conditions, and the outside closing date is on or prior to October 20, 2024. As of December 31, 2023, the Company recorded capital expenditure of $1.8 million which is included in its Property, Plant and Equipment on our consolidated balance sheet.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is based upon our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 w:cs="Times New Roman" w:eastAsia="Times New Roman" w:hAnsi="Times New Roman"/>
          <w:sz w:val="20"/>
          <w:szCs w:val="20"/>
          <w:i w:val="1"/>
          <w:iCs w:val="1"/>
          <w:color w:val="auto"/>
        </w:rPr>
        <w:t>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Policies</w:t>
      </w:r>
      <w:r>
        <w:rPr>
          <w:rFonts w:ascii="Times New Roman" w:cs="Times New Roman" w:eastAsia="Times New Roman" w:hAnsi="Times New Roman"/>
          <w:sz w:val="20"/>
          <w:szCs w:val="20"/>
          <w:color w:val="auto"/>
        </w:rPr>
        <w:t>, to our consolidated financial statements included herein.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sell Renewable Power produced from LFG-fueled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Transportation fuel — Fuel Purchase Agreements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own Fueling Stations for use by customers under fuel sale agreements. We bill these customers at an agreed upon price for each gallon sold and recognize revenue based on the amounts invoiced in accordance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ectPr>
          <w:pgSz w:w="12240" w:h="15840" w:orient="portrait"/>
          <w:cols w:equalWidth="0" w:num="1">
            <w:col w:w="9360"/>
          </w:cols>
          <w:pgMar w:left="1440" w:top="948" w:right="1440" w:bottom="348"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8" w:right="1440" w:bottom="348"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i w:val="1"/>
          <w:iCs w:val="1"/>
          <w:color w:val="auto"/>
        </w:rPr>
        <w:t>Interstate Gas Pipeline Delivery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Environmental Attributes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RECs, RINs, ISCC Carbon Credits and LCFS credits. These Environmental Attributes are sold to third parties that utilize these credits in order to comply with federal and state requirements. Revenue is recognized at the point in time when the credits are transferred to and accepted by the third party buyer. We also provide Environmental Attributes generation and monetization services to customers that own renewable gas generation facilities and we recognize revenues from these services when the credits are minted on behalf of the customer.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 and Maintenance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operating and maintenance agreements pursuant to which we operate, maintain, and repair landfill site gas collection systems. Revenue is based on the volume per million British thermal units (“</w:t>
      </w:r>
      <w:r>
        <w:rPr>
          <w:rFonts w:ascii="Times New Roman" w:cs="Times New Roman" w:eastAsia="Times New Roman" w:hAnsi="Times New Roman"/>
          <w:sz w:val="20"/>
          <w:szCs w:val="20"/>
          <w:i w:val="1"/>
          <w:iCs w:val="1"/>
          <w:color w:val="auto"/>
        </w:rPr>
        <w:t>MMBtu</w:t>
      </w:r>
      <w:r>
        <w:rPr>
          <w:rFonts w:ascii="Times New Roman" w:cs="Times New Roman" w:eastAsia="Times New Roman" w:hAnsi="Times New Roman"/>
          <w:sz w:val="20"/>
          <w:szCs w:val="20"/>
          <w:color w:val="auto"/>
        </w:rPr>
        <w:t>”) of landfill gas collected and the MWhs produced at that site. This revenue is recognized as Renewable Power revenue when landfill gas is collected and Renewable Power is delivered. In addition, we have operations and maintenance agreements in which we are contracted to maintain and repair Fueling Stations. Revenue is based on the volumes of gas dispensed at the site. This revenue is recognized as Fuel Station Services revenue when the site dispenses gas.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Construction Type Contracts — Third Party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Goodwill</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When a business is acquired, goodwill is recognized to reflect any future economic benefits that are not separately recognized, such as synergies. For the purposes of impairment testing, U.S.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If applying a quantitative assessment, we would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we performed a qualitative assessment for Goodwill in our RNG Fuel and Fuel Station Services segments and determined that there are no impairment triggers present and therefore no quantitative assessment was performed. Based on the qualitative assessment, we determined that no impairment is necessary on the goodwill recorded in the books as of December 31, 2023.</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1" w:right="1440" w:bottom="348"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Based on our assessment for the year ended December 31, 2023, there is no impairment recorded on our Plant, Property and Equipment.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56"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Refer to Note 9. </w:t>
      </w:r>
      <w:r>
        <w:rPr>
          <w:rFonts w:ascii="Times New Roman" w:cs="Times New Roman" w:eastAsia="Times New Roman" w:hAnsi="Times New Roman"/>
          <w:sz w:val="20"/>
          <w:szCs w:val="20"/>
          <w:i w:val="1"/>
          <w:iCs w:val="1"/>
          <w:color w:val="auto"/>
        </w:rPr>
        <w:t>Derivative Financial Instruments and Fair Value Measurements,</w:t>
      </w:r>
      <w:r>
        <w:rPr>
          <w:rFonts w:ascii="Times New Roman" w:cs="Times New Roman" w:eastAsia="Times New Roman" w:hAnsi="Times New Roman"/>
          <w:sz w:val="20"/>
          <w:szCs w:val="20"/>
          <w:color w:val="auto"/>
        </w:rPr>
        <w:t xml:space="preserve"> to our consolidated financial statements, for details on our assets and liabilities regularly recorded at fair value and the respective placements in the fair value hierarchy.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Refer to Note 15.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to our consolidated financial statements, for additional information.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1" w:right="1440" w:bottom="34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Emerging Growth Company Status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goodwill impairment, fair value of the deconsolidated VIEs, the value of stock-based compensation, asset retirement obligations and the fair value of derivatives including earnout liabilities and commodity swap contracts.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and Trends Influencing our Results of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elsewhere in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Demand for RNG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Transportation, including heavy-duty trucking, generates approximately 30% of overall CO2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are also exposed to the commodity prices of natural gas and diesel, which serve as alternative fuel for RNG and therefore impact the demand for RNG.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 Markets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1" w:right="1440" w:bottom="348" w:gutter="0" w:footer="0" w:header="0"/>
          <w:type w:val="continuous"/>
        </w:sectPr>
      </w:pPr>
    </w:p>
    <w:bookmarkStart w:id="64" w:name="page65"/>
    <w:bookmarkEnd w:id="64"/>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landscape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 w:cs="Times New Roman" w:eastAsia="Times New Roman" w:hAnsi="Times New Roman"/>
          <w:sz w:val="20"/>
          <w:szCs w:val="20"/>
          <w:i w:val="1"/>
          <w:iCs w:val="1"/>
          <w:color w:val="auto"/>
        </w:rPr>
        <w:t>“The financial 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20"/>
          <w:szCs w:val="20"/>
          <w:color w:val="auto"/>
        </w:rPr>
        <w:t>Government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regulations have become increasingly stringent and complying with changes in regulations may result in significant additional operating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Seasonality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168" w:lineRule="exact"/>
        <w:rPr>
          <w:sz w:val="20"/>
          <w:szCs w:val="20"/>
          <w:color w:val="auto"/>
        </w:rPr>
      </w:pPr>
    </w:p>
    <w:p>
      <w:pPr>
        <w:ind w:left="960" w:hanging="480"/>
        <w:spacing w:after="0" w:line="244"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includes RNG supply as well as the associated generation and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commodity natural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Production Facilities — the design, development, construction, maintenance and operation of facilities that convert raw biogas into pipeline quality natural gas; and</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interests in both operating and construction projects.</w:t>
      </w:r>
    </w:p>
    <w:p>
      <w:pPr>
        <w:spacing w:after="0" w:line="175" w:lineRule="exact"/>
        <w:rPr>
          <w:rFonts w:ascii="Times New Roman" w:cs="Times New Roman" w:eastAsia="Times New Roman" w:hAnsi="Times New Roman"/>
          <w:sz w:val="20"/>
          <w:szCs w:val="20"/>
          <w:color w:val="auto"/>
        </w:rPr>
      </w:pPr>
    </w:p>
    <w:p>
      <w:pPr>
        <w:jc w:val="both"/>
        <w:ind w:left="960" w:hanging="480"/>
        <w:spacing w:after="0" w:line="247"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Through our Fuel Station Services segment, we provide construction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maintenance services to third-party owners of vehicle Fueling Stations and performs fuel dispensing activities including generation and minting of environmental credits. This segment includes:</w:t>
      </w:r>
    </w:p>
    <w:p>
      <w:pPr>
        <w:spacing w:after="0" w:line="164"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division that builds Compact Fueling Systems and Defueling systems;</w:t>
      </w:r>
    </w:p>
    <w:p>
      <w:pPr>
        <w:spacing w:after="0" w:line="176"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Design/Build contracts where we serve as general contractor for construction of Fueling Stations, typically structured as Guarantee Maximum Price or fixed priced contracts for customers, generally lasting less than one year;</w:t>
      </w:r>
    </w:p>
    <w:p>
      <w:pPr>
        <w:spacing w:after="0" w:line="166"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Stations; and</w:t>
      </w:r>
    </w:p>
    <w:p>
      <w:pPr>
        <w:spacing w:after="0" w:line="176"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 This includes both the dispensing (or sale) of RNG, CNG, and environmental credit generation and monetization. We operate Fueling Stations that dispense both CNG and RNG fuel for vehicles.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48" w:right="1440" w:bottom="348" w:gutter="0" w:footer="0" w:header="0"/>
          <w:type w:val="continuous"/>
        </w:sectPr>
      </w:pPr>
    </w:p>
    <w:bookmarkStart w:id="65" w:name="page66"/>
    <w:bookmarkEnd w:id="65"/>
    <w:p>
      <w:pPr>
        <w:jc w:val="both"/>
        <w:ind w:left="960" w:hanging="480"/>
        <w:spacing w:after="0" w:line="247"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w:t>
      </w:r>
      <w:r>
        <w:rPr>
          <w:rFonts w:ascii="Times New Roman" w:cs="Times New Roman" w:eastAsia="Times New Roman" w:hAnsi="Times New Roman"/>
          <w:sz w:val="20"/>
          <w:szCs w:val="20"/>
          <w:color w:val="auto"/>
        </w:rPr>
        <w:t>The Renewable Power segment generates renewable power and associated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Environmental Attributes such as ISCC Carbon Credits and RECs through combustion of biogas from landfills which is then sold to public utilities throughout the United States.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costs of sales associated with each revenue category are as follows:</w:t>
      </w:r>
    </w:p>
    <w:p>
      <w:pPr>
        <w:spacing w:after="0" w:line="175" w:lineRule="exact"/>
        <w:rPr>
          <w:sz w:val="20"/>
          <w:szCs w:val="20"/>
          <w:color w:val="auto"/>
        </w:rPr>
      </w:pPr>
    </w:p>
    <w:p>
      <w:pPr>
        <w:jc w:val="both"/>
        <w:ind w:left="960" w:hanging="480"/>
        <w:spacing w:after="0" w:line="247"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Includes royalty payments to biogas site owners for the biogas we use; service provider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salaries and other indirect expenses related to the production process, utilities, transportation, storage, and insurance; and depreciation of production facilities.</w:t>
      </w:r>
    </w:p>
    <w:p>
      <w:pPr>
        <w:spacing w:after="0" w:line="169" w:lineRule="exact"/>
        <w:rPr>
          <w:rFonts w:ascii="Times New Roman" w:cs="Times New Roman" w:eastAsia="Times New Roman" w:hAnsi="Times New Roman"/>
          <w:sz w:val="20"/>
          <w:szCs w:val="20"/>
          <w:color w:val="auto"/>
        </w:rPr>
      </w:pPr>
    </w:p>
    <w:p>
      <w:pPr>
        <w:ind w:left="960" w:hanging="480"/>
        <w:spacing w:after="0" w:line="244"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Includes equipment supplier costs; service provider costs; and salaries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 expenses.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70" w:lineRule="auto"/>
        <w:tabs>
          <w:tab w:leader="none" w:pos="9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Renewable Power. </w:t>
      </w:r>
      <w:r>
        <w:rPr>
          <w:rFonts w:ascii="Times New Roman" w:cs="Times New Roman" w:eastAsia="Times New Roman" w:hAnsi="Times New Roman"/>
          <w:sz w:val="19"/>
          <w:szCs w:val="19"/>
          <w:color w:val="auto"/>
        </w:rPr>
        <w:t>Includes royalty payments, land usage costs; service provider costs; salaries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indirect expenses related to the production process; utilities; and depreciation of production facilities.</w:t>
      </w:r>
    </w:p>
    <w:p>
      <w:pPr>
        <w:spacing w:after="0" w:line="15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Project development and start up costs includes certain development costs such as legal, consulting fees for joint venture structuring, royalties to the landfill owner, fines, settlements, site lease expenses and certification costs on our RNG projects under construction. Additionally, the Company also incurs certain expenses on new RNG projects that went operational for the first two years such as virtual pipeline costs (incurred until a physical interconnect pipeline is built) and ramp up costs incurred during the certification period.</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Selling, general, and administrative expense consists of costs involving corporate overhead functions, including the cost of services provided to us by an affiliate, and marketing costs.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customers and associated credit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accounts receivable, net by customers that equal or exceed 10% of the consolidated accounts receivable, net as of December 31, 2023 and 2022. No other single customer accounted for 10% or greater of our consolidated accounts receivables in these periods:</w:t>
      </w:r>
    </w:p>
    <w:p>
      <w:pPr>
        <w:spacing w:after="0" w:line="17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84"/>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23"/>
        </w:trPr>
        <w:tc>
          <w:tcPr>
            <w:tcW w:w="74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Customer B . . . . . . . . . . . . . . . . . . . . . . . . . . . . . . . . . . . . . . . . . . . . . . . . . . . . . .</w:t>
            </w:r>
          </w:p>
        </w:tc>
        <w:tc>
          <w:tcPr>
            <w:tcW w:w="5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1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sales of environmental attributes under Purchase and Sale agreement with NextEra.</w:t>
      </w:r>
    </w:p>
    <w:p>
      <w:pPr>
        <w:spacing w:after="0" w:line="18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17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47"/>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60"/>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pacing w:after="0" w:line="200" w:lineRule="exact"/>
        <w:rPr>
          <w:sz w:val="20"/>
          <w:szCs w:val="20"/>
          <w:color w:val="auto"/>
        </w:rPr>
      </w:pP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47" w:right="1440" w:bottom="348"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years ended December 31, 2023 and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data</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the operational data achieved for the years ended December 31, 2023 and 2022: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Landfill RNG Facility Capacity and Utilization Summary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3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36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2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r>
      <w:tr>
        <w:trPr>
          <w:trHeight w:val="241"/>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Landfill RNG Facility Capacity and</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1"/>
        </w:trPr>
        <w:tc>
          <w:tcPr>
            <w:tcW w:w="4480" w:type="dxa"/>
            <w:vAlign w:val="bottom"/>
            <w:gridSpan w:val="2"/>
          </w:tcPr>
          <w:p>
            <w:pPr>
              <w:ind w:left="200"/>
              <w:spacing w:after="0" w:line="261" w:lineRule="exact"/>
              <w:rPr>
                <w:sz w:val="20"/>
                <w:szCs w:val="20"/>
                <w:color w:val="auto"/>
              </w:rPr>
            </w:pPr>
            <w:r>
              <w:rPr>
                <w:rFonts w:ascii="Times New Roman" w:cs="Times New Roman" w:eastAsia="Times New Roman" w:hAnsi="Times New Roman"/>
                <w:sz w:val="30"/>
                <w:szCs w:val="30"/>
                <w:b w:val="1"/>
                <w:bCs w:val="1"/>
                <w:color w:val="auto"/>
                <w:vertAlign w:val="subscript"/>
              </w:rPr>
              <w:t>Utilization</w:t>
            </w:r>
            <w:r>
              <w:rPr>
                <w:rFonts w:ascii="Times New Roman" w:cs="Times New Roman" w:eastAsia="Times New Roman" w:hAnsi="Times New Roman"/>
                <w:sz w:val="10"/>
                <w:szCs w:val="10"/>
                <w:b w:val="1"/>
                <w:bCs w:val="1"/>
                <w:color w:val="auto"/>
              </w:rPr>
              <w:t>(1)(2)(3)(4)</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44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Design Capacity (Million MMBtus) . . . . . .</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0.9</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19"/>
                <w:szCs w:val="19"/>
                <w:color w:val="auto"/>
              </w:rPr>
            </w:pPr>
          </w:p>
        </w:tc>
      </w:tr>
      <w:tr>
        <w:trPr>
          <w:trHeight w:val="260"/>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Volume of Inlet Gas (Million MMBtus)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20" w:type="dxa"/>
            <w:vAlign w:val="bottom"/>
          </w:tcPr>
          <w:p>
            <w:pPr>
              <w:spacing w:after="0"/>
              <w:rPr>
                <w:sz w:val="22"/>
                <w:szCs w:val="22"/>
                <w:color w:val="auto"/>
              </w:rPr>
            </w:pPr>
          </w:p>
        </w:tc>
      </w:tr>
      <w:tr>
        <w:trPr>
          <w:trHeight w:val="260"/>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Inlet Design Capacity Utilization % . . . . .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9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78%</w:t>
            </w:r>
          </w:p>
        </w:tc>
        <w:tc>
          <w:tcPr>
            <w:tcW w:w="4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produced (Million</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44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MMBtus) . . . . . . . . . . . . . . . . . . . . . . . . .</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0.7</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0.6</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19"/>
                <w:szCs w:val="19"/>
                <w:color w:val="auto"/>
              </w:rPr>
            </w:pPr>
          </w:p>
        </w:tc>
      </w:tr>
      <w:tr>
        <w:trPr>
          <w:trHeight w:val="260"/>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Utilization of Inlet Gas % . . . . . . . . . . . . .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w:t>
            </w:r>
          </w:p>
        </w:tc>
        <w:tc>
          <w:tcPr>
            <w:tcW w:w="9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w:t>
            </w:r>
          </w:p>
        </w:tc>
        <w:tc>
          <w:tcPr>
            <w:tcW w:w="4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jc w:val="both"/>
        <w:ind w:left="480" w:hanging="480"/>
        <w:spacing w:after="0" w:line="251"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3"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14"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not available for the Company’s dairy projects, i.e., Sunoma and Biotown. Total RNG fuel design capacity for the three and twelve months ended December 31, 2023 is 1.3 million MMBtu and 4.3 million MMBtu, respectively. Including Sunoma and Biotown, RNG fuel volume produced is 0.8 and 2.7 million MMBtu for the three and twelve months ended December 31, 2023,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654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2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6540" w:type="dxa"/>
            <w:vAlign w:val="bottom"/>
          </w:tcPr>
          <w:p>
            <w:pPr>
              <w:spacing w:after="0"/>
              <w:rPr>
                <w:sz w:val="17"/>
                <w:szCs w:val="17"/>
                <w:color w:val="auto"/>
              </w:rPr>
            </w:pPr>
          </w:p>
        </w:tc>
        <w:tc>
          <w:tcPr>
            <w:tcW w:w="12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7"/>
                <w:szCs w:val="17"/>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Nameplate Capacity (MW per hour)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120" w:type="dxa"/>
            <w:vAlign w:val="bottom"/>
          </w:tcPr>
          <w:p>
            <w:pPr>
              <w:spacing w:after="0"/>
              <w:rPr>
                <w:sz w:val="24"/>
                <w:szCs w:val="24"/>
                <w:color w:val="auto"/>
              </w:rPr>
            </w:pPr>
          </w:p>
        </w:tc>
      </w:tr>
      <w:tr>
        <w:trPr>
          <w:trHeight w:val="260"/>
        </w:trPr>
        <w:tc>
          <w:tcPr>
            <w:tcW w:w="6540" w:type="dxa"/>
            <w:vAlign w:val="bottom"/>
          </w:tcPr>
          <w:p>
            <w:pPr>
              <w:spacing w:after="0" w:line="259" w:lineRule="exact"/>
              <w:rPr>
                <w:sz w:val="20"/>
                <w:szCs w:val="20"/>
                <w:color w:val="auto"/>
              </w:rPr>
            </w:pPr>
            <w:r>
              <w:rPr>
                <w:rFonts w:ascii="Times New Roman" w:cs="Times New Roman" w:eastAsia="Times New Roman" w:hAnsi="Times New Roman"/>
                <w:sz w:val="20"/>
                <w:szCs w:val="20"/>
                <w:color w:val="auto"/>
              </w:rPr>
              <w:t>Nameplate Capacity for the period (Millions MWh)</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0.98</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0.98</w:t>
            </w:r>
          </w:p>
        </w:tc>
        <w:tc>
          <w:tcPr>
            <w:tcW w:w="120" w:type="dxa"/>
            <w:vAlign w:val="bottom"/>
          </w:tcPr>
          <w:p>
            <w:pPr>
              <w:spacing w:after="0"/>
              <w:rPr>
                <w:sz w:val="22"/>
                <w:szCs w:val="22"/>
                <w:color w:val="auto"/>
              </w:rPr>
            </w:pPr>
          </w:p>
        </w:tc>
      </w:tr>
      <w:tr>
        <w:trPr>
          <w:trHeight w:val="223"/>
        </w:trPr>
        <w:tc>
          <w:tcPr>
            <w:tcW w:w="65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Renewable Power produced ( Millions MWh)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0.44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0.47</w:t>
            </w:r>
          </w:p>
        </w:tc>
        <w:tc>
          <w:tcPr>
            <w:tcW w:w="120" w:type="dxa"/>
            <w:vAlign w:val="bottom"/>
          </w:tcPr>
          <w:p>
            <w:pPr>
              <w:spacing w:after="0"/>
              <w:rPr>
                <w:sz w:val="19"/>
                <w:szCs w:val="19"/>
                <w:color w:val="auto"/>
              </w:rPr>
            </w:pPr>
          </w:p>
        </w:tc>
      </w:tr>
      <w:tr>
        <w:trPr>
          <w:trHeight w:val="29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Design Capacity Utilization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w:t>
            </w:r>
          </w:p>
        </w:tc>
        <w:tc>
          <w:tcPr>
            <w:tcW w:w="4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hanging="480"/>
        <w:spacing w:after="0" w:line="245"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for Renewable Power facilities is the manufacturer’s expected capacity at ISO conditions for each facility and may not reflect actual production from the projects, which depends on many variables including, but not limited to,</w:t>
      </w:r>
    </w:p>
    <w:p>
      <w:pPr>
        <w:spacing w:after="0" w:line="17" w:lineRule="exact"/>
        <w:rPr>
          <w:rFonts w:ascii="Times New Roman" w:cs="Times New Roman" w:eastAsia="Times New Roman" w:hAnsi="Times New Roman"/>
          <w:sz w:val="18"/>
          <w:szCs w:val="18"/>
          <w:color w:val="auto"/>
        </w:rPr>
      </w:pPr>
    </w:p>
    <w:p>
      <w:pPr>
        <w:ind w:left="48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quantity and quality of the biogas, (ii) operational up-time of the facility, including dispatch and maintenance downtime and (iii) actual efficiency of the facility.</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2"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2" w:right="1440" w:bottom="348" w:gutter="0" w:footer="0" w:header="0"/>
          <w:type w:val="continuous"/>
        </w:sectPr>
      </w:pPr>
    </w:p>
    <w:bookmarkStart w:id="67" w:name="page68"/>
    <w:bookmarkEnd w:id="67"/>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produced (Million MMBtus)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6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sold (Million GGEs)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w:t>
            </w:r>
          </w:p>
        </w:tc>
      </w:tr>
      <w:tr>
        <w:trPr>
          <w:trHeight w:val="26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volume delivered (Million GGEs)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RNG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OPAL’s Share of</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Expected</w:t>
            </w:r>
          </w:p>
        </w:tc>
      </w:tr>
      <w:tr>
        <w:trPr>
          <w:trHeight w:val="200"/>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Design Capacity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Commercial</w:t>
            </w:r>
          </w:p>
        </w:tc>
      </w:tr>
      <w:tr>
        <w:trPr>
          <w:trHeight w:val="200"/>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(MMbtus</w:t>
            </w:r>
          </w:p>
        </w:tc>
        <w:tc>
          <w:tcPr>
            <w:tcW w:w="180" w:type="dxa"/>
            <w:vAlign w:val="bottom"/>
          </w:tcPr>
          <w:p>
            <w:pPr>
              <w:spacing w:after="0"/>
              <w:rPr>
                <w:sz w:val="17"/>
                <w:szCs w:val="17"/>
                <w:color w:val="auto"/>
              </w:rPr>
            </w:pPr>
          </w:p>
        </w:tc>
        <w:tc>
          <w:tcPr>
            <w:tcW w:w="10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Source of</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rPr>
              <w:t>Operation</w:t>
            </w:r>
          </w:p>
        </w:tc>
      </w:tr>
      <w:tr>
        <w:trPr>
          <w:trHeight w:val="219"/>
        </w:trPr>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60" w:type="dxa"/>
            <w:vAlign w:val="bottom"/>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5"/>
              </w:rPr>
              <w:t>per year)</w:t>
            </w:r>
            <w:r>
              <w:rPr>
                <w:rFonts w:ascii="Times New Roman" w:cs="Times New Roman" w:eastAsia="Times New Roman" w:hAnsi="Times New Roman"/>
                <w:sz w:val="20"/>
                <w:szCs w:val="20"/>
                <w:b w:val="1"/>
                <w:bCs w:val="1"/>
                <w:color w:val="auto"/>
                <w:w w:val="95"/>
                <w:vertAlign w:val="superscript"/>
              </w:rPr>
              <w:t>(1)</w:t>
            </w:r>
          </w:p>
        </w:tc>
        <w:tc>
          <w:tcPr>
            <w:tcW w:w="180" w:type="dxa"/>
            <w:vAlign w:val="bottom"/>
          </w:tcPr>
          <w:p>
            <w:pPr>
              <w:spacing w:after="0"/>
              <w:rPr>
                <w:sz w:val="19"/>
                <w:szCs w:val="19"/>
                <w:color w:val="auto"/>
              </w:rPr>
            </w:pPr>
          </w:p>
        </w:tc>
        <w:tc>
          <w:tcPr>
            <w:tcW w:w="10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Biogas</w:t>
            </w:r>
          </w:p>
        </w:tc>
        <w:tc>
          <w:tcPr>
            <w:tcW w:w="180" w:type="dxa"/>
            <w:vAlign w:val="bottom"/>
          </w:tcPr>
          <w:p>
            <w:pPr>
              <w:spacing w:after="0"/>
              <w:rPr>
                <w:sz w:val="19"/>
                <w:szCs w:val="19"/>
                <w:color w:val="auto"/>
              </w:rPr>
            </w:pPr>
          </w:p>
        </w:tc>
        <w:tc>
          <w:tcPr>
            <w:tcW w:w="9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tcPr>
          <w:p>
            <w:pPr>
              <w:spacing w:after="0"/>
              <w:rPr>
                <w:sz w:val="19"/>
                <w:szCs w:val="19"/>
                <w:color w:val="auto"/>
              </w:rPr>
            </w:pPr>
          </w:p>
        </w:tc>
        <w:tc>
          <w:tcPr>
            <w:tcW w:w="1540" w:type="dxa"/>
            <w:vAlign w:val="bottom"/>
            <w:gridSpan w:val="2"/>
          </w:tcPr>
          <w:p>
            <w:pPr>
              <w:jc w:val="center"/>
              <w:ind w:right="20"/>
              <w:spacing w:after="0" w:line="219" w:lineRule="exact"/>
              <w:rPr>
                <w:sz w:val="20"/>
                <w:szCs w:val="20"/>
                <w:color w:val="auto"/>
              </w:rPr>
            </w:pPr>
            <w:r>
              <w:rPr>
                <w:rFonts w:ascii="Times New Roman" w:cs="Times New Roman" w:eastAsia="Times New Roman" w:hAnsi="Times New Roman"/>
                <w:sz w:val="18"/>
                <w:szCs w:val="18"/>
                <w:b w:val="1"/>
                <w:bCs w:val="1"/>
                <w:color w:val="auto"/>
                <w:w w:val="93"/>
              </w:rPr>
              <w:t>Date</w:t>
            </w:r>
            <w:r>
              <w:rPr>
                <w:rFonts w:ascii="Times New Roman" w:cs="Times New Roman" w:eastAsia="Times New Roman" w:hAnsi="Times New Roman"/>
                <w:sz w:val="20"/>
                <w:szCs w:val="20"/>
                <w:b w:val="1"/>
                <w:bCs w:val="1"/>
                <w:color w:val="auto"/>
                <w:w w:val="93"/>
                <w:vertAlign w:val="superscript"/>
              </w:rPr>
              <w:t>(5)</w:t>
            </w: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Greentree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60"/>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Imperial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97"/>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7"/>
              </w:rPr>
              <w:t>Emerald</w:t>
            </w:r>
            <w:r>
              <w:rPr>
                <w:rFonts w:ascii="Times New Roman" w:cs="Times New Roman" w:eastAsia="Times New Roman" w:hAnsi="Times New Roman"/>
                <w:sz w:val="23"/>
                <w:szCs w:val="23"/>
                <w:color w:val="auto"/>
                <w:w w:val="97"/>
                <w:vertAlign w:val="superscript"/>
              </w:rPr>
              <w:t>(2)(3)</w:t>
            </w:r>
            <w:r>
              <w:rPr>
                <w:rFonts w:ascii="Times New Roman" w:cs="Times New Roman" w:eastAsia="Times New Roman" w:hAnsi="Times New Roman"/>
                <w:sz w:val="20"/>
                <w:szCs w:val="20"/>
                <w:color w:val="auto"/>
                <w:w w:val="97"/>
              </w:rPr>
              <w:t xml:space="preserve">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1,327,140</w:t>
            </w:r>
          </w:p>
        </w:tc>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23"/>
        </w:trPr>
        <w:tc>
          <w:tcPr>
            <w:tcW w:w="39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99"/>
              </w:rPr>
              <w:t>New River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19"/>
                <w:szCs w:val="19"/>
                <w:color w:val="auto"/>
              </w:rPr>
            </w:pPr>
          </w:p>
        </w:tc>
        <w:tc>
          <w:tcPr>
            <w:tcW w:w="15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N/A</w:t>
            </w:r>
          </w:p>
        </w:tc>
      </w:tr>
      <w:tr>
        <w:trPr>
          <w:trHeight w:val="297"/>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7"/>
              </w:rPr>
              <w:t>Noble Road</w:t>
            </w:r>
            <w:r>
              <w:rPr>
                <w:rFonts w:ascii="Times New Roman" w:cs="Times New Roman" w:eastAsia="Times New Roman" w:hAnsi="Times New Roman"/>
                <w:sz w:val="23"/>
                <w:szCs w:val="23"/>
                <w:color w:val="auto"/>
                <w:w w:val="97"/>
                <w:vertAlign w:val="superscript"/>
              </w:rPr>
              <w:t>(2)</w:t>
            </w:r>
            <w:r>
              <w:rPr>
                <w:rFonts w:ascii="Times New Roman" w:cs="Times New Roman" w:eastAsia="Times New Roman" w:hAnsi="Times New Roman"/>
                <w:sz w:val="20"/>
                <w:szCs w:val="20"/>
                <w:color w:val="auto"/>
                <w:w w:val="97"/>
              </w:rPr>
              <w:t xml:space="preserve">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60"/>
        </w:trPr>
        <w:tc>
          <w:tcPr>
            <w:tcW w:w="3980" w:type="dxa"/>
            <w:vAlign w:val="bottom"/>
            <w:gridSpan w:val="2"/>
          </w:tcPr>
          <w:p>
            <w:pPr>
              <w:jc w:val="right"/>
              <w:ind w:right="120"/>
              <w:spacing w:after="0" w:line="259" w:lineRule="exact"/>
              <w:rPr>
                <w:sz w:val="20"/>
                <w:szCs w:val="20"/>
                <w:color w:val="auto"/>
              </w:rPr>
            </w:pPr>
            <w:r>
              <w:rPr>
                <w:rFonts w:ascii="Times New Roman" w:cs="Times New Roman" w:eastAsia="Times New Roman" w:hAnsi="Times New Roman"/>
                <w:sz w:val="20"/>
                <w:szCs w:val="20"/>
                <w:color w:val="auto"/>
                <w:w w:val="98"/>
              </w:rPr>
              <w:t>Pine Bend</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22"/>
                <w:szCs w:val="22"/>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2"/>
                <w:szCs w:val="22"/>
                <w:color w:val="auto"/>
              </w:rPr>
            </w:pPr>
          </w:p>
        </w:tc>
        <w:tc>
          <w:tcPr>
            <w:tcW w:w="15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N/A</w:t>
            </w:r>
          </w:p>
        </w:tc>
      </w:tr>
      <w:tr>
        <w:trPr>
          <w:trHeight w:val="260"/>
        </w:trPr>
        <w:tc>
          <w:tcPr>
            <w:tcW w:w="3980" w:type="dxa"/>
            <w:vAlign w:val="bottom"/>
            <w:gridSpan w:val="2"/>
          </w:tcPr>
          <w:p>
            <w:pPr>
              <w:jc w:val="right"/>
              <w:ind w:right="120"/>
              <w:spacing w:after="0" w:line="259" w:lineRule="exact"/>
              <w:rPr>
                <w:sz w:val="20"/>
                <w:szCs w:val="20"/>
                <w:color w:val="auto"/>
              </w:rPr>
            </w:pPr>
            <w:r>
              <w:rPr>
                <w:rFonts w:ascii="Times New Roman" w:cs="Times New Roman" w:eastAsia="Times New Roman" w:hAnsi="Times New Roman"/>
                <w:sz w:val="20"/>
                <w:szCs w:val="20"/>
                <w:color w:val="auto"/>
                <w:w w:val="98"/>
              </w:rPr>
              <w:t>Biotown</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48,573</w:t>
            </w:r>
          </w:p>
        </w:tc>
        <w:tc>
          <w:tcPr>
            <w:tcW w:w="180" w:type="dxa"/>
            <w:vAlign w:val="bottom"/>
          </w:tcPr>
          <w:p>
            <w:pPr>
              <w:spacing w:after="0"/>
              <w:rPr>
                <w:sz w:val="22"/>
                <w:szCs w:val="22"/>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10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8"/>
              </w:rPr>
              <w:t>10%</w:t>
            </w:r>
          </w:p>
        </w:tc>
        <w:tc>
          <w:tcPr>
            <w:tcW w:w="180" w:type="dxa"/>
            <w:vAlign w:val="bottom"/>
          </w:tcPr>
          <w:p>
            <w:pPr>
              <w:spacing w:after="0"/>
              <w:rPr>
                <w:sz w:val="22"/>
                <w:szCs w:val="22"/>
                <w:color w:val="auto"/>
              </w:rPr>
            </w:pPr>
          </w:p>
        </w:tc>
        <w:tc>
          <w:tcPr>
            <w:tcW w:w="15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N/A</w:t>
            </w:r>
          </w:p>
        </w:tc>
      </w:tr>
      <w:tr>
        <w:trPr>
          <w:trHeight w:val="225"/>
        </w:trPr>
        <w:tc>
          <w:tcPr>
            <w:tcW w:w="398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97"/>
              </w:rPr>
              <w:t>Sunoma</w:t>
            </w:r>
            <w:r>
              <w:rPr>
                <w:rFonts w:ascii="Times New Roman" w:cs="Times New Roman" w:eastAsia="Times New Roman" w:hAnsi="Times New Roman"/>
                <w:sz w:val="23"/>
                <w:szCs w:val="23"/>
                <w:color w:val="auto"/>
                <w:w w:val="97"/>
                <w:vertAlign w:val="superscript"/>
              </w:rPr>
              <w:t>(4)</w:t>
            </w:r>
            <w:r>
              <w:rPr>
                <w:rFonts w:ascii="Times New Roman" w:cs="Times New Roman" w:eastAsia="Times New Roman" w:hAnsi="Times New Roman"/>
                <w:sz w:val="20"/>
                <w:szCs w:val="20"/>
                <w:color w:val="auto"/>
                <w:w w:val="97"/>
              </w:rPr>
              <w:t xml:space="preserve"> . . . . . . . . . . . . . . . . . . . . . . . . . . . . . . .</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192,350</w:t>
            </w:r>
          </w:p>
        </w:tc>
        <w:tc>
          <w:tcPr>
            <w:tcW w:w="180" w:type="dxa"/>
            <w:vAlign w:val="bottom"/>
          </w:tcPr>
          <w:p>
            <w:pPr>
              <w:spacing w:after="0"/>
              <w:rPr>
                <w:sz w:val="19"/>
                <w:szCs w:val="19"/>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10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8"/>
              </w:rPr>
              <w:t>90%</w:t>
            </w:r>
          </w:p>
        </w:tc>
        <w:tc>
          <w:tcPr>
            <w:tcW w:w="180" w:type="dxa"/>
            <w:vAlign w:val="bottom"/>
          </w:tcPr>
          <w:p>
            <w:pPr>
              <w:spacing w:after="0"/>
              <w:rPr>
                <w:sz w:val="19"/>
                <w:szCs w:val="19"/>
                <w:color w:val="auto"/>
              </w:rPr>
            </w:pPr>
          </w:p>
        </w:tc>
        <w:tc>
          <w:tcPr>
            <w:tcW w:w="15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N/A</w:t>
            </w:r>
          </w:p>
        </w:tc>
      </w:tr>
      <w:tr>
        <w:trPr>
          <w:trHeight w:val="238"/>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Subtotal</w:t>
            </w: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5,244,241</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Prince William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First quarter 2024</w:t>
            </w:r>
          </w:p>
        </w:tc>
      </w:tr>
      <w:tr>
        <w:trPr>
          <w:trHeight w:val="297"/>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Hilltop</w:t>
            </w:r>
            <w:r>
              <w:rPr>
                <w:rFonts w:ascii="Times New Roman" w:cs="Times New Roman" w:eastAsia="Times New Roman" w:hAnsi="Times New Roman"/>
                <w:sz w:val="23"/>
                <w:szCs w:val="23"/>
                <w:color w:val="auto"/>
                <w:w w:val="98"/>
                <w:vertAlign w:val="superscript"/>
              </w:rPr>
              <w:t>(6)</w:t>
            </w:r>
            <w:r>
              <w:rPr>
                <w:rFonts w:ascii="Times New Roman" w:cs="Times New Roman" w:eastAsia="Times New Roman" w:hAnsi="Times New Roman"/>
                <w:sz w:val="20"/>
                <w:szCs w:val="20"/>
                <w:color w:val="auto"/>
                <w:w w:val="98"/>
              </w:rPr>
              <w:t xml:space="preserve">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Not Determined</w:t>
            </w:r>
          </w:p>
        </w:tc>
      </w:tr>
      <w:tr>
        <w:trPr>
          <w:trHeight w:val="260"/>
        </w:trPr>
        <w:tc>
          <w:tcPr>
            <w:tcW w:w="3980" w:type="dxa"/>
            <w:vAlign w:val="bottom"/>
            <w:gridSpan w:val="2"/>
          </w:tcPr>
          <w:p>
            <w:pPr>
              <w:jc w:val="right"/>
              <w:ind w:right="120"/>
              <w:spacing w:after="0" w:line="259" w:lineRule="exact"/>
              <w:rPr>
                <w:sz w:val="20"/>
                <w:szCs w:val="20"/>
                <w:color w:val="auto"/>
              </w:rPr>
            </w:pPr>
            <w:r>
              <w:rPr>
                <w:rFonts w:ascii="Times New Roman" w:cs="Times New Roman" w:eastAsia="Times New Roman" w:hAnsi="Times New Roman"/>
                <w:sz w:val="20"/>
                <w:szCs w:val="20"/>
                <w:color w:val="auto"/>
                <w:w w:val="96"/>
              </w:rPr>
              <w:t>Vander Schaaf</w:t>
            </w:r>
            <w:r>
              <w:rPr>
                <w:rFonts w:ascii="Times New Roman" w:cs="Times New Roman" w:eastAsia="Times New Roman" w:hAnsi="Times New Roman"/>
                <w:sz w:val="23"/>
                <w:szCs w:val="23"/>
                <w:color w:val="auto"/>
                <w:w w:val="96"/>
                <w:vertAlign w:val="superscript"/>
              </w:rPr>
              <w:t>(6)</w:t>
            </w:r>
            <w:r>
              <w:rPr>
                <w:rFonts w:ascii="Times New Roman" w:cs="Times New Roman" w:eastAsia="Times New Roman" w:hAnsi="Times New Roman"/>
                <w:sz w:val="20"/>
                <w:szCs w:val="20"/>
                <w:color w:val="auto"/>
                <w:w w:val="96"/>
              </w:rPr>
              <w:t xml:space="preserve">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2"/>
                <w:szCs w:val="22"/>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10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5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Not Determined</w:t>
            </w:r>
          </w:p>
        </w:tc>
      </w:tr>
      <w:tr>
        <w:trPr>
          <w:trHeight w:val="220"/>
        </w:trPr>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Fourth quarter</w:t>
            </w:r>
          </w:p>
        </w:tc>
      </w:tr>
      <w:tr>
        <w:trPr>
          <w:trHeight w:val="223"/>
        </w:trPr>
        <w:tc>
          <w:tcPr>
            <w:tcW w:w="39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98"/>
              </w:rPr>
              <w:t>Polk County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1,060,000</w:t>
            </w:r>
          </w:p>
        </w:tc>
        <w:tc>
          <w:tcPr>
            <w:tcW w:w="180" w:type="dxa"/>
            <w:vAlign w:val="bottom"/>
          </w:tcPr>
          <w:p>
            <w:pPr>
              <w:spacing w:after="0"/>
              <w:rPr>
                <w:sz w:val="19"/>
                <w:szCs w:val="19"/>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70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9"/>
              </w:rPr>
              <w:t>2024</w:t>
            </w:r>
          </w:p>
        </w:tc>
        <w:tc>
          <w:tcPr>
            <w:tcW w:w="20" w:type="dxa"/>
            <w:vAlign w:val="bottom"/>
          </w:tcPr>
          <w:p>
            <w:pPr>
              <w:spacing w:after="0"/>
              <w:rPr>
                <w:sz w:val="19"/>
                <w:szCs w:val="19"/>
                <w:color w:val="auto"/>
              </w:rPr>
            </w:pPr>
          </w:p>
        </w:tc>
      </w:tr>
      <w:tr>
        <w:trPr>
          <w:trHeight w:val="297"/>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Sapphire</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796,284</w:t>
            </w:r>
          </w:p>
        </w:tc>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Third quarter 2024</w:t>
            </w:r>
          </w:p>
        </w:tc>
      </w:tr>
      <w:tr>
        <w:trPr>
          <w:trHeight w:val="225"/>
        </w:trPr>
        <w:tc>
          <w:tcPr>
            <w:tcW w:w="398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97"/>
              </w:rPr>
              <w:t>Atlantic</w:t>
            </w:r>
            <w:r>
              <w:rPr>
                <w:rFonts w:ascii="Times New Roman" w:cs="Times New Roman" w:eastAsia="Times New Roman" w:hAnsi="Times New Roman"/>
                <w:sz w:val="23"/>
                <w:szCs w:val="23"/>
                <w:color w:val="auto"/>
                <w:w w:val="97"/>
                <w:vertAlign w:val="superscript"/>
              </w:rPr>
              <w:t>(2)</w:t>
            </w:r>
            <w:r>
              <w:rPr>
                <w:rFonts w:ascii="Times New Roman" w:cs="Times New Roman" w:eastAsia="Times New Roman" w:hAnsi="Times New Roman"/>
                <w:sz w:val="20"/>
                <w:szCs w:val="20"/>
                <w:color w:val="auto"/>
                <w:w w:val="97"/>
              </w:rPr>
              <w:t xml:space="preserve"> . . . . . . . . . . . . . . . . . . . . . . . . . . . . . . .</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331,785</w:t>
            </w:r>
          </w:p>
        </w:tc>
        <w:tc>
          <w:tcPr>
            <w:tcW w:w="180" w:type="dxa"/>
            <w:vAlign w:val="bottom"/>
          </w:tcPr>
          <w:p>
            <w:pPr>
              <w:spacing w:after="0"/>
              <w:rPr>
                <w:sz w:val="19"/>
                <w:szCs w:val="19"/>
                <w:color w:val="auto"/>
              </w:rPr>
            </w:pP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10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8"/>
              </w:rPr>
              <w:t>50%</w:t>
            </w:r>
          </w:p>
        </w:tc>
        <w:tc>
          <w:tcPr>
            <w:tcW w:w="180" w:type="dxa"/>
            <w:vAlign w:val="bottom"/>
          </w:tcPr>
          <w:p>
            <w:pPr>
              <w:spacing w:after="0"/>
              <w:rPr>
                <w:sz w:val="19"/>
                <w:szCs w:val="19"/>
                <w:color w:val="auto"/>
              </w:rPr>
            </w:pPr>
          </w:p>
        </w:tc>
        <w:tc>
          <w:tcPr>
            <w:tcW w:w="15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Mid 2025</w:t>
            </w:r>
          </w:p>
        </w:tc>
      </w:tr>
      <w:tr>
        <w:trPr>
          <w:trHeight w:val="239"/>
        </w:trPr>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Subtotal</w:t>
            </w: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4,424,351</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1"/>
        </w:trPr>
        <w:tc>
          <w:tcPr>
            <w:tcW w:w="88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83" w:lineRule="exact"/>
        <w:rPr>
          <w:sz w:val="20"/>
          <w:szCs w:val="20"/>
          <w:color w:val="auto"/>
        </w:rPr>
      </w:pPr>
    </w:p>
    <w:p>
      <w:pPr>
        <w:jc w:val="both"/>
        <w:ind w:left="480" w:hanging="480"/>
        <w:spacing w:after="0" w:line="252"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Emerald completed commissioning and commenced operations during the third quarter of 2023.</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see Item 3: Legal Proceedings and Note 17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financial statements.</w:t>
      </w:r>
    </w:p>
    <w:p>
      <w:pPr>
        <w:sectPr>
          <w:pgSz w:w="12240" w:h="15840" w:orient="portrait"/>
          <w:cols w:equalWidth="0" w:num="1">
            <w:col w:w="93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75" w:right="1440" w:bottom="348"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Renewable Power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Renewable Power projects in operation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00"/>
        </w:trPr>
        <w:tc>
          <w:tcPr>
            <w:tcW w:w="6480" w:type="dxa"/>
            <w:vAlign w:val="bottom"/>
          </w:tcPr>
          <w:p>
            <w:pPr>
              <w:spacing w:after="0"/>
              <w:rPr>
                <w:sz w:val="17"/>
                <w:szCs w:val="17"/>
                <w:color w:val="auto"/>
              </w:rPr>
            </w:pPr>
          </w:p>
        </w:tc>
        <w:tc>
          <w:tcPr>
            <w:tcW w:w="150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Nameplate</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RNG</w:t>
            </w:r>
          </w:p>
        </w:tc>
      </w:tr>
      <w:tr>
        <w:trPr>
          <w:trHeight w:val="200"/>
        </w:trPr>
        <w:tc>
          <w:tcPr>
            <w:tcW w:w="6480" w:type="dxa"/>
            <w:vAlign w:val="bottom"/>
          </w:tcPr>
          <w:p>
            <w:pPr>
              <w:spacing w:after="0"/>
              <w:rPr>
                <w:sz w:val="17"/>
                <w:szCs w:val="17"/>
                <w:color w:val="auto"/>
              </w:rPr>
            </w:pPr>
          </w:p>
        </w:tc>
        <w:tc>
          <w:tcPr>
            <w:tcW w:w="150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capacity</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conversion</w:t>
            </w:r>
          </w:p>
        </w:tc>
      </w:tr>
      <w:tr>
        <w:trPr>
          <w:trHeight w:val="219"/>
        </w:trPr>
        <w:tc>
          <w:tcPr>
            <w:tcW w:w="6480" w:type="dxa"/>
            <w:vAlign w:val="bottom"/>
          </w:tcPr>
          <w:p>
            <w:pPr>
              <w:spacing w:after="0"/>
              <w:rPr>
                <w:sz w:val="19"/>
                <w:szCs w:val="19"/>
                <w:color w:val="auto"/>
              </w:rPr>
            </w:pPr>
          </w:p>
        </w:tc>
        <w:tc>
          <w:tcPr>
            <w:tcW w:w="1500" w:type="dxa"/>
            <w:vAlign w:val="bottom"/>
            <w:gridSpan w:val="2"/>
          </w:tcPr>
          <w:p>
            <w:pPr>
              <w:jc w:val="center"/>
              <w:ind w:right="180"/>
              <w:spacing w:after="0" w:line="219" w:lineRule="exact"/>
              <w:rPr>
                <w:sz w:val="20"/>
                <w:szCs w:val="20"/>
                <w:color w:val="auto"/>
              </w:rPr>
            </w:pPr>
            <w:r>
              <w:rPr>
                <w:rFonts w:ascii="Times New Roman" w:cs="Times New Roman" w:eastAsia="Times New Roman" w:hAnsi="Times New Roman"/>
                <w:sz w:val="18"/>
                <w:szCs w:val="18"/>
                <w:b w:val="1"/>
                <w:bCs w:val="1"/>
                <w:color w:val="auto"/>
                <w:w w:val="98"/>
              </w:rPr>
              <w:t>(MW per hour)</w:t>
            </w:r>
            <w:r>
              <w:rPr>
                <w:rFonts w:ascii="Times New Roman" w:cs="Times New Roman" w:eastAsia="Times New Roman" w:hAnsi="Times New Roman"/>
                <w:sz w:val="20"/>
                <w:szCs w:val="20"/>
                <w:b w:val="1"/>
                <w:bCs w:val="1"/>
                <w:color w:val="auto"/>
                <w:w w:val="98"/>
                <w:vertAlign w:val="superscript"/>
              </w:rPr>
              <w:t>(1)</w:t>
            </w:r>
          </w:p>
        </w:tc>
        <w:tc>
          <w:tcPr>
            <w:tcW w:w="1260" w:type="dxa"/>
            <w:vAlign w:val="bottom"/>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4"/>
              </w:rPr>
              <w:t>candidate</w:t>
            </w:r>
            <w:r>
              <w:rPr>
                <w:rFonts w:ascii="Times New Roman" w:cs="Times New Roman" w:eastAsia="Times New Roman" w:hAnsi="Times New Roman"/>
                <w:sz w:val="20"/>
                <w:szCs w:val="20"/>
                <w:b w:val="1"/>
                <w:bCs w:val="1"/>
                <w:color w:val="auto"/>
                <w:w w:val="94"/>
                <w:vertAlign w:val="superscript"/>
              </w:rPr>
              <w:t>(2)</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operation:</w:t>
            </w:r>
          </w:p>
        </w:tc>
        <w:tc>
          <w:tcPr>
            <w:tcW w:w="13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Sycamore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Lopez . .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Miramar Energy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San Marcos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Santa Cruz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San Diego – Miramar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West Covina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Port Charlotte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Taunton . . . . . . . . . . . . . . . . . . . . . . . . . . . . . . . . . . . . . . . . . . . . . . . . . . . . . . . . .</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3.6</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Arbor Hills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w:t>
            </w:r>
          </w:p>
        </w:tc>
      </w:tr>
      <w:tr>
        <w:trPr>
          <w:trHeight w:val="223"/>
        </w:trPr>
        <w:tc>
          <w:tcPr>
            <w:tcW w:w="6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C&amp;C . . . . . . . . . . . . . . . . . . . . . . . . . . . . . . . . . . . . . . . . . . . . . . . . . . . . . . . . . . .</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Albany . . . . . . . . . . . . . . . . . . . . . . . . . . . . . . . . . . . . . . . . . . . . . . . . . . . . . . . . . .</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Concord and CMS.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Pioneer . . . . . . . . . . . . . . . . . . . . . . . . . . . . . . . . . . . . . . . . . . . . . . . . . . . . . . . . .</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Prince William I</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line="259" w:lineRule="exact"/>
              <w:rPr>
                <w:sz w:val="20"/>
                <w:szCs w:val="20"/>
                <w:color w:val="auto"/>
              </w:rPr>
            </w:pPr>
            <w:r>
              <w:rPr>
                <w:rFonts w:ascii="Times New Roman" w:cs="Times New Roman" w:eastAsia="Times New Roman" w:hAnsi="Times New Roman"/>
                <w:sz w:val="20"/>
                <w:szCs w:val="20"/>
                <w:color w:val="auto"/>
              </w:rPr>
              <w:t>Prince William II</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 . . . . . . . . . . . . . . . . .</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Yes</w:t>
            </w:r>
          </w:p>
        </w:tc>
      </w:tr>
      <w:tr>
        <w:trPr>
          <w:trHeight w:val="223"/>
        </w:trPr>
        <w:tc>
          <w:tcPr>
            <w:tcW w:w="6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Old Dominion . . . . . . . . . . . . . . . . . . . . . . . . . . . . . . . . . . . . . . . . . . . . . . . . . . . .</w:t>
            </w:r>
          </w:p>
        </w:tc>
        <w:tc>
          <w:tcPr>
            <w:tcW w:w="13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Yes</w:t>
            </w:r>
          </w:p>
        </w:tc>
      </w:tr>
      <w:tr>
        <w:trPr>
          <w:trHeight w:val="240"/>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0"/>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construction:</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Fall River</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hanging="480"/>
        <w:spacing w:after="0" w:line="250"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70" w:lineRule="auto"/>
        <w:tabs>
          <w:tab w:leader="none" w:pos="4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ind w:left="480" w:hanging="480"/>
        <w:spacing w:after="0" w:line="245"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RNG conversion is completed, it is currently contemplated that the Arbor Hills renewable power plant will continue limited operations on a stand-by, emergency basis through March of 2031.</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 William I renewable power plant discontinued operations in Q1 2024.</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 William II discontinued operations in Q1 2024.</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complete construction in fourth quarter of 2024.</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2" w:right="1440" w:bottom="348"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2023 and 2022</w:t>
      </w:r>
    </w:p>
    <w:p>
      <w:pPr>
        <w:spacing w:after="0" w:line="177"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period-over-period change for each line item in the Company’s consolidated statements of operations for the twelve months ended months ended December 31, 2023 and 2022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5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41"/>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60" w:type="dxa"/>
            <w:vAlign w:val="bottom"/>
            <w:tcBorders>
              <w:bottom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66,292</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73,158</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(6,866)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17,597</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1"/>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Power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44,958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9,846</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revenues . . . . . . . . . .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20,577</w:t>
            </w: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 – RNG fuel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 – Fuel station services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16,477</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 – Renewable power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 development and start up costs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(1,572)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(124)</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amortization, and accretion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1"/>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equity method investments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(5,525)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(5,784)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8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expenses . . . . . . . .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21,100</w:t>
            </w: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Operating income . . . . . . . . . . . . . . . . . .</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80" w:type="dxa"/>
            <w:vAlign w:val="bottom"/>
            <w:gridSpan w:val="2"/>
            <w:vMerge w:val="continue"/>
          </w:tcPr>
          <w:p>
            <w:pPr>
              <w:ind w:left="3500"/>
              <w:spacing w:after="0" w:line="192"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(523)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financing expense, net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(9,306)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(6,640)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(2,666)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derivative</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instruments, net . . . . . . . . .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33,081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(25,735)</w:t>
            </w:r>
          </w:p>
        </w:tc>
        <w:tc>
          <w:tcPr>
            <w:tcW w:w="13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124,472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122,529</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6306%</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debt extinguishment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(2,190)</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warrant exchange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(3,368)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w:t>
            </w: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before provision for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taxes . . . . . . . . . . . . . . . . .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94,445</w:t>
            </w:r>
          </w:p>
        </w:tc>
        <w:tc>
          <w:tcPr>
            <w:tcW w:w="180" w:type="dxa"/>
            <w:vAlign w:val="bottom"/>
          </w:tcPr>
          <w:p>
            <w:pPr>
              <w:spacing w:after="0"/>
              <w:rPr>
                <w:sz w:val="19"/>
                <w:szCs w:val="19"/>
                <w:color w:val="auto"/>
              </w:rPr>
            </w:pPr>
          </w:p>
        </w:tc>
        <w:tc>
          <w:tcPr>
            <w:tcW w:w="1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income taxes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94,445</w:t>
            </w: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 redeemable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97,426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22,409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75,017</w:t>
            </w:r>
          </w:p>
        </w:tc>
        <w:tc>
          <w:tcPr>
            <w:tcW w:w="180" w:type="dxa"/>
            <w:vAlign w:val="bottom"/>
          </w:tcPr>
          <w:p>
            <w:pPr>
              <w:spacing w:after="0"/>
              <w:rPr>
                <w:sz w:val="19"/>
                <w:szCs w:val="19"/>
                <w:color w:val="auto"/>
              </w:rPr>
            </w:pPr>
          </w:p>
        </w:tc>
        <w:tc>
          <w:tcPr>
            <w:tcW w:w="1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335%</w:t>
            </w: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attributable to non-redeemable</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(1,153)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804</w:t>
            </w:r>
          </w:p>
        </w:tc>
        <w:tc>
          <w:tcPr>
            <w:tcW w:w="180" w:type="dxa"/>
            <w:vAlign w:val="bottom"/>
          </w:tcPr>
          <w:p>
            <w:pPr>
              <w:spacing w:after="0"/>
              <w:rPr>
                <w:sz w:val="19"/>
                <w:szCs w:val="19"/>
                <w:color w:val="auto"/>
              </w:rPr>
            </w:pPr>
          </w:p>
        </w:tc>
        <w:tc>
          <w:tcPr>
            <w:tcW w:w="1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on Redeemable preferred</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11,011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7,932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3,079</w:t>
            </w:r>
          </w:p>
        </w:tc>
        <w:tc>
          <w:tcPr>
            <w:tcW w:w="180" w:type="dxa"/>
            <w:vAlign w:val="bottom"/>
          </w:tcPr>
          <w:p>
            <w:pPr>
              <w:spacing w:after="0"/>
              <w:rPr>
                <w:sz w:val="19"/>
                <w:szCs w:val="19"/>
                <w:color w:val="auto"/>
              </w:rPr>
            </w:pPr>
          </w:p>
        </w:tc>
        <w:tc>
          <w:tcPr>
            <w:tcW w:w="1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35"/>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common</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80" w:type="dxa"/>
            <w:vAlign w:val="bottom"/>
            <w:gridSpan w:val="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 xml:space="preserve">stockholders </w:t>
            </w:r>
            <w:r>
              <w:rPr>
                <w:rFonts w:ascii="Times New Roman" w:cs="Times New Roman" w:eastAsia="Times New Roman" w:hAnsi="Times New Roman"/>
                <w:sz w:val="20"/>
                <w:szCs w:val="20"/>
                <w:color w:val="auto"/>
              </w:rPr>
              <w:t>. . . . . . . . . . . . . . . . . . . . . . .</w:t>
            </w:r>
          </w:p>
        </w:tc>
        <w:tc>
          <w:tcPr>
            <w:tcW w:w="280" w:type="dxa"/>
            <w:vAlign w:val="bottom"/>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18,936</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3,391</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15,545</w:t>
            </w:r>
          </w:p>
        </w:tc>
        <w:tc>
          <w:tcPr>
            <w:tcW w:w="180" w:type="dxa"/>
            <w:vAlign w:val="bottom"/>
          </w:tcPr>
          <w:p>
            <w:pPr>
              <w:spacing w:after="0"/>
              <w:rPr>
                <w:sz w:val="19"/>
                <w:szCs w:val="19"/>
                <w:color w:val="auto"/>
              </w:rPr>
            </w:pPr>
          </w:p>
        </w:tc>
        <w:tc>
          <w:tcPr>
            <w:tcW w:w="1380" w:type="dxa"/>
            <w:vAlign w:val="bottom"/>
            <w:gridSpan w:val="3"/>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458%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80"/>
          </w:cols>
          <w:pgMar w:left="1440" w:top="941" w:right="1420" w:bottom="348"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8"/>
          </w:tcPr>
          <w:p>
            <w:pPr>
              <w:jc w:val="center"/>
              <w:ind w:left="661"/>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81"/>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r>
      <w:tr>
        <w:trPr>
          <w:trHeight w:val="210"/>
        </w:trPr>
        <w:tc>
          <w:tcPr>
            <w:tcW w:w="4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r>
      <w:tr>
        <w:trPr>
          <w:trHeight w:val="247"/>
        </w:trPr>
        <w:tc>
          <w:tcPr>
            <w:tcW w:w="4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RNG Fuel</w:t>
            </w:r>
          </w:p>
        </w:tc>
        <w:tc>
          <w:tcPr>
            <w:tcW w:w="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7"/>
              </w:rPr>
              <w:t>Brown gas sales . . . . . . . . . . . .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4,231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11,863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(7,632)</w:t>
            </w:r>
          </w:p>
        </w:tc>
      </w:tr>
      <w:tr>
        <w:trPr>
          <w:trHeight w:val="297"/>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61,049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r>
      <w:tr>
        <w:trPr>
          <w:trHeight w:val="223"/>
        </w:trPr>
        <w:tc>
          <w:tcPr>
            <w:tcW w:w="5100" w:type="dxa"/>
            <w:vAlign w:val="bottom"/>
            <w:gridSpan w:val="3"/>
          </w:tcPr>
          <w:p>
            <w:pPr>
              <w:ind w:left="200"/>
              <w:spacing w:after="0" w:line="223" w:lineRule="exact"/>
              <w:rPr>
                <w:sz w:val="20"/>
                <w:szCs w:val="20"/>
                <w:color w:val="auto"/>
              </w:rPr>
            </w:pPr>
            <w:r>
              <w:rPr>
                <w:rFonts w:ascii="Times New Roman" w:cs="Times New Roman" w:eastAsia="Times New Roman" w:hAnsi="Times New Roman"/>
                <w:sz w:val="20"/>
                <w:szCs w:val="20"/>
                <w:color w:val="auto"/>
              </w:rPr>
              <w:t>Other . . . . . . . . . . . . . . . . . . . . . . . . . . . . . . . . . . . . . . . . . . .</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594</w:t>
            </w:r>
          </w:p>
        </w:tc>
        <w:tc>
          <w:tcPr>
            <w:tcW w:w="60" w:type="dxa"/>
            <w:vAlign w:val="bottom"/>
          </w:tcPr>
          <w:p>
            <w:pPr>
              <w:spacing w:after="0"/>
              <w:rPr>
                <w:sz w:val="19"/>
                <w:szCs w:val="19"/>
                <w:color w:val="auto"/>
              </w:rPr>
            </w:pPr>
          </w:p>
        </w:tc>
      </w:tr>
      <w:tr>
        <w:trPr>
          <w:trHeight w:val="240"/>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w:t>
            </w:r>
            <w:r>
              <w:rPr>
                <w:rFonts w:ascii="Times New Roman" w:cs="Times New Roman" w:eastAsia="Times New Roman" w:hAnsi="Times New Roman"/>
                <w:sz w:val="20"/>
                <w:szCs w:val="20"/>
                <w:b w:val="1"/>
                <w:bCs w:val="1"/>
                <w:color w:val="auto"/>
              </w:rPr>
              <w:t>TotalRNGFuel</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66,292</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73,158</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(6,866)</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Fuel Station Services</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OPAL owned stations . . . . . . .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18,958</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19,263</w:t>
            </w:r>
          </w:p>
        </w:tc>
        <w:tc>
          <w:tcPr>
            <w:tcW w:w="10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(305)</w:t>
            </w:r>
          </w:p>
        </w:tc>
      </w:tr>
      <w:tr>
        <w:trPr>
          <w:trHeight w:val="297"/>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RNG marketing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45,277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16,365</w:t>
            </w:r>
          </w:p>
        </w:tc>
        <w:tc>
          <w:tcPr>
            <w:tcW w:w="60" w:type="dxa"/>
            <w:vAlign w:val="bottom"/>
          </w:tcPr>
          <w:p>
            <w:pPr>
              <w:spacing w:after="0"/>
              <w:rPr>
                <w:sz w:val="24"/>
                <w:szCs w:val="24"/>
                <w:color w:val="auto"/>
              </w:rPr>
            </w:pPr>
          </w:p>
        </w:tc>
      </w:tr>
      <w:tr>
        <w:trPr>
          <w:trHeight w:val="223"/>
        </w:trPr>
        <w:tc>
          <w:tcPr>
            <w:tcW w:w="5100" w:type="dxa"/>
            <w:vAlign w:val="bottom"/>
            <w:gridSpan w:val="3"/>
          </w:tcPr>
          <w:p>
            <w:pPr>
              <w:ind w:left="200"/>
              <w:spacing w:after="0" w:line="223" w:lineRule="exact"/>
              <w:rPr>
                <w:sz w:val="20"/>
                <w:szCs w:val="20"/>
                <w:color w:val="auto"/>
              </w:rPr>
            </w:pPr>
            <w:r>
              <w:rPr>
                <w:rFonts w:ascii="Times New Roman" w:cs="Times New Roman" w:eastAsia="Times New Roman" w:hAnsi="Times New Roman"/>
                <w:sz w:val="20"/>
                <w:szCs w:val="20"/>
                <w:color w:val="auto"/>
              </w:rPr>
              <w:t>Third party station service and maintenance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21,857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19,602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2,255</w:t>
            </w:r>
          </w:p>
        </w:tc>
        <w:tc>
          <w:tcPr>
            <w:tcW w:w="60" w:type="dxa"/>
            <w:vAlign w:val="bottom"/>
          </w:tcPr>
          <w:p>
            <w:pPr>
              <w:spacing w:after="0"/>
              <w:rPr>
                <w:sz w:val="19"/>
                <w:szCs w:val="19"/>
                <w:color w:val="auto"/>
              </w:rPr>
            </w:pPr>
          </w:p>
        </w:tc>
      </w:tr>
      <w:tr>
        <w:trPr>
          <w:trHeight w:val="260"/>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Construction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49,638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(718)</w:t>
            </w:r>
          </w:p>
        </w:tc>
      </w:tr>
      <w:tr>
        <w:trPr>
          <w:trHeight w:val="240"/>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w:t>
            </w:r>
            <w:r>
              <w:rPr>
                <w:rFonts w:ascii="Times New Roman" w:cs="Times New Roman" w:eastAsia="Times New Roman" w:hAnsi="Times New Roman"/>
                <w:sz w:val="20"/>
                <w:szCs w:val="20"/>
                <w:b w:val="1"/>
                <w:bCs w:val="1"/>
                <w:color w:val="auto"/>
              </w:rPr>
              <w:t>TotalFuelStationServices</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17,597</w:t>
            </w:r>
          </w:p>
        </w:tc>
        <w:tc>
          <w:tcPr>
            <w:tcW w:w="60" w:type="dxa"/>
            <w:vAlign w:val="bottom"/>
          </w:tcPr>
          <w:p>
            <w:pPr>
              <w:spacing w:after="0"/>
              <w:rPr>
                <w:sz w:val="20"/>
                <w:szCs w:val="20"/>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Renewable Power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Electricity sales . . . . . . . . . . . .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34,680</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39,461</w:t>
            </w:r>
          </w:p>
        </w:tc>
        <w:tc>
          <w:tcPr>
            <w:tcW w:w="10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(4,781)</w:t>
            </w:r>
          </w:p>
        </w:tc>
      </w:tr>
      <w:tr>
        <w:trPr>
          <w:trHeight w:val="262"/>
        </w:trPr>
        <w:tc>
          <w:tcPr>
            <w:tcW w:w="5100" w:type="dxa"/>
            <w:vAlign w:val="bottom"/>
            <w:gridSpan w:val="3"/>
          </w:tcPr>
          <w:p>
            <w:pPr>
              <w:ind w:left="200"/>
              <w:spacing w:after="0" w:line="262" w:lineRule="exact"/>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20,124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14,627</w:t>
            </w:r>
          </w:p>
        </w:tc>
        <w:tc>
          <w:tcPr>
            <w:tcW w:w="60" w:type="dxa"/>
            <w:vAlign w:val="bottom"/>
          </w:tcPr>
          <w:p>
            <w:pPr>
              <w:spacing w:after="0"/>
              <w:rPr>
                <w:sz w:val="22"/>
                <w:szCs w:val="22"/>
                <w:color w:val="auto"/>
              </w:rPr>
            </w:pPr>
          </w:p>
        </w:tc>
      </w:tr>
      <w:tr>
        <w:trPr>
          <w:trHeight w:val="238"/>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TotalRenewablePower</w:t>
            </w:r>
          </w:p>
        </w:tc>
        <w:tc>
          <w:tcPr>
            <w:tcW w:w="18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9,846</w:t>
            </w:r>
          </w:p>
        </w:tc>
        <w:tc>
          <w:tcPr>
            <w:tcW w:w="60" w:type="dxa"/>
            <w:vAlign w:val="bottom"/>
          </w:tcPr>
          <w:p>
            <w:pPr>
              <w:spacing w:after="0"/>
              <w:rPr>
                <w:sz w:val="20"/>
                <w:szCs w:val="20"/>
                <w:color w:val="auto"/>
              </w:rPr>
            </w:pPr>
          </w:p>
        </w:tc>
      </w:tr>
      <w:tr>
        <w:trPr>
          <w:trHeight w:val="241"/>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w:t>
            </w:r>
            <w:r>
              <w:rPr>
                <w:rFonts w:ascii="Times New Roman" w:cs="Times New Roman" w:eastAsia="Times New Roman" w:hAnsi="Times New Roman"/>
                <w:sz w:val="20"/>
                <w:szCs w:val="20"/>
                <w:b w:val="1"/>
                <w:bCs w:val="1"/>
                <w:color w:val="auto"/>
              </w:rPr>
              <w:t>TotalRevenues</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20,577</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Environmental Attributes in RNG Fuel segment and RNG marketing in Fuel Station Services segment relate to revenues earned from sales of RINs and LCFSs.</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Environmental Attributes in Renewable Power segment include revenues earned from sales of ISCC carbon sales and RECs.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Revenue from RNG Fuel decreased by $6.9 million, or 9%, for the year ended December 31, 2023 compared to the year ended December 31, 2022. This is primarily due to a decrease of $7.1 million in pricing and $0.5 million due to decrease in volumes relating to brown gas sales. The revenues from sale of Environmental Attributes remained flat year over year as lower RIN pricing was offset by higher volumes of sales. Additionally, there was $0.6 million increase in revenues earned from providing management services to unconsolidated entities.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Revenue from Fuel Station Services increased by $17.6 million, or 15%, for the year ended December 31, 2023 compared to the year ended December 31, 2022. This was primarily attributable to increase of $16.4 million in RNG marketing revenues due to higher Environmental Credit sales and marketing services, $2.3 million increase in service and maintenance revenues from increase in number of sites offset by decrease in construction revenues of $0.7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Revenue from Renewable Power increased by $9.8 million, or 22%, for the year ended December 31, 2023 compared to the year ended December 31, 2022. This change was attributable primarily to an increase of $14.6 million from sale of ISCC Carbon Credits and REC sales, offset by decrease of $2.6 million from shutdown of one of our facilities and $2.7 million decrease in revenues at two of our Renewable Power facilities due to conversion into RNG facilities. Additionally, the increase also resulted from one facility which was shut down for maintenance for majority of the year in 2022 but was operational in 2023.</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42" w:right="1440" w:bottom="348"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Cost of sales from RNG Fuel marginally decreased by $0.3 million, or 1%, for the year ended December 31, 2023 compared to the year ended December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Fuel Station Services increased by $16.5 million, or 17%, for the year ended December 31, 2023 compared to the year ended December 31, 2022. This change was attributable primarily to an increase of $13.4 million of dispensing fees to generate Environmental Attributes, $0.9 million in construction costs, $2.7 million in service related costs offset by decrease in $1.2 million due to lower brown gas pricing.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Renewable Power increased by $5.0 million, or 16%, for the year ended December 31, 2023 compared to the year ended December 31, 2022. This is primarily due to an increase of $1.3 million due to PPA termination expense, $2.5 million in planned maintenance expense and an $0.7 million increase in royalty expense at one of our facilities related to royalties on ISCC Carbon Credit sales.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Project development and start up costs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Project development and start up costs decreased by $1.6 million or 24%, for the year ended December 31, 2023compared to the year ended December 31, 2022. This is primarily due to decrease in virtual pipeline costs incurred on New River in 2022 which were not incurred after first quarter of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Selling, general, and administrative expenses remained flat for the year ended December 31, 2023 compared to the year ended December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amortization, and accretion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Depreciation, amortization, and accretion expense increased by a total of $1.4 million, or 11%, for the year ended December 31, 2023 compared to the year ended December 31, 2022. This change was primarily due to an $0.3 million increase from New River as depreciation for New River represented a partial year in 2022, $1.0 million increase in Beacon and our Renewable Power facilities and a $0.2 million increase from amortization of right-of-use assets for finance leases and increase in depreciation expense in our Fuel Station Services segment due to increase in the number of owned stations.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Net income attributable to equity method investments decreased by $0.3 million, or 4%, for the year ended December 31, 2023 compared to the year ended December 31, 2022. This is primarily due to the recording of a $3.2 million gain on settlement of commodity swap contracts as our portion from GREP in the third quarter of 2022 and an increase in net income from Pine Bend and Noble Road offset by the amortization of basis differences of $3.0 million in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financing expense, net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Interest and financing expenses, net increased by $2.7 million, or 40%, for the year ended December 31, 2023 compared to the year ended December 31, 2022. This is primarily due to an increase in interest expense on the OPAL Term Loan of $3.3 million primarily due to an increase in outstanding debt, $1.2 million on the Convertible Note Payable (we recorded a gain of $2.9 million in 2022) and $0.5 million in commitment fees offset by a decrease of $3.5 million in interest expense on our Senior Secured Credit Facility as the debt was repaid in full in March 2023.</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41" w:right="1440" w:bottom="348"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derivatives, net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Change in fair value of derivatives, net decreased by $25.7 million, or 78%, for the year ended December 31, 2023 compared to the year ended December 31, 2022. This change was attributable primarily to a decrease in gain of $30.2 million on our earnout liabilities, change in the fair value of a contingent payment to a non-controlling interest in one of our VIEs of $4.3 million, change in fair value of interest rate swaps and put option, offset by a negative change in fair value of warrant liabilities of $9.0 million. These liabilities were recorded in the consolidated balance sheet upon completion of the Business Combination.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Other income increased by $122.5 million, or 6306%, for the year ended December 31, 2023 compared to the year ended December 31, 2022. This change is primarily related to a gain $122.9 million recognized on deconsolidation of VIEs, Emerald and Sapphire.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debt extinguishment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May 30, 2023, OPAL Intermediate Holdco 2 assigned to Paragon its rights and obligations under OPAL Term Loan II. The joint venture partner of Paragon reimbursed OPAL Intermediate Holdco 2 $0.8 million as its portion of the transaction costs incurred.</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expensed the remaining deferred financing costs of $1.9 million as loss on debt extinguishment in its consolidated statement of operations for the year ended December 31, 2023. Additionally, we completed a debt restructuring of the OPAL Term Loan in third quarter of 2023 which was accounted for as a debt modification for the existing lenders by performing an analysis on a lender by lender basis under </w:t>
      </w:r>
      <w:r>
        <w:rPr>
          <w:rFonts w:ascii="Times New Roman" w:cs="Times New Roman" w:eastAsia="Times New Roman" w:hAnsi="Times New Roman"/>
          <w:sz w:val="20"/>
          <w:szCs w:val="20"/>
          <w:i w:val="1"/>
          <w:iCs w:val="1"/>
          <w:color w:val="auto"/>
        </w:rPr>
        <w:t>ASC 470-50 Debt modifications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exchanges. </w:t>
      </w:r>
      <w:r>
        <w:rPr>
          <w:rFonts w:ascii="Times New Roman" w:cs="Times New Roman" w:eastAsia="Times New Roman" w:hAnsi="Times New Roman"/>
          <w:sz w:val="20"/>
          <w:szCs w:val="20"/>
          <w:color w:val="auto"/>
        </w:rPr>
        <w:t>As a result, the Company recorded debt extinguishment of $0.3 million representing the fees allocated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lenders who were repaid in full as part of loss on debt extinguishment in the consolidated statement of operations for the year ended December 31, 2023.</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was no loss on debt extinguishment for the year ended December 31,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warrant exchange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December 22, 2022, we completed the exchange offer of outstanding Public Warrants and Private Warrants and issued 3,309,296 shares of Class A common stock in exchange for the warrants tendered in the Offer. Pursuant to the Warrant Amendment dated December 21, 2022, we exercised our right to exchange the remaining outstanding Warrants and issued 497,080 shares of Class A common stock on December 23, 2022. Following the completion of the exchange, the Public Warrants were suspended from trading on the Nasdaq and delisted. There are no longer any Warrants outstanding. We recorded $3.4 million as a loss on exchange of Warrants in our consolidated statement of operations for the year ended December 31, 2022.</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March 2023, we issued 49,633 shares to certain warrant holders as consideration for their prior agreement to tender all warrants held by the warrant holders in the voluntary exchange offer which closed on December 22, 2022. We recorded $338 thousand representing the fair value of the shares issued based on the closing price on March 30, 2023 as part of Loss on warrant exchange on its consolidated statement of operations for the year ended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redeemable non-controlling interests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for the year ended December 31, 2023 and 2022 is $97.4 million and $22.4 million, respectively. The net income for the years ended December 31, 2023 and 2022 reflects the net income belonging to OPAL Fuels equity holders based on pro-rata ownership.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attributable to non-redeemable non-controlling interests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Net loss attributable to non-redeemable non-controlling interests for the year ended December 31, 2023 decreased by $0.8 million or 70%, compared to the year ended December 31, 2022. This reflects the joint venture partners’ loss in those entities we sold a portion of our membership interests in certain RNG facilities which are consolidated in our financial statements. The decrease is primarily due to deconsolidation of Emerald and Sapphire which were previously</w:t>
      </w:r>
    </w:p>
    <w:p>
      <w:pPr>
        <w:sectPr>
          <w:pgSz w:w="12240" w:h="15840" w:orient="portrait"/>
          <w:cols w:equalWidth="0" w:num="1">
            <w:col w:w="9360"/>
          </w:cols>
          <w:pgMar w:left="1440" w:top="941" w:right="1440" w:bottom="348"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41" w:right="1440" w:bottom="348" w:gutter="0" w:footer="0" w:header="0"/>
          <w:type w:val="continuous"/>
        </w:sectPr>
      </w:pPr>
    </w:p>
    <w:bookmarkStart w:id="73" w:name="page74"/>
    <w:bookmarkEnd w:id="73"/>
    <w:p>
      <w:pPr>
        <w:jc w:val="both"/>
        <w:spacing w:after="0" w:line="248" w:lineRule="auto"/>
        <w:rPr>
          <w:sz w:val="20"/>
          <w:szCs w:val="20"/>
          <w:color w:val="auto"/>
        </w:rPr>
      </w:pPr>
      <w:r>
        <w:rPr>
          <w:rFonts w:ascii="Times New Roman" w:cs="Times New Roman" w:eastAsia="Times New Roman" w:hAnsi="Times New Roman"/>
          <w:sz w:val="20"/>
          <w:szCs w:val="20"/>
          <w:color w:val="auto"/>
        </w:rPr>
        <w:t>recorded as non-controlling interests but are now accounted for as equity method investments. These entities for the year ended December 31, 2023, were Sunoma, Central Valley and Emerald, Sapphire for the first four months of 2023. The entities accounted for as non-redeemable non-controlling interests for the year ended December 31, 2022 were Sunoma, Emerald, Sapphire and Central Valley.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on redeemable preferred non-controlling interests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Redeemable preferred non-controlling interests carry an 8% dividend payable quarterly either in cash or paid-in-kind for the first eight quarters at our option. During the third quarter of 2023, the Company repaid $16.5 million of paid-in-kind preferred dividend. As of December 31, 2023, there was $2.6 million of accrued dividend for the fourth quarter of 2023 which was paid in January 2024.</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dividends on redeemable preferred non-controlling interests for the year ended December 31, 2023 increased by $3.1 million or 39% primarily due to full year of dividends on Series A preferred units with NextEra compared to partial year in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2023, our liquidity consisted of cash and cash equivalents including restricted cash of $47.2 million and $9.9 million of short term investments. Additionally, we have availability of $263.4 million under the delayed draw term loan and $36.2 million under the revolver facility under the OPAL Term Loan.</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we had total indebtedness excluding deferred financing costs of $209.1 million which primarily consists of $186.6 million under the OPAL Term Loan and $22.5 million under Sunoma Loan.</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intend to make payments under our various debt instruments when due and pursue opportunities for earlier repayment and/or refinancing if and when these opportunities arise.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See Note 7.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xml:space="preserve"> to our consolidated financial statements.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48" w:right="1440" w:bottom="348"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The following table presents the Company’s cash flows for the years ended December 31, 2023 and 2022:</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40386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38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318pt,1.1pt" o:allowincell="f" strokecolor="#000000" strokeweight="0.5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 . . . . . . . . . . . . . . . . . . . . . .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cash used in investing activities . . . .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cash provided by financing activities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(decrease) increase in cash, restricted cash, and cash equivalents . . . . . . . . .</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right="1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7145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35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38,269</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(1,355)</w:t>
            </w:r>
          </w:p>
        </w:tc>
      </w:tr>
      <w:tr>
        <w:trPr>
          <w:trHeight w:val="260"/>
        </w:trPr>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(74,147)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(184,028)</w:t>
            </w:r>
          </w:p>
        </w:tc>
      </w:tr>
      <w:tr>
        <w:trPr>
          <w:trHeight w:val="261"/>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220,550</w:t>
            </w:r>
          </w:p>
        </w:tc>
        <w:tc>
          <w:tcPr>
            <w:tcW w:w="60" w:type="dxa"/>
            <w:vAlign w:val="bottom"/>
          </w:tcPr>
          <w:p>
            <w:pPr>
              <w:spacing w:after="0"/>
              <w:rPr>
                <w:sz w:val="22"/>
                <w:szCs w:val="22"/>
                <w:color w:val="auto"/>
              </w:rPr>
            </w:pPr>
          </w:p>
        </w:tc>
      </w:tr>
      <w:tr>
        <w:trPr>
          <w:trHeight w:val="240"/>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(29,979)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35,167</w:t>
            </w:r>
          </w:p>
        </w:tc>
        <w:tc>
          <w:tcPr>
            <w:tcW w:w="60" w:type="dxa"/>
            <w:vAlign w:val="bottom"/>
          </w:tcPr>
          <w:p>
            <w:pPr>
              <w:spacing w:after="0"/>
              <w:rPr>
                <w:sz w:val="20"/>
                <w:szCs w:val="20"/>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5" w:lineRule="exact"/>
        <w:rPr>
          <w:sz w:val="20"/>
          <w:szCs w:val="20"/>
          <w:color w:val="auto"/>
        </w:rPr>
      </w:pPr>
    </w:p>
    <w:p>
      <w:pPr>
        <w:sectPr>
          <w:pgSz w:w="12240" w:h="15840" w:orient="portrait"/>
          <w:cols w:equalWidth="0" w:num="2">
            <w:col w:w="6360" w:space="180"/>
            <w:col w:w="2820"/>
          </w:cols>
          <w:pgMar w:left="1440" w:top="941" w:right="1440" w:bottom="348" w:gutter="0" w:footer="0" w:header="0"/>
          <w:type w:val="continuous"/>
        </w:sect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2023 was $38.3 million, an increase of $39.6 million compared to net cash used in operating activities of $1.4 million for the year ended December 31, 2022. The increase in cash provided by operating activities was primarily attributable to positive capital changes primarily related to accounts receivable, accounts receivable, related party, accounts payable, related party, environmental credits held for sale and contract assets.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Investing Activities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2023 was $74.1 million, a decrease of $109.9 million compared to the $184.0 million used in investing activities for the year ended December 31, 2022. This was primarily driven by a decrease in cash invested in short term investments of $120.1 million, deconsolidation of VIEs net cash of $11.9 million, an increase in distribution from equity method investment of $2.7 million, a decrease in payments made for the construction of various RNG generation and dispensing facilities of $17.6 million offset by an increase in cash paid for investments in other entities of $7.7 million and the repayment of Note receivable of $10.8 million in the third quarter of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Net cash provided by financing activities for the year ended December 31, 2023 was $5.9 million, a decrease of $214.7 million compared to the $220.6 million provided from financing activities for the year ended December 31, 2022. This was primarily due to a decrease of $138.9 million from closing of the Business Combination and $100.0 million decrease from proceeds from issuance of Redeemable Preferred Units to NextEra in the prior year, the repurchase of $16.4 million of shares of our Class A common stock in connection with the exercise of the put option and decrease of $10.4 million proceeds from non-redeemable non-controlling interests. This was offset by an increase in proceeds of $144.1 million from OPAL Term Loan post amendment in September 2023, accompanied by repayment of existing balance of $87.6 million on the OPAL Term Loan, Convertible Note Payable of $30.1 million and paid-in-kind preferred dividends of $16.6 million. Additionally, the Company paid $10.9 million in transaction fees.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and other cash commitments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we anticipate spending approximately $179.3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20"/>
          <w:szCs w:val="20"/>
          <w:b w:val="1"/>
          <w:bCs w:val="1"/>
          <w:color w:val="auto"/>
        </w:rPr>
        <w:t>.</w:t>
      </w:r>
    </w:p>
    <w:p>
      <w:pPr>
        <w:sectPr>
          <w:pgSz w:w="12240" w:h="15840" w:orient="portrait"/>
          <w:cols w:equalWidth="0" w:num="1">
            <w:col w:w="9360"/>
          </w:cols>
          <w:pgMar w:left="1440" w:top="941" w:right="1440" w:bottom="348"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41" w:right="1440" w:bottom="348" w:gutter="0" w:footer="0" w:header="0"/>
          <w:type w:val="continuous"/>
        </w:sectPr>
      </w:pPr>
    </w:p>
    <w:bookmarkStart w:id="75" w:name="page76"/>
    <w:bookmarkEnd w:id="75"/>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 xml:space="preserve">In addition to the above, we also have lease commitments on our vehicle fleets and office leases and quarterly amortization payment obligations under various debt facilities. Please see Note 7.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xml:space="preserve"> and Note 8.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We plan to fund these expenditures primarily through cash on hand, cash generated from operations and availability under existing debt facilities.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55"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19"/>
          <w:szCs w:val="19"/>
          <w:i w:val="1"/>
          <w:iCs w:val="1"/>
          <w:color w:val="auto"/>
        </w:rPr>
        <w:t>Derivative Financial Instruments and Fair Value Measurements,</w:t>
      </w:r>
      <w:r>
        <w:rPr>
          <w:rFonts w:ascii="Times New Roman" w:cs="Times New Roman" w:eastAsia="Times New Roman" w:hAnsi="Times New Roman"/>
          <w:sz w:val="19"/>
          <w:szCs w:val="19"/>
          <w:color w:val="auto"/>
        </w:rPr>
        <w:t xml:space="preserve"> to our consolidated financial statements.</w:t>
      </w:r>
    </w:p>
    <w:p>
      <w:pPr>
        <w:spacing w:after="0" w:line="23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information required by this item is contained in the financial statements set forth in Item 15(a) under the caption “Consolidated Financial Statements” as part of this Annual Report on Form 10-K.</w:t>
      </w:r>
    </w:p>
    <w:p>
      <w:pPr>
        <w:spacing w:after="0" w:line="253" w:lineRule="exact"/>
        <w:rPr>
          <w:sz w:val="20"/>
          <w:szCs w:val="20"/>
          <w:color w:val="auto"/>
        </w:rPr>
      </w:pPr>
    </w:p>
    <w:p>
      <w:pPr>
        <w:jc w:val="both"/>
        <w:ind w:left="960" w:right="2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Our management, with the participation of our Co-Chief Executive Officers and our Chief Financial Officer (our co-principal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5"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Based on that evaluation of our disclosure controls and procedures as of December 31, 2023, our Co-Chief Executive Officers and Interim Chief Financial Officer concluded that, as of such date, our disclosure controls and procedures were effective for the period covered by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177" w:lineRule="exact"/>
        <w:rPr>
          <w:sz w:val="20"/>
          <w:szCs w:val="20"/>
          <w:color w:val="auto"/>
        </w:rPr>
      </w:pPr>
    </w:p>
    <w:p>
      <w:pPr>
        <w:jc w:val="both"/>
        <w:ind w:right="20" w:firstLine="480"/>
        <w:spacing w:after="0" w:line="265"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w:t>
      </w:r>
    </w:p>
    <w:p>
      <w:pPr>
        <w:sectPr>
          <w:pgSz w:w="12240" w:h="15840" w:orient="portrait"/>
          <w:cols w:equalWidth="0" w:num="1">
            <w:col w:w="9380"/>
          </w:cols>
          <w:pgMar w:left="1440" w:top="948" w:right="1420" w:bottom="348"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80"/>
          </w:cols>
          <w:pgMar w:left="1440" w:top="948" w:right="1420" w:bottom="348" w:gutter="0" w:footer="0" w:header="0"/>
          <w:type w:val="continuous"/>
        </w:sectPr>
      </w:pPr>
    </w:p>
    <w:bookmarkStart w:id="76" w:name="page77"/>
    <w:bookmarkEnd w:id="76"/>
    <w:p>
      <w:pPr>
        <w:jc w:val="both"/>
        <w:spacing w:after="0" w:line="246" w:lineRule="auto"/>
        <w:rPr>
          <w:sz w:val="20"/>
          <w:szCs w:val="20"/>
          <w:color w:val="auto"/>
        </w:rPr>
      </w:pPr>
      <w:r>
        <w:rPr>
          <w:rFonts w:ascii="Times New Roman" w:cs="Times New Roman" w:eastAsia="Times New Roman" w:hAnsi="Times New Roman"/>
          <w:sz w:val="20"/>
          <w:szCs w:val="20"/>
          <w:color w:val="auto"/>
        </w:rPr>
        <w:t>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effective as of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Remediation of Material Weakness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 In connection with the preparation and audit of our consolidated financial statements for each of the years ended December 31, 2022 and 2021, material weaknesses were identified in our internal control over financial reporting related reviews for the accounting and disclosures of significant transactions, lack of timely and effective reviews over accounts reconciliations and application of ASC 606. These deficiencies in internal control over financial reporting were detailed in Item 9A of the Company’s Annual Report on Form 10-K for the fiscal year ended December 31, 2022.</w:t>
      </w:r>
    </w:p>
    <w:p>
      <w:pPr>
        <w:spacing w:after="0" w:line="151"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During the fourth quarter of 2023, we successfully completed the testing necessary to conclude that the material weaknesses have been remediated. We will continue to monitor the effectiveness of these and other processes, procedures, and controls and will make any further changes that management determines to be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taken actions to remediate the material weaknesses related to our internal control over financial reporting, as described in the Remediation of Material Weakness above. During the year ended December 31, 2023, we implemented new controls and modified existing controls around accounting for significant transactions, reviews of accounts reconciliations and application of ASC 606. We have therefore augmented ICFR as follows:</w:t>
      </w:r>
    </w:p>
    <w:p>
      <w:pPr>
        <w:spacing w:after="0" w:line="149" w:lineRule="exact"/>
        <w:rPr>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and implemented new controls for capturing and identifying significant and unusual transactions in a timely manner.</w:t>
      </w:r>
    </w:p>
    <w:p>
      <w:pPr>
        <w:spacing w:after="0" w:line="15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and implemented new controls to strengthen the internal review processes for accounting of significant and unusual transactions.</w:t>
      </w:r>
    </w:p>
    <w:p>
      <w:pPr>
        <w:spacing w:after="0" w:line="15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and implemented new controls by creating new or enhancing existing reconciliation templates for balance sheet accounts including accrued construction in progress, accrued dispensing payables and inter company eliminations.</w:t>
      </w:r>
    </w:p>
    <w:p>
      <w:pPr>
        <w:spacing w:after="0" w:line="15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Implemented general information technology controls over our financial reporting system by disabling the functionality for the same employee to prepare and post journal entries.</w:t>
      </w:r>
    </w:p>
    <w:p>
      <w:pPr>
        <w:spacing w:after="0" w:line="14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and implemented new controls over revenue accounting and application of ASC 606.</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we believe these efforts have remediated the material weaknesses identified, we cannot guarantee that these steps have been or will be sufficient to remediate the deficiencies or that in the future we will not have a material weakness that prevents us from concluding that our internal control financial reporting is effective. The effectiveness of our internal control over financial reporting is subject to various inherent limitations, judgments used in decision making, assumptions about the likelihood of future events, the possibility of human error and the risk of fraud. If our remedial measures are insufficient to address the material weaknesses or if additional material weaknesses arise in the future, this could adversely affect our reputation and business and the market price of our securities.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fiscal quarter ended December 31, 2023, none of our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948" w:right="1440" w:bottom="348"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our directors, executive officers and certain corporate governance items will be included in the proxy statement for the 2024 annual meeting of shareholders, to be filed within 120 days after December 31, 2023, and is incorporated by reference to this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executive compensation will be included in the proxy statement for the 2024 annual meeting of shareholders, to be filed within 120 days after December 31, 2023, and is incorporated by reference to this Form 10-K.</w:t>
      </w:r>
    </w:p>
    <w:p>
      <w:pPr>
        <w:spacing w:after="0" w:line="251" w:lineRule="exact"/>
        <w:rPr>
          <w:sz w:val="20"/>
          <w:szCs w:val="20"/>
          <w:color w:val="auto"/>
        </w:rPr>
      </w:pPr>
    </w:p>
    <w:p>
      <w:pPr>
        <w:jc w:val="both"/>
        <w:ind w:left="960" w:hanging="959"/>
        <w:spacing w:after="0" w:line="24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Information regarding (i) security ownership of certain beneficial owners and management and related stockholder matters and (ii) securities authorized for issuance under equity compensation plans will be included in the proxy statement for the 2024 annual meeting of shareholders, to be filed within 120 days after December 31, 2023, and is incorporated by reference to this Form 10-K.</w:t>
      </w:r>
    </w:p>
    <w:p>
      <w:pPr>
        <w:spacing w:after="0" w:line="248" w:lineRule="exact"/>
        <w:rPr>
          <w:sz w:val="20"/>
          <w:szCs w:val="20"/>
          <w:color w:val="auto"/>
        </w:rPr>
      </w:pPr>
    </w:p>
    <w:p>
      <w:pPr>
        <w:jc w:val="both"/>
        <w:ind w:left="960" w:hanging="959"/>
        <w:spacing w:after="0" w:line="242" w:lineRule="auto"/>
        <w:rPr>
          <w:sz w:val="20"/>
          <w:szCs w:val="20"/>
          <w:color w:val="auto"/>
        </w:rPr>
      </w:pPr>
      <w:r>
        <w:rPr>
          <w:rFonts w:ascii="Times New Roman" w:cs="Times New Roman" w:eastAsia="Times New Roman" w:hAnsi="Times New Roman"/>
          <w:sz w:val="20"/>
          <w:szCs w:val="20"/>
          <w:b w:val="1"/>
          <w:bCs w:val="1"/>
          <w:color w:val="auto"/>
        </w:rPr>
        <w:t>ITEM 13. CERTAIN</w:t>
      </w:r>
      <w:r>
        <w:rPr>
          <w:sz w:val="20"/>
          <w:szCs w:val="20"/>
          <w:color w:val="auto"/>
        </w:rPr>
        <w:t xml:space="preserve"> </w:t>
      </w:r>
      <w:r>
        <w:rPr>
          <w:rFonts w:ascii="Times New Roman" w:cs="Times New Roman" w:eastAsia="Times New Roman" w:hAnsi="Times New Roman"/>
          <w:sz w:val="20"/>
          <w:szCs w:val="20"/>
          <w:b w:val="1"/>
          <w:bCs w:val="1"/>
          <w:color w:val="auto"/>
        </w:rPr>
        <w:t>RELATIONSHIPS AND RELATED TRANSACTIONS AND DIRECTOR INDEPENDENCE</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certain relationships and related transactions and director independence will be included in the proxy statement for the 2024 annual meeting of shareholders, to be filed within 120 days after December 31, 2023, and is incorporated by reference to this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principal accounting fees and services billed to us by our principal accountant, BDO USA, P.C will be included in the proxy statement for the 2024 annual meeting of shareholders, to be filed within 120 days after December 31, 2023, and is incorporated by reference to this Form 10-K.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41" w:right="1440" w:bottom="348"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70" w:lineRule="exact"/>
        <w:rPr>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Annual Report on Form 10-K</w:t>
      </w:r>
    </w:p>
    <w:p>
      <w:pPr>
        <w:spacing w:after="0" w:line="176"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Financial Statements: See accompanying Index to Consolidated Financial Statements.</w:t>
      </w:r>
    </w:p>
    <w:p>
      <w:pPr>
        <w:spacing w:after="0" w:line="181" w:lineRule="exact"/>
        <w:rPr>
          <w:rFonts w:ascii="Times New Roman" w:cs="Times New Roman" w:eastAsia="Times New Roman" w:hAnsi="Times New Roman"/>
          <w:sz w:val="19"/>
          <w:szCs w:val="19"/>
          <w:color w:val="auto"/>
        </w:rPr>
      </w:pPr>
    </w:p>
    <w:p>
      <w:pPr>
        <w:jc w:val="both"/>
        <w:ind w:left="1440" w:hanging="480"/>
        <w:spacing w:after="0" w:line="246" w:lineRule="auto"/>
        <w:tabs>
          <w:tab w:leader="none" w:pos="14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080" w:type="dxa"/>
            <w:vAlign w:val="bottom"/>
            <w:tcBorders>
              <w:bottom w:val="single" w:sz="8" w:color="auto"/>
            </w:tcBorders>
          </w:tcPr>
          <w:p>
            <w:pPr>
              <w:ind w:left="36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1"/>
                <w:szCs w:val="21"/>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Combination Agreement, dated as of December 2, 2021, by and among ArcLight, OPAL</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Fuels and OPAL Holdco (incorporated by reference to Exhibit 2.1 of the Company’s Current Report on</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with the SEC on December 3, 2021).</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Restated Certificate of Incorporation of OPAL Fuels Inc. (incorporated by reference to Exhibit 3.1 to</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Current Report on Form 8-K/A filed by the Company on August 10,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Bylaws of OPAL Fuels Inc. (incorporated by reference to Exhibit 3.2 to the Current Report on Form 8-K</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filed by the Company on July 27,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Warrant Certificate (incorporated by reference to Exhibit 4.3 to the Registration Statement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Form S-1 (File No. 333-252730) filed by the registrant on March 8, 2021).</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Agreement between Continental Stock Transfer &amp; Trust Company and ArcLight Clean</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Transition Corp. II, dated March 22, 2021 (incorporated by reference to Exhibit 4.1 to the Current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by the Company on March 26, 2021).</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Warrant Agreement, dated December 19, 2022, by and between the Company</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Continental Stock Transfer &amp; Trust Company (incorporated by reference to Exhibit 10.1 to the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Company’s Form 8-K filed with the SEC on December 19,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4.4*</w:t>
            </w: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OPAL Fuels Inc. Short-Term Incentive Plan (incorporated by reference to Exhibit 4.4 to the Annual</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10-K filed by the Company on March 29,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Stock Option Grant Notice and Option Agreement (incorporated by reference to Exhibit 4.5 to</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Annual Report on Form 10-K filed by the Company on March 29,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Form of Performance Restricted Stock Unit Award Grant Notice and Award Agreement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reference to Exhibit 4.6 to the Annual Report on Form 10-K filed by the Company on March 29,</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Form of OPAL Indemnification Agreement (incorporated by reference to Exhibit 10.1 to the Registration</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Statement on Form S-4 (File No. 333-262583), filed on May 6,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2022 Omnibus Equity Incentive Plan (incorporated by reference to Exhibit 10.2 to the Current Report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Form 8-K filed by the Company on July 27,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Sponsor Letter Agreement, dated as of December 2, 2021, by and among OPAL Fuels LLC, ArcLight</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Clean Transition Corp. II and certain other parties thereto (incorporated by reference to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by referenced to Exhibit 10.2 to the Company’s Current Report on Form 8-K filed by the registrant on</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December 3, 2021)</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Subscription Agreement (incorporated by reference to Exhibit 10.1 of the Company’s Current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with the SEC on December 3, 2021).</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Amendment No. 1 to the Subscription Agreement (incorporated by reference to Exhibit 10.1</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of the Company’s Current Report on Form 8-K, filed with the SEC on May 12,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Receivable Agreement, dated July 21, 2022, by and among OPAL Fuels Inc. and the persons</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named therein (incorporated by reference to Exhibit 10.6 to the Current Report on Form 8-K filed by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 on July 27,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Investor Rights Agreement, dated July 21, 2022, by and among OPAL Fuels Inc., ArcLight CTC</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Holdings II, L.P., and the other persons named therein (incorporated by reference to Exhibit 10.7 to the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by the Company on July 27,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Second A&amp;R LLC Agreement of OPAL Fuels, including any Certificates of Designations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reference to Exhibit 10.8 to the Current Report on Form 8-K filed by the Company on July 27,</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1" w:right="1440" w:bottom="348"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080" w:type="dxa"/>
            <w:vAlign w:val="bottom"/>
            <w:tcBorders>
              <w:bottom w:val="single" w:sz="8" w:color="auto"/>
            </w:tcBorders>
          </w:tcPr>
          <w:p>
            <w:pPr>
              <w:ind w:left="36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1"/>
                <w:szCs w:val="21"/>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Delayed Draw Term Loan and Guaranty Agreement, dated October 22, 2021, by and among OPAL</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Fuels Intermediate Holdco LLC, the Guarantors named on the signature pages thereto, and the Lenders</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(as defined therein), and Bank of America, N.A., as Administrative Agent for the Lenders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reference to Exhibit 10.8 to the Registration Statement on Form S-4 (File No. 333-262583), filed</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March 25,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Amendment No. 1 to Delayed Draw Term Loan and Guaranty Agreement and Waiver, dated February 1,</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2022 (incorporated by reference to Exhibit 10.9 to the Registration Statement on Form S-4 (File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No. 333-262583), filed on March 25,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Environmental Attributes Purchase and Sale Agreement, dated November 29, 2021, by and between, on</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the one hand, NextEra Energy Marketing, LLC and, on the other hand, TruStar Energy LLC and OPAL</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Fuels LLC (incorporated by reference to Exhibit 10.10 to the Registration Statement on Form S-4 (File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No. 333-262583), filed on March 25,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Administrative Services Agreement, dated December 31, 2021, by and between OPAL Fuels and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Fortistar Services 2 LLC (incorporated by reference to Exhibit 10.11 to the Registration Statement on</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S-4 (File No. 333-262583), filed on March 25,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Indemnification and Hold Harmless Agreement, dated December 31, 2020, by and between OPAL</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Fuels LLC and Fortistar LLC (incorporated by reference to Exhibit 10.12 to the Registration Statement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Form S-4 (File No. 333-262583), filed on March 25,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Flue Gas Offtake and Preferred Partner Agreement, dated November 29, 2021, by and between</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CarbonFree Chemicals Holdings, LLC and OPAL Fuels LLC (incorporated by reference to Exhibit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10.13 to the Registration Statement on Form S-4 (File No. 333-262583), filed on March 25,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3 to Delayed Draw Term Loan and Guaranty Agreement, dated September 29, 2022</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by the Company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October 3,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Stock Award Agreement dated September 15, 2022 (incorporated by reference to Exhibit 10.1</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the Current Report on Form 8-K filed by the Company on September 19,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Forward Purchase Agreement, dated July 18, 2022, among ArcLight Clean Transition Corp. II, Meteora</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Special Opportunity Fund I, LP, Meteora Select Trading Opportunities Master, LP and Meteora Capital</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Partners, LP (incorporated by reference to Exhibit 10.1 to the Current Report on Form 8-K filed by the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July 18,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5"/>
              </w:rPr>
              <w:t>Credit Agreement, dated August 4, 2022, made by and among OPAL Intermediate Holdco 2 as Borrower,</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 guarantors, the lenders thereto, Bank of Montreal as the administration agent, Wilmington Trust</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as collateral agent and Bank of Montreal, Investec Inc. and Comerica Bank as joint lead arrangers</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by the Company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August 8,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 dated as of May 16, 2022, by and between Arclight and Sponsor (incorporated by</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reference to Exhibit 10.6 to the Quarterly Report on Form 10-Q filed by the Company on August 10,</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Service Contract Agreement, dated December 15, 2022, by and between OPAL Fuels Inc. and United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Parcel Service Oasis Supply Corporation (incorporated by reference to Exhibit 10.1 to the Current</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by the Company on December 21, 2022).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FM3 Credit Agreement, dated December 19, 2022, by and between Fortistar Methane LLC, OPAL Fuels</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LLC and a syndicate of lenders led by MUFG Union Bank N.A. as administrative agent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by reference to Exhibit 10.2 to the Current Report on Form 8-K filed by the Company on December 21,</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Securities Purchase Agreement, dated March 30, 2023, by and between the Company and the purchasers</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named therein (incorporated by reference to Exhibit 10.1 to the Current Report on Form 8-K filed by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 on April 5,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Landfill Gas Purchase and Sale Agreement dated April 13, 2023 (effective as of March 13, 2023)</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(incorporated by reference to Exhibit 10.2 to the Quarterly Report on Form 10-Q filed by the Company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May 15,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Piggyback Agreement for Landfill Gas Purchase Agreement dated May 2, 2023 (incorporated by</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reference to Exhibit 10.3 to the Quarterly Report on Form 10-Q filed by the Company on May 15,</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973" w:right="1440" w:bottom="348"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080" w:type="dxa"/>
            <w:vAlign w:val="bottom"/>
            <w:tcBorders>
              <w:bottom w:val="single" w:sz="8" w:color="auto"/>
            </w:tcBorders>
          </w:tcPr>
          <w:p>
            <w:pPr>
              <w:ind w:left="36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180" w:type="dxa"/>
            <w:vAlign w:val="bottom"/>
          </w:tcPr>
          <w:p>
            <w:pPr>
              <w:spacing w:after="0"/>
              <w:rPr>
                <w:sz w:val="21"/>
                <w:szCs w:val="21"/>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Credit and Guaranty Agreement, dated May 30, 2023, among Paragon RNG</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LLC as Borrower, the Guarantors, the lenders thereto, Bank of Montreal as the administrative agent,</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Wilmington Trust as collateral agent and BMO Capital Markets Corp., Investec Inc. and Comerica</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Bank as joint lead arrangers (incorporated by reference to Exhibit 10.1 to the Current Report on</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June 2,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Third Amended and Restated Gas Sale and Purchase Agreement, dated August 11, 2023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by reference to Exhibit 10.5 to the Quarterly Report on Form 10-Q filed by the Company on August 14,</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Landfill Gas Purchase and Sale Agreement, dated August 28, 2023 with Waste Management of</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California, Inc. (incorporated by reference to Exhibit 10.1 to the Current Report on Form 8-K filed by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 on August 31,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Agreement, dated August 28, 2023 with Waste Management of California, Inc.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reference to Exhibit 10.2 to the Current Report on Form 8-K filed by the Company on August 31,</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Landfill Gas Purchase and Sale Agreement, dated August 28, 2023 with Guadalupe Rubbish Disposal</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Co., Inc. (incorporated by reference to Exhibit 10.3 to the Current Report on Form 8-K filed by the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August 31,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Agreement, dated August 28, 2023 with Guadalupe Rubbish Disposal Co., Inc.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reference to Exhibit 10.4 to the Current Report on Form 8-K filed by the Company on August 31,</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Credit Agreement, dated September 1, 2023, by and among Intermediate HoldCo as Borrower, the</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guarantors, the lenders party thereto, Bank of America, N.A. as the administration agent, and Apterra</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Infrastructure Capital LLC, Barclays Bank PLC, BofA Securities, Inc., Celtic Bank Corporation, JP</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Morgan Chase Bank, N.A. and Investec Inc., as joint lead arrangers (incorporated by reference to</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10.1 to the Current Report on Form 8-K filed by the Company on September 5,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Pledge Agreement, dated September 1, 2023, by OPAL Fuels Parent HoldCo 3 LLC in favor of Bank</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of America, N.A. (incorporated by reference to Exhibit 10.2 to the Current Report on Form 8-K filed</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by the Company on September 5,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Security Agreement, dated September 1, 2023, by OPAL Fuels Intermediate HoldCo LLC and the</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other grantors listed on the signature pages thereto in favor of Bank of America, N.A. (incorporated by</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reference to Exhibit 10.3 to the Current Report on Form 8-K filed by the Company on September 5,</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(Term), dated September 1, 2023, between OPAL Fuels Intermediate HoldCo LLC and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BankUnited, N.A. (incorporated by reference to Exhibit 10.4 to the Current Report on Form 8-K filed</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by the Company on September 5,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(Revolving), dated September 1, 2023, between OPAL Fuels Intermediate HoldCo LLC and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BankUnited, N.A. (incorporated by reference to Exhibit 10.5 to the Current Report on Form 8-K filed</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by the Company on September 5,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dated September 14, 2023, by and among OPAL L2G and SJI (incorporated by reference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Exhibit 10.1 to the Current Report on Form 8-K filed by the Company on September 20,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Interim Services Agreement dated October 12, 2023, between the Company and Fortistar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by reference to Exhibit 10.1 to the Current Report on Form 8-K filed by the Company on October 12,</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Separation Agreement and General Release dated October 19, 2023 between the Company and Ann</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Anthony (incorporated by reference to Exhibit 10.1 to the Current Report on Form 8-K/A filed by the</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October 20,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 Purchase and Sale Agreement, dated October 20, 2023, with Washington Gas Light Company</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by the Company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October 26,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Base Contract for Sale and Purchase of Natural Gas (San Diego), dated September 15, 2023</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(incorporated by reference to Exhibit 10.12 to the Quarterly Report on Form 10-Q filed by the Company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November 14, 2023).</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Base Contract for Sale and Purchase of Natural Gas (Richmond), dated September 15, 2023</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(incorporated by reference to Exhibit 10.13 to the Quarterly Report on Form 10-Q filed by the Company</w:t>
            </w:r>
          </w:p>
        </w:tc>
      </w:tr>
      <w:tr>
        <w:trPr>
          <w:trHeight w:val="223"/>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November 14, 2023).</w:t>
            </w:r>
          </w:p>
        </w:tc>
      </w:tr>
    </w:tbl>
    <w:p>
      <w:pPr>
        <w:spacing w:after="0" w:line="200" w:lineRule="exact"/>
        <w:rPr>
          <w:sz w:val="20"/>
          <w:szCs w:val="20"/>
          <w:color w:val="auto"/>
        </w:rPr>
      </w:pPr>
    </w:p>
    <w:p>
      <w:pPr>
        <w:sectPr>
          <w:pgSz w:w="12240" w:h="15840" w:orient="portrait"/>
          <w:cols w:equalWidth="0" w:num="1">
            <w:col w:w="9360"/>
          </w:cols>
          <w:pgMar w:left="1440" w:top="973" w:right="1440" w:bottom="348"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73" w:right="1440" w:bottom="348"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080" w:type="dxa"/>
            <w:vAlign w:val="bottom"/>
            <w:tcBorders>
              <w:bottom w:val="single" w:sz="8" w:color="auto"/>
            </w:tcBorders>
          </w:tcPr>
          <w:p>
            <w:pPr>
              <w:ind w:left="36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180" w:type="dxa"/>
            <w:vAlign w:val="bottom"/>
          </w:tcPr>
          <w:p>
            <w:pPr>
              <w:spacing w:after="0"/>
              <w:rPr>
                <w:sz w:val="21"/>
                <w:szCs w:val="21"/>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 Market Issuance Sales Agreement, dated November 17, 2023, among OPAL Fuels Inc., B. Riley</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Securities, Inc., Cantor Fitzgerald &amp; Co. and Stifel, Nicolaus &amp; Company, Incorporated (incorporated</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by reference to Exhibit 10.1 to the Current Report on Form 8-K filed by the Company on November 17,</w:t>
            </w:r>
          </w:p>
        </w:tc>
      </w:tr>
      <w:tr>
        <w:trPr>
          <w:trHeight w:val="223"/>
        </w:trPr>
        <w:tc>
          <w:tcPr>
            <w:tcW w:w="980" w:type="dxa"/>
            <w:vAlign w:val="bottom"/>
          </w:tcPr>
          <w:p>
            <w:pPr>
              <w:spacing w:after="0"/>
              <w:rPr>
                <w:sz w:val="19"/>
                <w:szCs w:val="19"/>
                <w:color w:val="auto"/>
              </w:rPr>
            </w:pPr>
          </w:p>
        </w:tc>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 of the registrant.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BDO USA, P.C, independent registered accounting firm.</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2"/>
                <w:szCs w:val="22"/>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 15d-14(a) under</w:t>
            </w:r>
          </w:p>
        </w:tc>
      </w:tr>
      <w:tr>
        <w:trPr>
          <w:trHeight w:val="220"/>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 Securities Exchange Act of 1934, as Adopted Pursuant to Section 302 of the Sarbanes-Oxley</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Act of 2002.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 15d-14(a) under</w:t>
            </w:r>
          </w:p>
        </w:tc>
      </w:tr>
      <w:tr>
        <w:trPr>
          <w:trHeight w:val="220"/>
        </w:trPr>
        <w:tc>
          <w:tcPr>
            <w:tcW w:w="980" w:type="dxa"/>
            <w:vAlign w:val="bottom"/>
          </w:tcPr>
          <w:p>
            <w:pPr>
              <w:spacing w:after="0"/>
              <w:rPr>
                <w:sz w:val="19"/>
                <w:szCs w:val="19"/>
                <w:color w:val="auto"/>
              </w:rPr>
            </w:pPr>
          </w:p>
        </w:tc>
        <w:tc>
          <w:tcPr>
            <w:tcW w:w="83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the Securities Exchange Act of 1934, as Adopted Pursuant to Section 302 of the Sarbanes-Oxley</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Act of 2002.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31.3</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w:t>
            </w:r>
          </w:p>
        </w:tc>
      </w:tr>
      <w:tr>
        <w:trPr>
          <w:trHeight w:val="220"/>
        </w:trPr>
        <w:tc>
          <w:tcPr>
            <w:tcW w:w="980" w:type="dxa"/>
            <w:vAlign w:val="bottom"/>
          </w:tcPr>
          <w:p>
            <w:pPr>
              <w:spacing w:after="0"/>
              <w:rPr>
                <w:sz w:val="19"/>
                <w:szCs w:val="19"/>
                <w:color w:val="auto"/>
              </w:rPr>
            </w:pPr>
          </w:p>
        </w:tc>
        <w:tc>
          <w:tcPr>
            <w:tcW w:w="83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Securities  Exchange Act of 1934,  as Adopted  Pursuant  to  Section 302  of  the  Sarbanes-Oxley</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Act of 2002.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18 U.S.C. Section 1350, as Adopted</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Pursuant to Section 906 of the Sarbanes-Oxley Act of 2002.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18 U.S.C. Section 1350, as Adopted</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Pursuant to Section 906 of the Sarbanes-Oxley Act of 2002.</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32.3**</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Clawback Policy</w:t>
            </w: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w:t>
            </w:r>
          </w:p>
        </w:tc>
      </w:tr>
      <w:tr>
        <w:trPr>
          <w:trHeight w:val="223"/>
        </w:trPr>
        <w:tc>
          <w:tcPr>
            <w:tcW w:w="980" w:type="dxa"/>
            <w:vAlign w:val="bottom"/>
          </w:tcPr>
          <w:p>
            <w:pPr>
              <w:spacing w:after="0"/>
              <w:rPr>
                <w:sz w:val="19"/>
                <w:szCs w:val="19"/>
                <w:color w:val="auto"/>
              </w:rPr>
            </w:pPr>
          </w:p>
        </w:tc>
        <w:tc>
          <w:tcPr>
            <w:tcW w:w="83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3" w:lineRule="exact"/>
        <w:rPr>
          <w:sz w:val="20"/>
          <w:szCs w:val="20"/>
          <w:color w:val="auto"/>
        </w:rPr>
      </w:pPr>
    </w:p>
    <w:p>
      <w:pPr>
        <w:ind w:left="480" w:hanging="480"/>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w:t>
      </w:r>
    </w:p>
    <w:p>
      <w:pPr>
        <w:spacing w:after="0" w:line="21"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8"/>
          <w:szCs w:val="18"/>
          <w:color w:val="auto"/>
        </w:rPr>
        <w:t>(Exchange Act), or otherwise subject to the liability of that section, nor shall it be deemed incorporated by reference into any filing under the Securities Act of 1933, as amended, or the Exchange Act.</w:t>
      </w:r>
    </w:p>
    <w:p>
      <w:pPr>
        <w:spacing w:after="0" w:line="9" w:lineRule="exact"/>
        <w:rPr>
          <w:sz w:val="20"/>
          <w:szCs w:val="20"/>
          <w:color w:val="auto"/>
        </w:rPr>
      </w:pPr>
    </w:p>
    <w:p>
      <w:pPr>
        <w:ind w:left="480" w:hanging="48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13" w:lineRule="exact"/>
        <w:rPr>
          <w:sz w:val="20"/>
          <w:szCs w:val="20"/>
          <w:color w:val="auto"/>
        </w:rPr>
      </w:pPr>
    </w:p>
    <w:p>
      <w:pPr>
        <w:ind w:left="480" w:hanging="48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supplementally a copy of any omitted schedule or exhibit to the SEC upon request.</w:t>
      </w:r>
    </w:p>
    <w:p>
      <w:pPr>
        <w:spacing w:after="0" w:line="21" w:lineRule="exact"/>
        <w:rPr>
          <w:sz w:val="20"/>
          <w:szCs w:val="20"/>
          <w:color w:val="auto"/>
        </w:rPr>
      </w:pPr>
    </w:p>
    <w:p>
      <w:pPr>
        <w:ind w:left="480" w:hanging="480"/>
        <w:spacing w:after="0" w:line="245"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17" w:lineRule="exact"/>
        <w:rPr>
          <w:sz w:val="20"/>
          <w:szCs w:val="20"/>
          <w:color w:val="auto"/>
        </w:rPr>
      </w:pPr>
    </w:p>
    <w:p>
      <w:pPr>
        <w:ind w:left="480"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document has been redacted in accordance with Item 601(b)(10)(iv) of Regulation S-K.</w:t>
      </w: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973" w:right="1440" w:bottom="348"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OPAL FUELS INC.</w:t>
            </w:r>
          </w:p>
        </w:tc>
        <w:tc>
          <w:tcPr>
            <w:tcW w:w="22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401"/>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March 15, 2024</w:t>
            </w:r>
          </w:p>
        </w:tc>
        <w:tc>
          <w:tcPr>
            <w:tcW w:w="22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Maurer</w:t>
            </w:r>
          </w:p>
        </w:tc>
      </w:tr>
      <w:tr>
        <w:trPr>
          <w:trHeight w:val="239"/>
        </w:trPr>
        <w:tc>
          <w:tcPr>
            <w:tcW w:w="3220" w:type="dxa"/>
            <w:vAlign w:val="bottom"/>
          </w:tcPr>
          <w:p>
            <w:pPr>
              <w:spacing w:after="0"/>
              <w:rPr>
                <w:sz w:val="20"/>
                <w:szCs w:val="20"/>
                <w:color w:val="auto"/>
              </w:rPr>
            </w:pPr>
          </w:p>
        </w:tc>
        <w:tc>
          <w:tcPr>
            <w:tcW w:w="22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r>
      <w:tr>
        <w:trPr>
          <w:trHeight w:val="260"/>
        </w:trPr>
        <w:tc>
          <w:tcPr>
            <w:tcW w:w="3220" w:type="dxa"/>
            <w:vAlign w:val="bottom"/>
          </w:tcPr>
          <w:p>
            <w:pPr>
              <w:spacing w:after="0"/>
              <w:rPr>
                <w:sz w:val="22"/>
                <w:szCs w:val="22"/>
                <w:color w:val="auto"/>
              </w:rPr>
            </w:pPr>
          </w:p>
        </w:tc>
        <w:tc>
          <w:tcPr>
            <w:tcW w:w="22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Comora</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Chairman</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Mark Comora</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Betsy L. Battle</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Betsy L. Battle</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Dols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Scott Dols</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Kevin M. Fogarty</w:t>
            </w:r>
          </w:p>
        </w:tc>
        <w:tc>
          <w:tcPr>
            <w:tcW w:w="1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Kevin M. Fogarty</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Martell</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James Martell</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Nadeem Nisar</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Nadeem Nisar</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Ashok Vemuri</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Ashok Vemuri</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15, 2024</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941" w:right="1440" w:bottom="348"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8956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228pt,1.1pt" o:allowincell="f" strokecolor="#000000" strokeweight="0.5pt"/>
            </w:pict>
          </mc:Fallback>
        </mc:AlternateConten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Adam Comora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28956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228pt,0.3pt" o:allowincell="f" strokecolor="#000000" strokeweight="0.5pt"/>
            </w:pict>
          </mc:Fallback>
        </mc:AlternateConten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Adam Comora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15,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Jonathan Maurer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28956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228pt,0.3pt" o:allowincell="f" strokecolor="#000000" strokeweight="0.5pt"/>
            </w:pict>
          </mc:Fallback>
        </mc:AlternateConten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Jonathan Maurer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15,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Contino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28956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228pt,0.3pt" o:allowincell="f" strokecolor="#000000" strokeweight="0.5pt"/>
            </w:pict>
          </mc:Fallback>
        </mc:AlternateConten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Contino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15, 2024</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8575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225pt,1.1pt" o:allowincell="f" strokecolor="#000000" strokeweight="0.5pt"/>
            </w:pict>
          </mc:Fallback>
        </mc:AlternateConten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Interim Chief Financial officer</w:t>
      </w:r>
    </w:p>
    <w:p>
      <w:pPr>
        <w:spacing w:after="0" w:line="724" w:lineRule="exact"/>
        <w:rPr>
          <w:sz w:val="20"/>
          <w:szCs w:val="20"/>
          <w:color w:val="auto"/>
        </w:rPr>
      </w:pPr>
    </w:p>
    <w:p>
      <w:pPr>
        <w:sectPr>
          <w:pgSz w:w="12240" w:h="15840" w:orient="portrait"/>
          <w:cols w:equalWidth="0" w:num="2">
            <w:col w:w="4020" w:space="720"/>
            <w:col w:w="462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975" w:right="1440" w:bottom="348"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5"/>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P.C; Stamford, CT;</w:t>
            </w:r>
          </w:p>
        </w:tc>
        <w:tc>
          <w:tcPr>
            <w:tcW w:w="780" w:type="dxa"/>
            <w:vAlign w:val="bottom"/>
          </w:tcPr>
          <w:p>
            <w:pPr>
              <w:spacing w:after="0"/>
              <w:rPr>
                <w:sz w:val="21"/>
                <w:szCs w:val="21"/>
                <w:color w:val="auto"/>
              </w:rPr>
            </w:pPr>
          </w:p>
        </w:tc>
      </w:tr>
      <w:tr>
        <w:trPr>
          <w:trHeight w:val="223"/>
        </w:trPr>
        <w:tc>
          <w:tcPr>
            <w:tcW w:w="8480" w:type="dxa"/>
            <w:vAlign w:val="bottom"/>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PCAOB ID No.243) . . . . . . . . . . . . . . . . . . . . . . . . . . . . . . . . . . . . . . . . . . . . . . . . . . . . . . . . . . . . . . . . .</w:t>
            </w:r>
          </w:p>
        </w:tc>
        <w:tc>
          <w:tcPr>
            <w:tcW w:w="7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F-2</w:t>
            </w:r>
          </w:p>
        </w:tc>
      </w:tr>
      <w:tr>
        <w:trPr>
          <w:trHeight w:val="260"/>
        </w:trPr>
        <w:tc>
          <w:tcPr>
            <w:tcW w:w="8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Consolidated Balance Sheets as of December 31, 2023 and 2022 .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260"/>
        </w:trPr>
        <w:tc>
          <w:tcPr>
            <w:tcW w:w="8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2023 and 2022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260"/>
        </w:trPr>
        <w:tc>
          <w:tcPr>
            <w:tcW w:w="8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Consolidated Statements of Comprehensive Income for the years ended December 31, 2023 and 2022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257"/>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Redeemable non-controlling interests, Redeemable preferred</w:t>
            </w:r>
          </w:p>
        </w:tc>
        <w:tc>
          <w:tcPr>
            <w:tcW w:w="780" w:type="dxa"/>
            <w:vAlign w:val="bottom"/>
          </w:tcPr>
          <w:p>
            <w:pPr>
              <w:spacing w:after="0"/>
              <w:rPr>
                <w:sz w:val="22"/>
                <w:szCs w:val="22"/>
                <w:color w:val="auto"/>
              </w:rPr>
            </w:pPr>
          </w:p>
        </w:tc>
      </w:tr>
      <w:tr>
        <w:trPr>
          <w:trHeight w:val="220"/>
        </w:trPr>
        <w:tc>
          <w:tcPr>
            <w:tcW w:w="8480" w:type="dxa"/>
            <w:vAlign w:val="bottom"/>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non-controlling interest and Stockholders’ (Deficit) Equity for the years ended December 31, 2023</w:t>
            </w:r>
          </w:p>
        </w:tc>
        <w:tc>
          <w:tcPr>
            <w:tcW w:w="780" w:type="dxa"/>
            <w:vAlign w:val="bottom"/>
          </w:tcPr>
          <w:p>
            <w:pPr>
              <w:spacing w:after="0"/>
              <w:rPr>
                <w:sz w:val="19"/>
                <w:szCs w:val="19"/>
                <w:color w:val="auto"/>
              </w:rPr>
            </w:pPr>
          </w:p>
        </w:tc>
      </w:tr>
      <w:tr>
        <w:trPr>
          <w:trHeight w:val="223"/>
        </w:trPr>
        <w:tc>
          <w:tcPr>
            <w:tcW w:w="8480" w:type="dxa"/>
            <w:vAlign w:val="bottom"/>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and 2022 . . . . . . . . . . . . . . . . . . . . . . . . . . . . . . . . . . . . . . . . . . . . . . . . . . . . . . . . . . . . . . . . . . . . . . . . . .</w:t>
            </w:r>
          </w:p>
        </w:tc>
        <w:tc>
          <w:tcPr>
            <w:tcW w:w="7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F-7</w:t>
            </w:r>
          </w:p>
        </w:tc>
      </w:tr>
      <w:tr>
        <w:trPr>
          <w:trHeight w:val="260"/>
        </w:trPr>
        <w:tc>
          <w:tcPr>
            <w:tcW w:w="8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Consolidated Statements of Cash Flows for the years ended December 31, 2023 and 2022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F-9</w:t>
            </w:r>
          </w:p>
        </w:tc>
      </w:tr>
      <w:tr>
        <w:trPr>
          <w:trHeight w:val="260"/>
        </w:trPr>
        <w:tc>
          <w:tcPr>
            <w:tcW w:w="8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F-11</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941" w:right="1440" w:bottom="348" w:gutter="0" w:footer="0" w:header="0"/>
          <w:type w:val="continuous"/>
        </w:sectPr>
      </w:pPr>
    </w:p>
    <w:bookmarkStart w:id="85" w:name="page86"/>
    <w:bookmarkEnd w:id="85"/>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OPAL Fuels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White Plains, 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OPAL Fuels Inc. and its subsidiaries (the “Company”) as of December 31, 2023 and 2022, the related consolidated statements of operations and comprehensive income, changes in redeemable non-controlling interest, redeemable preferred non-controlling interest and stockholders’(deficit)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conformity with accounting principles generally accepted in the United States of America.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As discussed in Note 10. </w:t>
      </w:r>
      <w:r>
        <w:rPr>
          <w:rFonts w:ascii="Times New Roman" w:cs="Times New Roman" w:eastAsia="Times New Roman" w:hAnsi="Times New Roman"/>
          <w:sz w:val="20"/>
          <w:szCs w:val="20"/>
          <w:i w:val="1"/>
          <w:iCs w:val="1"/>
          <w:color w:val="auto"/>
        </w:rPr>
        <w:t>Related Parties</w:t>
      </w:r>
      <w:r>
        <w:rPr>
          <w:rFonts w:ascii="Times New Roman" w:cs="Times New Roman" w:eastAsia="Times New Roman" w:hAnsi="Times New Roman"/>
          <w:sz w:val="20"/>
          <w:szCs w:val="20"/>
          <w:color w:val="auto"/>
        </w:rPr>
        <w:t xml:space="preserve">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Stamford, 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2024</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1" w:right="1440" w:bottom="348"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8"/>
        </w:trPr>
        <w:tc>
          <w:tcPr>
            <w:tcW w:w="6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(includes $166 and $12,506 at December 31, 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2022, respectively, related to consolidated VIEs) . . . . . . .</w:t>
            </w:r>
          </w:p>
        </w:tc>
        <w:tc>
          <w:tcPr>
            <w:tcW w:w="360" w:type="dxa"/>
            <w:vAlign w:val="bottom"/>
            <w:gridSpan w:val="2"/>
          </w:tcPr>
          <w:p>
            <w:pPr>
              <w:jc w:val="right"/>
              <w:ind w:right="7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38,348</w:t>
            </w:r>
          </w:p>
        </w:tc>
        <w:tc>
          <w:tcPr>
            <w:tcW w:w="440" w:type="dxa"/>
            <w:vAlign w:val="bottom"/>
            <w:gridSpan w:val="2"/>
          </w:tcPr>
          <w:p>
            <w:pPr>
              <w:jc w:val="right"/>
              <w:ind w:right="7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40,394</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 (includes $33 and $966 at December 31, 2023 and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related to consolidated VIEs)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27,623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31,083</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related party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12,421</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 – current (includes $4,395 and $6,971 at December 31, 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2022, respectively, related to consolidated VIEs)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4,395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32,402</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 term investments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64,976</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tax credits receivable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4,144</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9,771</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Parts inventory (includes $29 and $— at December 31, 2023 and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related to consolidated VIEs)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10,191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7,311</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 and other current assets (includes $107 and $415 at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2023 and December 31, 2022, respectively, related to</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6,005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7,625</w:t>
            </w:r>
          </w:p>
        </w:tc>
        <w:tc>
          <w:tcPr>
            <w:tcW w:w="0" w:type="dxa"/>
            <w:vAlign w:val="bottom"/>
          </w:tcPr>
          <w:p>
            <w:pPr>
              <w:spacing w:after="0"/>
              <w:rPr>
                <w:sz w:val="1"/>
                <w:szCs w:val="1"/>
                <w:color w:val="auto"/>
              </w:rPr>
            </w:pPr>
          </w:p>
        </w:tc>
      </w:tr>
      <w:tr>
        <w:trPr>
          <w:trHeight w:val="245"/>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assets, current portion . . . . . . . . . . . . . . . . . . . . . . . . . . .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24"/>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current assets . . . . . . . . . . . . . . . . . . . . . . . . . . . . . . . . . . . . . . . . . . . .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128,073</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211,983</w:t>
            </w:r>
          </w:p>
        </w:tc>
        <w:tc>
          <w:tcPr>
            <w:tcW w:w="0" w:type="dxa"/>
            <w:vAlign w:val="bottom"/>
          </w:tcPr>
          <w:p>
            <w:pPr>
              <w:spacing w:after="0"/>
              <w:rPr>
                <w:sz w:val="1"/>
                <w:szCs w:val="1"/>
                <w:color w:val="auto"/>
              </w:rPr>
            </w:pPr>
          </w:p>
        </w:tc>
      </w:tr>
      <w:tr>
        <w:trPr>
          <w:trHeight w:val="223"/>
        </w:trPr>
        <w:tc>
          <w:tcPr>
            <w:tcW w:w="65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Capital spares . . . . . . . . . . . . . . . . . . . . . . . . . . . . . . . . . . . . . . . . .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3,468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3,443</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plant, and equipment, net (includes $26,626 and $73,140 at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2023 and December 31, 2022, respectively, related to</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339,493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297,323</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right-of use assets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11,744</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other entities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207,099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51,765</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 receivable – variable fee component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1,942</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assets, non-current portion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financing costs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3,013</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 – non-current (includes $1,850 and $2,923 at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2023 and December 31, 2022, respectively, related to consolidated VIEs)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4,499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4,425</w:t>
            </w:r>
          </w:p>
        </w:tc>
        <w:tc>
          <w:tcPr>
            <w:tcW w:w="0" w:type="dxa"/>
            <w:vAlign w:val="bottom"/>
          </w:tcPr>
          <w:p>
            <w:pPr>
              <w:spacing w:after="0"/>
              <w:rPr>
                <w:sz w:val="1"/>
                <w:szCs w:val="1"/>
                <w:color w:val="auto"/>
              </w:rPr>
            </w:pPr>
          </w:p>
        </w:tc>
      </w:tr>
      <w:tr>
        <w:trPr>
          <w:trHeight w:val="245"/>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assets . . . . . . . . . . . . . . . . . . . . . . . . . . . . . . . . . . . . . . . . . . . . . . . . . . .</w:t>
            </w:r>
          </w:p>
        </w:tc>
        <w:tc>
          <w:tcPr>
            <w:tcW w:w="360" w:type="dxa"/>
            <w:vAlign w:val="bottom"/>
            <w:gridSpan w:val="2"/>
          </w:tcPr>
          <w:p>
            <w:pPr>
              <w:jc w:val="right"/>
              <w:ind w:right="7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754,609</w:t>
            </w:r>
          </w:p>
        </w:tc>
        <w:tc>
          <w:tcPr>
            <w:tcW w:w="440" w:type="dxa"/>
            <w:vAlign w:val="bottom"/>
            <w:gridSpan w:val="2"/>
          </w:tcPr>
          <w:p>
            <w:pPr>
              <w:jc w:val="right"/>
              <w:ind w:right="7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644,856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(includes $744 and $4,896 at December 31, 2023 and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related to consolidated VIEs)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13,901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17,649</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related party (includes $1,046 and $433 at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2023 and December 31, 2022, respectively, related to consolidated VIEs)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6,376</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tax credits payable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payroll . . . . . .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8,979</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capital expenses (includes $— and $7,821 at December 31, 2023 and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related to consolidated VIEs)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15,128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11,922</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 (includes $647 and $646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at December 31, 2023 and December 31, 2022, respectively, related to</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14,245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9,573</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8,013</w:t>
            </w:r>
          </w:p>
        </w:tc>
        <w:tc>
          <w:tcPr>
            <w:tcW w:w="0" w:type="dxa"/>
            <w:vAlign w:val="bottom"/>
          </w:tcPr>
          <w:p>
            <w:pPr>
              <w:spacing w:after="0"/>
              <w:rPr>
                <w:sz w:val="1"/>
                <w:szCs w:val="1"/>
                <w:color w:val="auto"/>
              </w:rPr>
            </w:pPr>
          </w:p>
        </w:tc>
      </w:tr>
      <w:tr>
        <w:trPr>
          <w:trHeight w:val="241"/>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Senior Secured Credit Facility – term loan, current portion, net of debt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issuance costs . . . . . . . . . . . . . . . . . . . . . . . . . . . . . . . . . . . . . . .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941" w:right="1440" w:bottom="348"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Senior Secured Credit Facility – working capital facility, current portion . . . . .</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0"/>
                <w:szCs w:val="20"/>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OPAL Term Loan, current portion . . . . . . . . . . . .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27,732</w:t>
            </w:r>
          </w:p>
        </w:tc>
        <w:tc>
          <w:tcPr>
            <w:tcW w:w="60" w:type="dxa"/>
            <w:vAlign w:val="bottom"/>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Sunoma loan, current portion (includes $1,608 and $380 at December 31,</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2023 and December 31, 2022, respectively, related to consolidated VIEs) . .</w:t>
            </w: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380</w:t>
            </w:r>
          </w:p>
        </w:tc>
        <w:tc>
          <w:tcPr>
            <w:tcW w:w="60" w:type="dxa"/>
            <w:vAlign w:val="bottom"/>
          </w:tcPr>
          <w:p>
            <w:pPr>
              <w:spacing w:after="0"/>
              <w:rPr>
                <w:sz w:val="19"/>
                <w:szCs w:val="19"/>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60" w:type="dxa"/>
            <w:vAlign w:val="bottom"/>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liability, current portion . . . .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4,596</w:t>
            </w:r>
          </w:p>
        </w:tc>
        <w:tc>
          <w:tcPr>
            <w:tcW w:w="60" w:type="dxa"/>
            <w:vAlign w:val="bottom"/>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current portion . . . . . . . . . . . . . . . . . . . . . . . . . . .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60" w:type="dxa"/>
            <w:vAlign w:val="bottom"/>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current liabilities (includes $92 and $— at December 31, 2023 and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related to consolidated VIEs) . . . . . . . . . .</w:t>
            </w: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1,085</w:t>
            </w:r>
          </w:p>
        </w:tc>
        <w:tc>
          <w:tcPr>
            <w:tcW w:w="60" w:type="dxa"/>
            <w:vAlign w:val="bottom"/>
          </w:tcPr>
          <w:p>
            <w:pPr>
              <w:spacing w:after="0"/>
              <w:rPr>
                <w:sz w:val="19"/>
                <w:szCs w:val="19"/>
                <w:color w:val="auto"/>
              </w:rPr>
            </w:pPr>
          </w:p>
        </w:tc>
      </w:tr>
      <w:tr>
        <w:trPr>
          <w:trHeight w:val="245"/>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current portion . . . . . . . . . . . . . . . . . . . . . . . . . . . .</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60" w:type="dxa"/>
            <w:vAlign w:val="bottom"/>
          </w:tcPr>
          <w:p>
            <w:pPr>
              <w:spacing w:after="0"/>
              <w:rPr>
                <w:sz w:val="21"/>
                <w:szCs w:val="21"/>
                <w:color w:val="auto"/>
              </w:rPr>
            </w:pPr>
          </w:p>
        </w:tc>
      </w:tr>
      <w:tr>
        <w:trPr>
          <w:trHeight w:val="224"/>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current liabilities . . . . . . . . . . . . . . . . . . . . . . . . . . . . . . . . . . . . . . . . . .</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76,391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152,905</w:t>
            </w:r>
          </w:p>
        </w:tc>
        <w:tc>
          <w:tcPr>
            <w:tcW w:w="60" w:type="dxa"/>
            <w:vAlign w:val="bottom"/>
          </w:tcPr>
          <w:p>
            <w:pPr>
              <w:spacing w:after="0"/>
              <w:rPr>
                <w:sz w:val="19"/>
                <w:szCs w:val="19"/>
                <w:color w:val="auto"/>
              </w:rPr>
            </w:pPr>
          </w:p>
        </w:tc>
      </w:tr>
      <w:tr>
        <w:trPr>
          <w:trHeight w:val="223"/>
        </w:trPr>
        <w:tc>
          <w:tcPr>
            <w:tcW w:w="66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Asset retirement obligation, non-current portion . . . . . . . . . . . . . . . . . . . . . . . .</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2,868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4,960</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OPAL Term Loan, net of debt issuance costs . . . . . . . . . . . . . . . . . . . . . . . . . .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66,600</w:t>
            </w:r>
          </w:p>
        </w:tc>
        <w:tc>
          <w:tcPr>
            <w:tcW w:w="60" w:type="dxa"/>
            <w:vAlign w:val="bottom"/>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Sunoma loan, net of debt issuance costs (includes $20,010 and $21,712</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at December 31, 2023 and December 31, 2022, respectively, related to</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w:t>
            </w: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20,010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21,712</w:t>
            </w:r>
          </w:p>
        </w:tc>
        <w:tc>
          <w:tcPr>
            <w:tcW w:w="60" w:type="dxa"/>
            <w:vAlign w:val="bottom"/>
          </w:tcPr>
          <w:p>
            <w:pPr>
              <w:spacing w:after="0"/>
              <w:rPr>
                <w:sz w:val="19"/>
                <w:szCs w:val="19"/>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non-current portion . . . . . . . . . . . . . . . . . . . . . . .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11,245</w:t>
            </w:r>
          </w:p>
        </w:tc>
        <w:tc>
          <w:tcPr>
            <w:tcW w:w="60" w:type="dxa"/>
            <w:vAlign w:val="bottom"/>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 out liabilities . . . . . . . . . . . . . . . . . . . . . . . . . . . . . . . . . . . . . . . . . . . . . . .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60" w:type="dxa"/>
            <w:vAlign w:val="bottom"/>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long-term liabilities (includes $211 and $— at December 31, 2023 and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4"/>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related to consolidated VIEs) . . . . . . . . . .</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7,599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825</w:t>
            </w: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liabilities. . . . . . . . . . . . . . . . . . . . . . . . . . . . . . . . . . . . . . . . . . . . . . . . .</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297,124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267,037</w:t>
            </w:r>
          </w:p>
        </w:tc>
        <w:tc>
          <w:tcPr>
            <w:tcW w:w="60" w:type="dxa"/>
            <w:vAlign w:val="bottom"/>
          </w:tcPr>
          <w:p>
            <w:pPr>
              <w:spacing w:after="0"/>
              <w:rPr>
                <w:sz w:val="19"/>
                <w:szCs w:val="19"/>
                <w:color w:val="auto"/>
              </w:rPr>
            </w:pPr>
          </w:p>
        </w:tc>
      </w:tr>
      <w:tr>
        <w:trPr>
          <w:trHeight w:val="224"/>
        </w:trPr>
        <w:tc>
          <w:tcPr>
            <w:tcW w:w="66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Commitments and contingencies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Redeemable preferred non-controlling interests . . . . . . . . . . . . . . . . . . . . . . . . . .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138,142</w:t>
            </w:r>
          </w:p>
        </w:tc>
        <w:tc>
          <w:tcPr>
            <w:tcW w:w="60" w:type="dxa"/>
            <w:vAlign w:val="bottom"/>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Redeemable non-controlling interests . . . . . . . . . . . . . . . . . . . . . . . . . . . . . . . .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802,720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1,013,833</w:t>
            </w:r>
          </w:p>
        </w:tc>
        <w:tc>
          <w:tcPr>
            <w:tcW w:w="60" w:type="dxa"/>
            <w:vAlign w:val="bottom"/>
          </w:tcPr>
          <w:p>
            <w:pPr>
              <w:spacing w:after="0"/>
              <w:rPr>
                <w:sz w:val="21"/>
                <w:szCs w:val="2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(deficit)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A common stock, $0.0001 par value, 340,000,000 shares authorized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as of December 31, 2023; 29,701,146 and 29,477,766 shares, issued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outstanding at December 31, 2023 and December 31, 2022, respectively . . .</w:t>
            </w: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19"/>
                <w:szCs w:val="19"/>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B common stock, $0.0001 par value, 160,000,000 shares authorized as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of December 31, 2023; None issued and outstanding as of December 31,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2023 and December 31, 2022 . . . . . . . . . . . . . . . . . . . . . . . . . . . . . . . . . . . . .</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C common stock, $0.0001 par value, 160,000,000 shares authorized as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of December 31, 2023; None issued and outstanding as of December 31,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2023 and December 31, 2022 . . . . . . . . . . . . . . . . . . . . . . . . . . . . . . . . . . . . .</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D common stock, $0.0001 par value, 160,000,000 shares authorized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as of December 31, 2023; 144,399,037 issued and outstanding at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and December 31, 2022 . . . . . . . . . . . . . . . . . . . . . . . . .</w:t>
            </w: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19"/>
                <w:szCs w:val="19"/>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(467,195)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(800,813)</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 income . . . . . . . . . . . . . . . . . . . . . . .</w:t>
            </w: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60" w:type="dxa"/>
            <w:vAlign w:val="bottom"/>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A common stock in treasury, at cost; 1,635,783 and – shares at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4"/>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and December 31, 2022, respectively . . . . . . . . . . . . . . .</w:t>
            </w:r>
          </w:p>
        </w:tc>
        <w:tc>
          <w:tcPr>
            <w:tcW w:w="260" w:type="dxa"/>
            <w:vAlign w:val="bottom"/>
          </w:tcPr>
          <w:p>
            <w:pPr>
              <w:spacing w:after="0"/>
              <w:rPr>
                <w:sz w:val="19"/>
                <w:szCs w:val="19"/>
                <w:color w:val="auto"/>
              </w:rPr>
            </w:pPr>
          </w:p>
        </w:tc>
        <w:tc>
          <w:tcPr>
            <w:tcW w:w="10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(11,614)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Stockholders’ (deficit) equity attributable to the Company . . . . . . . . . .</w:t>
            </w:r>
          </w:p>
        </w:tc>
        <w:tc>
          <w:tcPr>
            <w:tcW w:w="260" w:type="dxa"/>
            <w:vAlign w:val="bottom"/>
          </w:tcPr>
          <w:p>
            <w:pPr>
              <w:spacing w:after="0"/>
              <w:rPr>
                <w:sz w:val="19"/>
                <w:szCs w:val="19"/>
                <w:color w:val="auto"/>
              </w:rPr>
            </w:pPr>
          </w:p>
        </w:tc>
        <w:tc>
          <w:tcPr>
            <w:tcW w:w="10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(478,807)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(800,601)</w:t>
            </w:r>
          </w:p>
        </w:tc>
      </w:tr>
      <w:tr>
        <w:trPr>
          <w:trHeight w:val="225"/>
        </w:trPr>
        <w:tc>
          <w:tcPr>
            <w:tcW w:w="666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Non-redeemable non-controlling interests . . . . . . . . . . . . . . . . . . . . . . . . . . . . .</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955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26,445</w:t>
            </w: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Stockholders’ (deficit) equity . . . . . . . . . . . . . . . . . . . . . . . . . . . . . . . .</w:t>
            </w:r>
          </w:p>
        </w:tc>
        <w:tc>
          <w:tcPr>
            <w:tcW w:w="260" w:type="dxa"/>
            <w:vAlign w:val="bottom"/>
          </w:tcPr>
          <w:p>
            <w:pPr>
              <w:spacing w:after="0"/>
              <w:rPr>
                <w:sz w:val="19"/>
                <w:szCs w:val="19"/>
                <w:color w:val="auto"/>
              </w:rPr>
            </w:pPr>
          </w:p>
        </w:tc>
        <w:tc>
          <w:tcPr>
            <w:tcW w:w="10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(477,852)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(774,156)</w:t>
            </w:r>
          </w:p>
        </w:tc>
      </w:tr>
      <w:tr>
        <w:trPr>
          <w:trHeight w:val="221"/>
        </w:trPr>
        <w:tc>
          <w:tcPr>
            <w:tcW w:w="666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Total liabilities, Redeemable preferred, Redeemable non-controlling</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666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interests and Stockholders’ (deficit) equity . . . . . . . . . . . . . . . . . . . . . . . .</w:t>
            </w:r>
          </w:p>
        </w:tc>
        <w:tc>
          <w:tcPr>
            <w:tcW w:w="260" w:type="dxa"/>
            <w:vAlign w:val="bottom"/>
          </w:tcPr>
          <w:p>
            <w:pPr>
              <w:jc w:val="right"/>
              <w:ind w:right="65"/>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754,609</w:t>
            </w:r>
          </w:p>
        </w:tc>
        <w:tc>
          <w:tcPr>
            <w:tcW w:w="120" w:type="dxa"/>
            <w:vAlign w:val="bottom"/>
          </w:tcPr>
          <w:p>
            <w:pPr>
              <w:spacing w:after="0"/>
              <w:rPr>
                <w:sz w:val="19"/>
                <w:szCs w:val="19"/>
                <w:color w:val="auto"/>
              </w:rPr>
            </w:pPr>
          </w:p>
        </w:tc>
        <w:tc>
          <w:tcPr>
            <w:tcW w:w="320" w:type="dxa"/>
            <w:vAlign w:val="bottom"/>
            <w:gridSpan w:val="2"/>
          </w:tcPr>
          <w:p>
            <w:pPr>
              <w:jc w:val="right"/>
              <w:ind w:right="7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644,856</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1" w:right="1440" w:bottom="348"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(includes revenues from related party of $56,069 and $58,185 for</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the years ended December 31, 2023 and 2022, respectively) . . . . . . . . . . . . . . . .</w:t>
            </w:r>
          </w:p>
        </w:tc>
        <w:tc>
          <w:tcPr>
            <w:tcW w:w="2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66,292</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station services (includes revenues from related party of $28,468 and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$18,735 for the years ended December 31, 2023 and 2022, respectively) . . . . .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135,012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117,415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(includes revenues from related party of $6,614 and $5,495 for</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the years ended December 31, 2023 and 2022, respectively) . . . . . . . . . . . . . . .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54,804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 . .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RNG fuel .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Fuel station services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Renewable Power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Project development and start up costs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amortization, and accretion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(5,525)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0" w:type="dxa"/>
            <w:vAlign w:val="bottom"/>
          </w:tcPr>
          <w:p>
            <w:pPr>
              <w:spacing w:after="0"/>
              <w:rPr>
                <w:sz w:val="1"/>
                <w:szCs w:val="1"/>
                <w:color w:val="auto"/>
              </w:rPr>
            </w:pPr>
          </w:p>
        </w:tc>
      </w:tr>
      <w:tr>
        <w:trPr>
          <w:trHeight w:val="24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expenses . . . . . . . . . . . . . . . . . . . . . . . . . . . . . . . . . . . . . . . . . . . . . . . . . . . .</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227,968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 . . . . .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and financing expense, net . . . . . . . . . . . . . . . . . . . . . . . . . . . . . . . . . . . . .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(9,306)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instruments, net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124,472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debt extinguishment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warrant exchange .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(3,368)</w:t>
            </w:r>
          </w:p>
        </w:tc>
        <w:tc>
          <w:tcPr>
            <w:tcW w:w="0" w:type="dxa"/>
            <w:vAlign w:val="bottom"/>
          </w:tcPr>
          <w:p>
            <w:pPr>
              <w:spacing w:after="0"/>
              <w:rPr>
                <w:sz w:val="1"/>
                <w:szCs w:val="1"/>
                <w:color w:val="auto"/>
              </w:rPr>
            </w:pPr>
          </w:p>
        </w:tc>
      </w:tr>
      <w:tr>
        <w:trPr>
          <w:trHeight w:val="24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before provision for income taxes . . . . . . . . . . . . . . . . . . . . . . . . . . . . . . . .</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income taxes . . . . . . . . . . . . . . . . . . . . . . . . . . . . . . . . . . . . . . . . . . .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redeemable non-controlling interests . . . . . . . . . . . . . .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attributable to non-redeemable non-controlling interests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(1,153)</w:t>
            </w:r>
          </w:p>
        </w:tc>
        <w:tc>
          <w:tcPr>
            <w:tcW w:w="0" w:type="dxa"/>
            <w:vAlign w:val="bottom"/>
          </w:tcPr>
          <w:p>
            <w:pPr>
              <w:spacing w:after="0"/>
              <w:rPr>
                <w:sz w:val="1"/>
                <w:szCs w:val="1"/>
                <w:color w:val="auto"/>
              </w:rPr>
            </w:pPr>
          </w:p>
        </w:tc>
      </w:tr>
      <w:tr>
        <w:trPr>
          <w:trHeight w:val="262"/>
        </w:trPr>
        <w:tc>
          <w:tcPr>
            <w:tcW w:w="6840" w:type="dxa"/>
            <w:vAlign w:val="bottom"/>
          </w:tcPr>
          <w:p>
            <w:pPr>
              <w:jc w:val="right"/>
              <w:spacing w:after="0" w:line="262" w:lineRule="exact"/>
              <w:rPr>
                <w:sz w:val="20"/>
                <w:szCs w:val="20"/>
                <w:color w:val="auto"/>
              </w:rPr>
            </w:pPr>
            <w:r>
              <w:rPr>
                <w:rFonts w:ascii="Times New Roman" w:cs="Times New Roman" w:eastAsia="Times New Roman" w:hAnsi="Times New Roman"/>
                <w:sz w:val="20"/>
                <w:szCs w:val="20"/>
                <w:color w:val="auto"/>
              </w:rPr>
              <w:t>Dividends on Redeemable preferred non-controlling interests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Class A common stockholders . . . . . . . . . . . . . . . . .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18,936</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Weighted average shares outstanding of Class A common stock:</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27,148,538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25,774,312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27,494,016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26,062,398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Per share amounts: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0.69</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jc w:val="both"/>
        <w:ind w:left="480" w:hanging="480"/>
        <w:spacing w:after="0" w:line="250" w:lineRule="auto"/>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Paid-in-kind preferred dividend is allocated between redeemable non-controlling interests and Class A common stockholders basis their weighted average percentage of ownership. Please see Note 13. </w:t>
      </w:r>
      <w:r>
        <w:rPr>
          <w:rFonts w:ascii="Times New Roman" w:cs="Times New Roman" w:eastAsia="Times New Roman" w:hAnsi="Times New Roman"/>
          <w:sz w:val="18"/>
          <w:szCs w:val="18"/>
          <w:i w:val="1"/>
          <w:iCs w:val="1"/>
          <w:color w:val="auto"/>
        </w:rPr>
        <w:t>Redeemable non-controlling interests,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non-controlling interests and Stockholders’ Equity </w:t>
      </w:r>
      <w:r>
        <w:rPr>
          <w:rFonts w:ascii="Times New Roman" w:cs="Times New Roman" w:eastAsia="Times New Roman" w:hAnsi="Times New Roman"/>
          <w:sz w:val="18"/>
          <w:szCs w:val="18"/>
          <w:color w:val="auto"/>
        </w:rPr>
        <w:t>for additional information.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942" w:right="1440" w:bottom="348"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6"/>
          </w:tcPr>
          <w:p>
            <w:pPr>
              <w:jc w:val="right"/>
              <w:ind w:right="7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6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5"/>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60" w:type="dxa"/>
            <w:vAlign w:val="bottom"/>
          </w:tcPr>
          <w:p>
            <w:pPr>
              <w:spacing w:after="0"/>
              <w:rPr>
                <w:sz w:val="21"/>
                <w:szCs w:val="21"/>
                <w:color w:val="auto"/>
              </w:rPr>
            </w:pPr>
          </w:p>
        </w:tc>
      </w:tr>
      <w:tr>
        <w:trPr>
          <w:trHeight w:val="26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Effective portion of the cash flow hedge attributable to equity method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84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investments . . . . . . . . . . . . . . . . . . . . . . . . . . . . . . . . . . . . . . . . . . . . . . . . . . . . .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19"/>
                <w:szCs w:val="19"/>
                <w:color w:val="auto"/>
              </w:rPr>
            </w:pPr>
          </w:p>
        </w:tc>
      </w:tr>
      <w:tr>
        <w:trPr>
          <w:trHeight w:val="297"/>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Reclassification adjustments included in earnings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68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Net unrealized (loss) gain on cash flow hedges . . . . . . . . . . . . . . . . . . . . . . . . . . .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954</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other comprehensive (loss) income . . . . . . . . . . . . . . . . . . . . . . . . . . . . . . . .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(1,296)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w:t>
            </w:r>
          </w:p>
        </w:tc>
        <w:tc>
          <w:tcPr>
            <w:tcW w:w="60" w:type="dxa"/>
            <w:vAlign w:val="bottom"/>
          </w:tcPr>
          <w:p>
            <w:pPr>
              <w:spacing w:after="0"/>
              <w:rPr>
                <w:sz w:val="20"/>
                <w:szCs w:val="20"/>
                <w:color w:val="auto"/>
              </w:rPr>
            </w:pPr>
          </w:p>
        </w:tc>
      </w:tr>
      <w:tr>
        <w:trPr>
          <w:trHeight w:val="239"/>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Total comprehensive income . . . . . . . . . . . . . . . . . . . . . . . . . . . . . . . . . . . . . . . . . .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125,728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33,867</w:t>
            </w:r>
          </w:p>
        </w:tc>
        <w:tc>
          <w:tcPr>
            <w:tcW w:w="60" w:type="dxa"/>
            <w:vAlign w:val="bottom"/>
          </w:tcPr>
          <w:p>
            <w:pPr>
              <w:spacing w:after="0"/>
              <w:rPr>
                <w:sz w:val="20"/>
                <w:szCs w:val="20"/>
                <w:color w:val="auto"/>
              </w:rPr>
            </w:pPr>
          </w:p>
        </w:tc>
      </w:tr>
      <w:tr>
        <w:trPr>
          <w:trHeight w:val="26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Less: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 attributable to Redeemable non-controlling interests . . . . . . . . . . . . .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29,597</w:t>
            </w:r>
          </w:p>
        </w:tc>
        <w:tc>
          <w:tcPr>
            <w:tcW w:w="60" w:type="dxa"/>
            <w:vAlign w:val="bottom"/>
          </w:tcPr>
          <w:p>
            <w:pPr>
              <w:spacing w:after="0"/>
              <w:rPr>
                <w:sz w:val="22"/>
                <w:szCs w:val="22"/>
                <w:color w:val="auto"/>
              </w:rPr>
            </w:pPr>
          </w:p>
        </w:tc>
      </w:tr>
      <w:tr>
        <w:trPr>
          <w:trHeight w:val="257"/>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comprehensive (loss) income attributable to Redeemable non-controlling</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84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interests . . . . . . . . . . . . . . . . . . . . . . . . . . . . . . . . . . . . . . . . . . . . . . . . . . . . . . . .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(1,086)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1,093</w:t>
            </w:r>
          </w:p>
        </w:tc>
        <w:tc>
          <w:tcPr>
            <w:tcW w:w="60" w:type="dxa"/>
            <w:vAlign w:val="bottom"/>
          </w:tcPr>
          <w:p>
            <w:pPr>
              <w:spacing w:after="0"/>
              <w:rPr>
                <w:sz w:val="19"/>
                <w:szCs w:val="19"/>
                <w:color w:val="auto"/>
              </w:rPr>
            </w:pPr>
          </w:p>
        </w:tc>
      </w:tr>
      <w:tr>
        <w:trPr>
          <w:trHeight w:val="26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Comprehensive loss attributable to non-redeemable non-controlling interests . . .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(1,153)</w:t>
            </w:r>
          </w:p>
        </w:tc>
      </w:tr>
      <w:tr>
        <w:trPr>
          <w:trHeight w:val="261"/>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Dividends on Redeemable preferred non-controlling interests. . . . . . . . . . . . . . . . .</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60" w:type="dxa"/>
            <w:vAlign w:val="bottom"/>
          </w:tcPr>
          <w:p>
            <w:pPr>
              <w:spacing w:after="0"/>
              <w:rPr>
                <w:sz w:val="22"/>
                <w:szCs w:val="22"/>
                <w:color w:val="auto"/>
              </w:rPr>
            </w:pPr>
          </w:p>
        </w:tc>
      </w:tr>
      <w:tr>
        <w:trPr>
          <w:trHeight w:val="24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Comprehensive income attributable to Class A common stockholders . . . . . . . . .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18,726</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3,586</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jc w:val="both"/>
        <w:ind w:left="480" w:hanging="48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reclassification of the gain on termination of interest rate swaps of $812 on May 30, 2023. See Note 9. </w:t>
      </w:r>
      <w:r>
        <w:rPr>
          <w:rFonts w:ascii="Times New Roman" w:cs="Times New Roman" w:eastAsia="Times New Roman" w:hAnsi="Times New Roman"/>
          <w:sz w:val="18"/>
          <w:szCs w:val="18"/>
          <w:i w:val="1"/>
          <w:iCs w:val="1"/>
          <w:color w:val="auto"/>
        </w:rPr>
        <w:t xml:space="preserve">Derivative Financial Instruments and Fair Value Measurements </w:t>
      </w:r>
      <w:r>
        <w:rPr>
          <w:rFonts w:ascii="Times New Roman" w:cs="Times New Roman" w:eastAsia="Times New Roman" w:hAnsi="Times New Roman"/>
          <w:sz w:val="18"/>
          <w:szCs w:val="18"/>
          <w:color w:val="auto"/>
        </w:rPr>
        <w:t>for additional information. Additionally, there is a $334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 into earnings from our equity method investments.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942" w:right="1440" w:bottom="348"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F-7</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right"/>
              <w:ind w:right="225"/>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right"/>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5"/>
          </w:tcPr>
          <w:p>
            <w:pPr>
              <w:jc w:val="right"/>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5"/>
          </w:tcPr>
          <w:p>
            <w:pPr>
              <w:jc w:val="right"/>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Mezzanine Equity</w:t>
            </w:r>
          </w:p>
        </w:tc>
      </w:tr>
      <w:tr>
        <w:trPr>
          <w:trHeight w:val="153"/>
        </w:trPr>
        <w:tc>
          <w:tcPr>
            <w:tcW w:w="21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Redeemable</w:t>
            </w:r>
          </w:p>
        </w:tc>
        <w:tc>
          <w:tcPr>
            <w:tcW w:w="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r>
      <w:tr>
        <w:trPr>
          <w:trHeight w:val="160"/>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92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3"/>
                <w:szCs w:val="13"/>
                <w:color w:val="auto"/>
              </w:rPr>
            </w:pPr>
          </w:p>
        </w:tc>
        <w:tc>
          <w:tcPr>
            <w:tcW w:w="20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non-controlling  non-controlling</w:t>
            </w:r>
          </w:p>
        </w:tc>
      </w:tr>
      <w:tr>
        <w:trPr>
          <w:trHeight w:val="160"/>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3"/>
                <w:szCs w:val="13"/>
                <w:color w:val="auto"/>
              </w:rPr>
            </w:pP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3"/>
                <w:szCs w:val="13"/>
                <w:color w:val="auto"/>
              </w:rPr>
            </w:pPr>
          </w:p>
        </w:tc>
        <w:tc>
          <w:tcPr>
            <w:tcW w:w="8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r>
      <w:tr>
        <w:trPr>
          <w:trHeight w:val="198"/>
        </w:trPr>
        <w:tc>
          <w:tcPr>
            <w:tcW w:w="2160" w:type="dxa"/>
            <w:vAlign w:val="bottom"/>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 . . . . . . . .</w:t>
            </w:r>
            <w:r>
              <w:rPr>
                <w:rFonts w:ascii="Times New Roman" w:cs="Times New Roman" w:eastAsia="Times New Roman" w:hAnsi="Times New Roman"/>
                <w:sz w:val="16"/>
                <w:szCs w:val="16"/>
                <w:b w:val="1"/>
                <w:bCs w:val="1"/>
                <w:color w:val="auto"/>
              </w:rPr>
              <w:t>December31,2021</w:t>
            </w: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84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144,399,037</w:t>
            </w:r>
          </w:p>
        </w:tc>
        <w:tc>
          <w:tcPr>
            <w:tcW w:w="80" w:type="dxa"/>
            <w:vAlign w:val="bottom"/>
          </w:tcPr>
          <w:p>
            <w:pPr>
              <w:spacing w:after="0"/>
              <w:rPr>
                <w:sz w:val="17"/>
                <w:szCs w:val="17"/>
                <w:color w:val="auto"/>
              </w:rPr>
            </w:pPr>
          </w:p>
        </w:tc>
        <w:tc>
          <w:tcPr>
            <w:tcW w:w="5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   14</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60" w:type="dxa"/>
            <w:vAlign w:val="bottom"/>
            <w:tcBorders>
              <w:top w:val="single" w:sz="8" w:color="auto"/>
            </w:tcBorders>
            <w:gridSpan w:val="2"/>
          </w:tcPr>
          <w:p>
            <w:pPr>
              <w:ind w:left="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gridSpan w:val="2"/>
          </w:tcPr>
          <w:p>
            <w:pPr>
              <w:ind w:left="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1,188</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40" w:type="dxa"/>
            <w:vAlign w:val="bottom"/>
            <w:tcBorders>
              <w:top w:val="single" w:sz="8" w:color="auto"/>
            </w:tcBorders>
            <w:gridSpan w:val="3"/>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w w:val="99"/>
              </w:rPr>
              <w:t>$1,202</w:t>
            </w:r>
          </w:p>
        </w:tc>
        <w:tc>
          <w:tcPr>
            <w:tcW w:w="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$30,210</w:t>
            </w:r>
          </w:p>
        </w:tc>
        <w:tc>
          <w:tcPr>
            <w:tcW w:w="80" w:type="dxa"/>
            <w:vAlign w:val="bottom"/>
          </w:tcPr>
          <w:p>
            <w:pPr>
              <w:spacing w:after="0"/>
              <w:rPr>
                <w:sz w:val="17"/>
                <w:szCs w:val="17"/>
                <w:color w:val="auto"/>
              </w:rPr>
            </w:pPr>
          </w:p>
        </w:tc>
        <w:tc>
          <w:tcPr>
            <w:tcW w:w="94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$63,545</w:t>
            </w:r>
          </w:p>
        </w:tc>
        <w:tc>
          <w:tcPr>
            <w:tcW w:w="60" w:type="dxa"/>
            <w:vAlign w:val="bottom"/>
          </w:tcPr>
          <w:p>
            <w:pPr>
              <w:spacing w:after="0"/>
              <w:rPr>
                <w:sz w:val="17"/>
                <w:szCs w:val="17"/>
                <w:color w:val="auto"/>
              </w:rPr>
            </w:pPr>
          </w:p>
        </w:tc>
      </w:tr>
      <w:tr>
        <w:trPr>
          <w:trHeight w:val="155"/>
        </w:trPr>
        <w:tc>
          <w:tcPr>
            <w:tcW w:w="2160" w:type="dxa"/>
            <w:vAlign w:val="bottom"/>
          </w:tcPr>
          <w:p>
            <w:pPr>
              <w:jc w:val="right"/>
              <w:ind w:right="40"/>
              <w:spacing w:after="0" w:line="140" w:lineRule="exact"/>
              <w:rPr>
                <w:sz w:val="20"/>
                <w:szCs w:val="20"/>
                <w:color w:val="auto"/>
              </w:rPr>
            </w:pPr>
            <w:r>
              <w:rPr>
                <w:rFonts w:ascii="Times New Roman" w:cs="Times New Roman" w:eastAsia="Times New Roman" w:hAnsi="Times New Roman"/>
                <w:sz w:val="16"/>
                <w:szCs w:val="16"/>
                <w:color w:val="auto"/>
              </w:rPr>
              <w:t>. . . . . . . . . . . . . . . .Netincome</w:t>
            </w:r>
          </w:p>
        </w:tc>
        <w:tc>
          <w:tcPr>
            <w:tcW w:w="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4,135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(1,153)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2,982</w:t>
            </w:r>
          </w:p>
        </w:tc>
        <w:tc>
          <w:tcPr>
            <w:tcW w:w="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29,597</w:t>
            </w:r>
          </w:p>
        </w:tc>
        <w:tc>
          <w:tcPr>
            <w:tcW w:w="60" w:type="dxa"/>
            <w:vAlign w:val="bottom"/>
          </w:tcPr>
          <w:p>
            <w:pPr>
              <w:spacing w:after="0"/>
              <w:rPr>
                <w:sz w:val="13"/>
                <w:szCs w:val="13"/>
                <w:color w:val="auto"/>
              </w:rPr>
            </w:pPr>
          </w:p>
        </w:tc>
      </w:tr>
      <w:tr>
        <w:trPr>
          <w:trHeight w:val="177"/>
        </w:trPr>
        <w:tc>
          <w:tcPr>
            <w:tcW w:w="21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Unrealized gain on cash flow</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hedges . . . . . . . . . . . . .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1,093</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Redeemable preferred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issuance . . . . . . . . . . . .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80" w:type="dxa"/>
            <w:vAlign w:val="bottom"/>
            <w:tcBorders>
              <w:right w:val="single" w:sz="8" w:color="auto"/>
            </w:tcBorders>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0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(267)</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the reverse recapitalization</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and PIPE Investments, net of</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warrant liability, put option</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and earnout liability . . . . . . .</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22,611,857</w:t>
            </w:r>
          </w:p>
        </w:tc>
        <w:tc>
          <w:tcPr>
            <w:tcW w:w="80" w:type="dxa"/>
            <w:vAlign w:val="bottom"/>
          </w:tcPr>
          <w:p>
            <w:pPr>
              <w:spacing w:after="0"/>
              <w:rPr>
                <w:sz w:val="15"/>
                <w:szCs w:val="15"/>
                <w:color w:val="auto"/>
              </w:rPr>
            </w:pPr>
          </w:p>
        </w:tc>
        <w:tc>
          <w:tcPr>
            <w:tcW w:w="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68,357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68,359</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Note Payable to common</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shares . . . . . . . . . . . . . . . . . .</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3,059,533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30,595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30,595</w:t>
            </w: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Private and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Public Warrants . . . . . . . . . .</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3,806,376</w:t>
            </w:r>
          </w:p>
        </w:tc>
        <w:tc>
          <w:tcPr>
            <w:tcW w:w="80" w:type="dxa"/>
            <w:vAlign w:val="bottom"/>
          </w:tcPr>
          <w:p>
            <w:pPr>
              <w:spacing w:after="0"/>
              <w:rPr>
                <w:sz w:val="15"/>
                <w:szCs w:val="15"/>
                <w:color w:val="auto"/>
              </w:rPr>
            </w:pPr>
          </w:p>
        </w:tc>
        <w:tc>
          <w:tcPr>
            <w:tcW w:w="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7,858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7,859</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18,061</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Redeemable non-controlling</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interests . . . . . . . . . . . .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(103,804)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(804,204)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(908,008)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908,008</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non-redeemable</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26,410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23,234</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on payment to</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acquire non-redeemable</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80" w:type="dxa"/>
            <w:vAlign w:val="bottom"/>
            <w:tcBorders>
              <w:right w:val="single" w:sz="8" w:color="auto"/>
            </w:tcBorders>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(183)</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 . .</w:t>
            </w:r>
          </w:p>
        </w:tc>
        <w:tc>
          <w:tcPr>
            <w:tcW w:w="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1,299</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Paid-in-kind preferred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dividend . . . . . . . . . . . . . . . .</w:t>
            </w:r>
          </w:p>
        </w:tc>
        <w:tc>
          <w:tcPr>
            <w:tcW w:w="40" w:type="dxa"/>
            <w:vAlign w:val="bottom"/>
          </w:tcPr>
          <w:p>
            <w:pPr>
              <w:spacing w:after="0"/>
              <w:rPr>
                <w:sz w:val="16"/>
                <w:szCs w:val="16"/>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(744)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(744)</w:t>
            </w:r>
          </w:p>
        </w:tc>
        <w:tc>
          <w:tcPr>
            <w:tcW w:w="104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7,932</w:t>
            </w:r>
          </w:p>
        </w:tc>
        <w:tc>
          <w:tcPr>
            <w:tcW w:w="10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(7,188)</w:t>
            </w:r>
          </w:p>
        </w:tc>
      </w:tr>
      <w:tr>
        <w:trPr>
          <w:trHeight w:val="198"/>
        </w:trPr>
        <w:tc>
          <w:tcPr>
            <w:tcW w:w="2160" w:type="dxa"/>
            <w:vAlign w:val="bottom"/>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 . . . . . . . .</w:t>
            </w:r>
            <w:r>
              <w:rPr>
                <w:rFonts w:ascii="Times New Roman" w:cs="Times New Roman" w:eastAsia="Times New Roman" w:hAnsi="Times New Roman"/>
                <w:sz w:val="16"/>
                <w:szCs w:val="16"/>
                <w:b w:val="1"/>
                <w:bCs w:val="1"/>
                <w:color w:val="auto"/>
              </w:rPr>
              <w:t>December31,2022</w:t>
            </w:r>
          </w:p>
        </w:tc>
        <w:tc>
          <w:tcPr>
            <w:tcW w:w="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29,477,766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gridSpan w:val="2"/>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7"/>
              </w:rPr>
              <w:t>144,399,037</w:t>
            </w:r>
          </w:p>
        </w:tc>
        <w:tc>
          <w:tcPr>
            <w:tcW w:w="120" w:type="dxa"/>
            <w:vAlign w:val="bottom"/>
            <w:gridSpan w:val="2"/>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(800,813)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26,445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(774,156)</w:t>
            </w:r>
          </w:p>
        </w:tc>
        <w:tc>
          <w:tcPr>
            <w:tcW w:w="140" w:type="dxa"/>
            <w:vAlign w:val="bottom"/>
            <w:tcBorders>
              <w:right w:val="single" w:sz="8" w:color="auto"/>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138,142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1,013,833</w:t>
            </w:r>
          </w:p>
        </w:tc>
        <w:tc>
          <w:tcPr>
            <w:tcW w:w="60" w:type="dxa"/>
            <w:vAlign w:val="bottom"/>
          </w:tcPr>
          <w:p>
            <w:pPr>
              <w:spacing w:after="0"/>
              <w:rPr>
                <w:sz w:val="17"/>
                <w:szCs w:val="17"/>
                <w:color w:val="auto"/>
              </w:rPr>
            </w:pPr>
          </w:p>
        </w:tc>
      </w:tr>
      <w:tr>
        <w:trPr>
          <w:trHeight w:val="155"/>
        </w:trPr>
        <w:tc>
          <w:tcPr>
            <w:tcW w:w="2160" w:type="dxa"/>
            <w:vAlign w:val="bottom"/>
          </w:tcPr>
          <w:p>
            <w:pPr>
              <w:jc w:val="right"/>
              <w:ind w:right="40"/>
              <w:spacing w:after="0" w:line="140" w:lineRule="exact"/>
              <w:rPr>
                <w:sz w:val="20"/>
                <w:szCs w:val="20"/>
                <w:color w:val="auto"/>
              </w:rPr>
            </w:pPr>
            <w:r>
              <w:rPr>
                <w:rFonts w:ascii="Times New Roman" w:cs="Times New Roman" w:eastAsia="Times New Roman" w:hAnsi="Times New Roman"/>
                <w:sz w:val="16"/>
                <w:szCs w:val="16"/>
                <w:color w:val="auto"/>
              </w:rPr>
              <w:t>. . . . . . . . . . . . . . . .Netincome</w:t>
            </w:r>
          </w:p>
        </w:tc>
        <w:tc>
          <w:tcPr>
            <w:tcW w:w="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20,728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20,379</w:t>
            </w:r>
          </w:p>
        </w:tc>
        <w:tc>
          <w:tcPr>
            <w:tcW w:w="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106,645</w:t>
            </w:r>
          </w:p>
        </w:tc>
        <w:tc>
          <w:tcPr>
            <w:tcW w:w="60" w:type="dxa"/>
            <w:vAlign w:val="bottom"/>
          </w:tcPr>
          <w:p>
            <w:pPr>
              <w:spacing w:after="0"/>
              <w:rPr>
                <w:sz w:val="13"/>
                <w:szCs w:val="13"/>
                <w:color w:val="auto"/>
              </w:rPr>
            </w:pPr>
          </w:p>
        </w:tc>
      </w:tr>
      <w:tr>
        <w:trPr>
          <w:trHeight w:val="177"/>
        </w:trPr>
        <w:tc>
          <w:tcPr>
            <w:tcW w:w="21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Other comprehensive loss .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(210)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gridSpan w:val="4"/>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rPr>
              <w:t>(1,086)</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on warrant exchange . .</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49,633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Cancellation of fractional shares</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on warrant exchange . . . . . .</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80" w:type="dxa"/>
            <w:vAlign w:val="bottom"/>
            <w:tcBorders>
              <w:right w:val="single" w:sz="8" w:color="auto"/>
            </w:tcBorders>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put option</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on forward purchase</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contract – Meteora . . . . . . . .</w:t>
            </w:r>
          </w:p>
        </w:tc>
        <w:tc>
          <w:tcPr>
            <w:tcW w:w="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(1,635,783)</w:t>
            </w:r>
          </w:p>
        </w:tc>
        <w:tc>
          <w:tcPr>
            <w:tcW w:w="7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(11,614)</w:t>
            </w:r>
          </w:p>
        </w:tc>
        <w:tc>
          <w:tcPr>
            <w:tcW w:w="1020" w:type="dxa"/>
            <w:vAlign w:val="bottom"/>
            <w:tcBorders>
              <w:right w:val="single" w:sz="8" w:color="auto"/>
            </w:tcBorders>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(11,614)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Class A common</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1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 . . . . . . . . . . . . . . . . . .</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(197,258)</w:t>
            </w:r>
          </w:p>
        </w:tc>
        <w:tc>
          <w:tcPr>
            <w:tcW w:w="40" w:type="dxa"/>
            <w:vAlign w:val="bottom"/>
          </w:tcPr>
          <w:p>
            <w:pPr>
              <w:spacing w:after="0"/>
              <w:rPr>
                <w:sz w:val="17"/>
                <w:szCs w:val="17"/>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80" w:type="dxa"/>
            <w:vAlign w:val="bottom"/>
            <w:tcBorders>
              <w:right w:val="single" w:sz="8" w:color="auto"/>
            </w:tcBorders>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bl>
    <w:p>
      <w:pPr>
        <w:sectPr>
          <w:pgSz w:w="15840" w:h="12240" w:orient="landscape"/>
          <w:cols w:equalWidth="0" w:num="2">
            <w:col w:w="230" w:space="198"/>
            <w:col w:w="13620"/>
          </w:cols>
          <w:pgMar w:left="912" w:top="1394" w:right="880" w:bottom="711"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 EQUITY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center"/>
              <w:ind w:left="123"/>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right"/>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5"/>
          </w:tcPr>
          <w:p>
            <w:pPr>
              <w:ind w:left="380"/>
              <w:spacing w:after="0" w:line="157"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Mezzanine Equity</w:t>
            </w:r>
          </w:p>
        </w:tc>
      </w:tr>
      <w:tr>
        <w:trPr>
          <w:trHeight w:val="153"/>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Redeemable</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92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4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non-controlling  non-controlling</w:t>
            </w: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123"/>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40" w:type="dxa"/>
            <w:vAlign w:val="bottom"/>
          </w:tcPr>
          <w:p>
            <w:pPr>
              <w:spacing w:after="0"/>
              <w:rPr>
                <w:sz w:val="13"/>
                <w:szCs w:val="13"/>
                <w:color w:val="auto"/>
              </w:rPr>
            </w:pPr>
          </w:p>
        </w:tc>
        <w:tc>
          <w:tcPr>
            <w:tcW w:w="8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40" w:type="dxa"/>
            <w:vAlign w:val="bottom"/>
          </w:tcPr>
          <w:p>
            <w:pPr>
              <w:spacing w:after="0"/>
              <w:rPr>
                <w:sz w:val="13"/>
                <w:szCs w:val="13"/>
                <w:color w:val="auto"/>
              </w:rPr>
            </w:pPr>
          </w:p>
        </w:tc>
        <w:tc>
          <w:tcPr>
            <w:tcW w:w="80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r>
      <w:tr>
        <w:trPr>
          <w:trHeight w:val="166"/>
        </w:trPr>
        <w:tc>
          <w:tcPr>
            <w:tcW w:w="2160" w:type="dxa"/>
            <w:vAlign w:val="bottom"/>
            <w:gridSpan w:val="3"/>
          </w:tcPr>
          <w:p>
            <w:pPr>
              <w:spacing w:after="0" w:line="166" w:lineRule="exact"/>
              <w:rPr>
                <w:sz w:val="20"/>
                <w:szCs w:val="20"/>
                <w:color w:val="auto"/>
              </w:rPr>
            </w:pPr>
            <w:r>
              <w:rPr>
                <w:rFonts w:ascii="Times New Roman" w:cs="Times New Roman" w:eastAsia="Times New Roman" w:hAnsi="Times New Roman"/>
                <w:sz w:val="16"/>
                <w:szCs w:val="16"/>
                <w:color w:val="auto"/>
              </w:rPr>
              <w:t>Issuance of Class A common</w:t>
            </w: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stock for vesting of equity</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5"/>
        </w:trPr>
        <w:tc>
          <w:tcPr>
            <w:tcW w:w="100" w:type="dxa"/>
            <w:vAlign w:val="bottom"/>
          </w:tcPr>
          <w:p>
            <w:pPr>
              <w:spacing w:after="0"/>
              <w:rPr>
                <w:sz w:val="16"/>
                <w:szCs w:val="16"/>
                <w:color w:val="auto"/>
              </w:rPr>
            </w:pPr>
          </w:p>
        </w:tc>
        <w:tc>
          <w:tcPr>
            <w:tcW w:w="20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auto"/>
              </w:rPr>
              <w:t>awards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6"/>
                <w:szCs w:val="16"/>
                <w:color w:val="auto"/>
              </w:rPr>
              <w:t xml:space="preserve"> . . . . . . . . . . . . . . . .</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280,928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(896)</w:t>
            </w:r>
          </w:p>
        </w:tc>
        <w:tc>
          <w:tcPr>
            <w:tcW w:w="4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7"/>
        </w:trPr>
        <w:tc>
          <w:tcPr>
            <w:tcW w:w="216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Issuance of Class A common</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stock under the ATM</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5"/>
        </w:trPr>
        <w:tc>
          <w:tcPr>
            <w:tcW w:w="100" w:type="dxa"/>
            <w:vAlign w:val="bottom"/>
          </w:tcPr>
          <w:p>
            <w:pPr>
              <w:spacing w:after="0"/>
              <w:rPr>
                <w:sz w:val="16"/>
                <w:szCs w:val="16"/>
                <w:color w:val="auto"/>
              </w:rPr>
            </w:pPr>
          </w:p>
        </w:tc>
        <w:tc>
          <w:tcPr>
            <w:tcW w:w="20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auto"/>
              </w:rPr>
              <w:t>program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 xml:space="preserve"> . . . . . . . . . . . . . . .</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90,103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7"/>
        </w:trPr>
        <w:tc>
          <w:tcPr>
            <w:tcW w:w="216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Stock-based compensation . . . .</w:t>
            </w:r>
          </w:p>
        </w:tc>
        <w:tc>
          <w:tcPr>
            <w:tcW w:w="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961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961</w:t>
            </w: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4,943</w:t>
            </w:r>
          </w:p>
        </w:tc>
      </w:tr>
      <w:tr>
        <w:trPr>
          <w:trHeight w:val="192"/>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Proceeds from non-redeemable</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non-controlling interest . . . .</w:t>
            </w:r>
          </w:p>
        </w:tc>
        <w:tc>
          <w:tcPr>
            <w:tcW w:w="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9,854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12,753</w:t>
            </w: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7"/>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Deconsolidation of entities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6"/>
                <w:szCs w:val="16"/>
                <w:color w:val="auto"/>
              </w:rPr>
              <w:t xml:space="preserve"> . . .</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(1,383)</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(34,662)</w:t>
            </w:r>
          </w:p>
        </w:tc>
        <w:tc>
          <w:tcPr>
            <w:tcW w:w="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(36,045)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77"/>
        </w:trPr>
        <w:tc>
          <w:tcPr>
            <w:tcW w:w="216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Distributions to non-redeemable</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non-controlling interests . . .</w:t>
            </w:r>
          </w:p>
        </w:tc>
        <w:tc>
          <w:tcPr>
            <w:tcW w:w="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(333)</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Payment of paid-in-kind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preferred dividends . . . . . . .</w:t>
            </w:r>
          </w:p>
        </w:tc>
        <w:tc>
          <w:tcPr>
            <w:tcW w:w="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(16,536)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 on Redeemable</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preferred non-controlling</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interests . . . . . . . . . . . . . . . .</w:t>
            </w:r>
          </w:p>
        </w:tc>
        <w:tc>
          <w:tcPr>
            <w:tcW w:w="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(1,792)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(1,792)</w:t>
            </w: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11,011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(9,219)</w:t>
            </w:r>
          </w:p>
        </w:tc>
      </w:tr>
      <w:tr>
        <w:trPr>
          <w:trHeight w:val="192"/>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100" w:type="dxa"/>
            <w:vAlign w:val="bottom"/>
          </w:tcPr>
          <w:p>
            <w:pPr>
              <w:spacing w:after="0"/>
              <w:rPr>
                <w:sz w:val="15"/>
                <w:szCs w:val="15"/>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Redeemable non-controlling</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6"/>
        </w:trPr>
        <w:tc>
          <w:tcPr>
            <w:tcW w:w="100" w:type="dxa"/>
            <w:vAlign w:val="bottom"/>
          </w:tcPr>
          <w:p>
            <w:pPr>
              <w:spacing w:after="0"/>
              <w:rPr>
                <w:sz w:val="17"/>
                <w:szCs w:val="17"/>
                <w:color w:val="auto"/>
              </w:rPr>
            </w:pPr>
          </w:p>
        </w:tc>
        <w:tc>
          <w:tcPr>
            <w:tcW w:w="20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interests . . . . . . . . . . . . . . . .</w:t>
            </w:r>
          </w:p>
        </w:tc>
        <w:tc>
          <w:tcPr>
            <w:tcW w:w="4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(2,285)</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314,682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312,397</w:t>
            </w: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(312,396)</w:t>
            </w:r>
          </w:p>
        </w:tc>
      </w:tr>
      <w:tr>
        <w:trPr>
          <w:trHeight w:val="162"/>
        </w:trPr>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w w:val="99"/>
              </w:rPr>
              <w:t>29,701,146</w:t>
            </w:r>
          </w:p>
        </w:tc>
        <w:tc>
          <w:tcPr>
            <w:tcW w:w="120" w:type="dxa"/>
            <w:vAlign w:val="bottom"/>
            <w:gridSpan w:val="2"/>
          </w:tcPr>
          <w:p>
            <w:pPr>
              <w:spacing w:after="0"/>
              <w:rPr>
                <w:sz w:val="14"/>
                <w:szCs w:val="14"/>
                <w:color w:val="auto"/>
              </w:rPr>
            </w:pPr>
          </w:p>
        </w:tc>
        <w:tc>
          <w:tcPr>
            <w:tcW w:w="320" w:type="dxa"/>
            <w:vAlign w:val="bottom"/>
            <w:tcBorders>
              <w:top w:val="single" w:sz="8" w:color="auto"/>
              <w:bottom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gridSpan w:val="2"/>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97"/>
              </w:rPr>
              <w:t>144,399,037</w:t>
            </w:r>
          </w:p>
        </w:tc>
        <w:tc>
          <w:tcPr>
            <w:tcW w:w="120" w:type="dxa"/>
            <w:vAlign w:val="bottom"/>
            <w:gridSpan w:val="2"/>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   14</w:t>
            </w:r>
          </w:p>
        </w:tc>
        <w:tc>
          <w:tcPr>
            <w:tcW w:w="12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  (467,195)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955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93"/>
              </w:rPr>
              <w:t>(1,635,783)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92"/>
              </w:rPr>
              <w:t>$ (11,614)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(477,852)</w:t>
            </w:r>
          </w:p>
        </w:tc>
        <w:tc>
          <w:tcPr>
            <w:tcW w:w="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132,617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802,720</w:t>
            </w:r>
          </w:p>
        </w:tc>
        <w:tc>
          <w:tcPr>
            <w:tcW w:w="6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
        </w:trPr>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61" w:lineRule="exact"/>
        <w:rPr>
          <w:sz w:val="20"/>
          <w:szCs w:val="20"/>
          <w:color w:val="auto"/>
        </w:rPr>
      </w:pPr>
    </w:p>
    <w:p>
      <w:pPr>
        <w:ind w:left="580" w:hanging="480"/>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equity awards vested net of shares of Class A common stock withheld for taxes. Please see Note 16.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additional information.</w:t>
      </w:r>
    </w:p>
    <w:p>
      <w:pPr>
        <w:spacing w:after="0" w:line="21" w:lineRule="exact"/>
        <w:rPr>
          <w:rFonts w:ascii="Times New Roman" w:cs="Times New Roman" w:eastAsia="Times New Roman" w:hAnsi="Times New Roman"/>
          <w:sz w:val="18"/>
          <w:szCs w:val="18"/>
          <w:color w:val="auto"/>
        </w:rPr>
      </w:pPr>
    </w:p>
    <w:p>
      <w:pPr>
        <w:ind w:left="580" w:right="100" w:hanging="480"/>
        <w:spacing w:after="0" w:line="245"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fourth quarter of 2023, the Company issued shares of Class A common stock under the Company’s ATM program. Please see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for additional information.</w:t>
      </w:r>
    </w:p>
    <w:p>
      <w:pPr>
        <w:spacing w:after="0" w:line="17" w:lineRule="exact"/>
        <w:rPr>
          <w:rFonts w:ascii="Times New Roman" w:cs="Times New Roman" w:eastAsia="Times New Roman" w:hAnsi="Times New Roman"/>
          <w:sz w:val="18"/>
          <w:szCs w:val="18"/>
          <w:color w:val="auto"/>
        </w:rPr>
      </w:pPr>
    </w:p>
    <w:p>
      <w:pPr>
        <w:ind w:left="580" w:right="100" w:hanging="480"/>
        <w:spacing w:after="0" w:line="245"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May 30, 2023, two of our RNG facilities, Emerald and Sapphire were deconsolidated and accounted for under equity method as per ASC 323. Please see Note 3. </w:t>
      </w:r>
      <w:r>
        <w:rPr>
          <w:rFonts w:ascii="Times New Roman" w:cs="Times New Roman" w:eastAsia="Times New Roman" w:hAnsi="Times New Roman"/>
          <w:sz w:val="18"/>
          <w:szCs w:val="18"/>
          <w:i w:val="1"/>
          <w:iCs w:val="1"/>
          <w:color w:val="auto"/>
        </w:rPr>
        <w:t>Investment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Entities </w:t>
      </w:r>
      <w:r>
        <w:rPr>
          <w:rFonts w:ascii="Times New Roman" w:cs="Times New Roman" w:eastAsia="Times New Roman" w:hAnsi="Times New Roman"/>
          <w:sz w:val="18"/>
          <w:szCs w:val="18"/>
          <w:color w:val="auto"/>
        </w:rPr>
        <w:t>and Note 12.</w:t>
      </w:r>
      <w:r>
        <w:rPr>
          <w:rFonts w:ascii="Times New Roman" w:cs="Times New Roman" w:eastAsia="Times New Roman" w:hAnsi="Times New Roman"/>
          <w:sz w:val="18"/>
          <w:szCs w:val="18"/>
          <w:i w:val="1"/>
          <w:iCs w:val="1"/>
          <w:color w:val="auto"/>
        </w:rPr>
        <w:t xml:space="preserve"> Variable Interest Entities </w:t>
      </w:r>
      <w:r>
        <w:rPr>
          <w:rFonts w:ascii="Times New Roman" w:cs="Times New Roman" w:eastAsia="Times New Roman" w:hAnsi="Times New Roman"/>
          <w:sz w:val="18"/>
          <w:szCs w:val="18"/>
          <w:color w:val="auto"/>
        </w:rPr>
        <w:t>for additional information.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2">
            <w:col w:w="230" w:space="198"/>
            <w:col w:w="13620"/>
          </w:cols>
          <w:pgMar w:left="912" w:top="1394" w:right="88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60" w:type="dxa"/>
            <w:vAlign w:val="bottom"/>
          </w:tcPr>
          <w:p>
            <w:pPr>
              <w:spacing w:after="0"/>
              <w:rPr>
                <w:sz w:val="21"/>
                <w:szCs w:val="21"/>
                <w:color w:val="auto"/>
              </w:rPr>
            </w:pPr>
          </w:p>
        </w:tc>
      </w:tr>
      <w:tr>
        <w:trPr>
          <w:trHeight w:val="24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(used in)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440" w:type="dxa"/>
            <w:vAlign w:val="bottom"/>
          </w:tcPr>
          <w:p>
            <w:pPr>
              <w:jc w:val="right"/>
              <w:ind w:right="4560"/>
              <w:spacing w:after="0" w:line="223" w:lineRule="exact"/>
              <w:rPr>
                <w:sz w:val="20"/>
                <w:szCs w:val="20"/>
                <w:color w:val="auto"/>
              </w:rPr>
            </w:pPr>
            <w:r>
              <w:rPr>
                <w:rFonts w:ascii="Times New Roman" w:cs="Times New Roman" w:eastAsia="Times New Roman" w:hAnsi="Times New Roman"/>
                <w:sz w:val="20"/>
                <w:szCs w:val="20"/>
                <w:color w:val="auto"/>
              </w:rPr>
              <w:t>operating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(5,525)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(5,784)</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from equity method investments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exchange of Warrants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13,015</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deferred financing costs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operating lease right-of-use assets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debt extinguishment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Accretion expense related to asset retirement obligation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bad debts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Paid-in-kind interest income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Convertible Note Payable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the earnout liabilities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(6,890)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(37,111)</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 on derivative financial instruments.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3,867</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repayment of Note receivable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(1,943)</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deconsolidation of VIEs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(122,873)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(6,191)</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related party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(6,275)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(12,421)</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received on previously recorded paid-in-kind interest income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tax credits receivable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(1,201)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(1,751)</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 spares . . .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Parts inventory . .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(2,880)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(2,168)</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(1,288)</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 and other current assets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(3,108)</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(1,287)</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10,143</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tax credits payable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payroll . .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3,273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3,237</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 current and non-current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(640)</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Asset retirement obligations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and non-current liabilities.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(1,910)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60" w:type="dxa"/>
            <w:vAlign w:val="bottom"/>
          </w:tcPr>
          <w:p>
            <w:pPr>
              <w:spacing w:after="0"/>
              <w:rPr>
                <w:sz w:val="21"/>
                <w:szCs w:val="21"/>
                <w:color w:val="auto"/>
              </w:rPr>
            </w:pP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(1,699)</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(1,772)</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Net cash provided by (used in) operating activities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38,269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(1,355)</w:t>
            </w:r>
          </w:p>
        </w:tc>
      </w:tr>
      <w:tr>
        <w:trPr>
          <w:trHeight w:val="224"/>
        </w:trPr>
        <w:tc>
          <w:tcPr>
            <w:tcW w:w="6440" w:type="dxa"/>
            <w:vAlign w:val="bottom"/>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property, plant, and equipment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(113,826)</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(131,410)</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Deconsolidation of VIEs, net of cash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(11,947)</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(purchase) of short term investments.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55,101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(64,976)</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investment in other entities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(8,314)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(597)</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received from repayment of Note receivable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10,855</w:t>
            </w:r>
          </w:p>
        </w:tc>
        <w:tc>
          <w:tcPr>
            <w:tcW w:w="60" w:type="dxa"/>
            <w:vAlign w:val="bottom"/>
          </w:tcPr>
          <w:p>
            <w:pPr>
              <w:spacing w:after="0"/>
              <w:rPr>
                <w:sz w:val="21"/>
                <w:szCs w:val="21"/>
                <w:color w:val="auto"/>
              </w:rPr>
            </w:pP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received from equity method investment . . . . . . . . . . . . . . . . . .</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60" w:type="dxa"/>
            <w:vAlign w:val="bottom"/>
          </w:tcPr>
          <w:p>
            <w:pPr>
              <w:spacing w:after="0"/>
              <w:rPr>
                <w:sz w:val="21"/>
                <w:szCs w:val="21"/>
                <w:color w:val="auto"/>
              </w:rPr>
            </w:pPr>
          </w:p>
        </w:tc>
      </w:tr>
      <w:tr>
        <w:trPr>
          <w:trHeight w:val="224"/>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(74,147)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(184,028)</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1" w:right="1440" w:bottom="348"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Sunoma loan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OPAL Term Loan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received from Business Combination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costs paid to other third parties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(10,264)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(8,321)</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Repayment of Senior Secured Credit Facility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(22,750)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(58,603)</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Repayment of Convertible Note Payable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(30,107)</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Repayment of OPAL Term Loan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(106,090)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(18,910)</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Repayment of Sunoma Loan .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(546)</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Repayment of Municipality loan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Repayment of finance lease liabilities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equipment loan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 of non-redeemable non-controlling interest,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related party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12,753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Reimbursement of financing costs by joint venture partner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842</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paid-in-kind preferred dividends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(16,536)</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taxes related to net share settlement of equity awards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(896)</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purchase of shares upon exercise of put option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(16,391)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Distribution to non-redeemable non-controlling interest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shares of Class A common stock under the ATM</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program, net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redeemable preferred non-controlling interests,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related party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Contributions from members . . . . . . . . . . . . . . . . . . . . . . . . . . . . . . . . . . . . .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64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cash provided by financing activities . . . . . . . . . . . . . . . . . . . . . . . . . . . . . .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5,899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220,550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.Net(decrease)increaseincash,restrictedcash,andcashequivalents........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(29,979)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35,167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Cash, restricted cash, and cash equivalents, beginning of period . . . . . . . . . . . .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77,221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42,054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Cash, restricted cash, and cash equivalents, end of period . . . . . . . . . . . . . . . . . .</w:t>
            </w:r>
          </w:p>
        </w:tc>
        <w:tc>
          <w:tcPr>
            <w:tcW w:w="380" w:type="dxa"/>
            <w:vAlign w:val="bottom"/>
            <w:gridSpan w:val="2"/>
          </w:tcPr>
          <w:p>
            <w:pPr>
              <w:jc w:val="right"/>
              <w:ind w:right="180"/>
              <w:spacing w:after="0" w:line="22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47,242</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7"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77,221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Interest paid, net of $5,475 and $3,678 capitalized, respectively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6,929</w:t>
            </w:r>
          </w:p>
        </w:tc>
        <w:tc>
          <w:tcPr>
            <w:tcW w:w="12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 issued for redemption of Convertible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Note Payable . .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 issued for redemption of Public and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Private warrants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338</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Derivative warrant liabilities assumed related to Business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Combination . .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Earnout liabilities related to Business Combination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put option on a forward purchase agreement related to Business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Combination . .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Paid-in-kind dividend on redeemable preferred non-controlling interests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2,617</w:t>
            </w:r>
          </w:p>
        </w:tc>
        <w:tc>
          <w:tcPr>
            <w:tcW w:w="12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for finance leases included in Property, Plant and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equipment, net .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9,048</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for finance leases included in Accrued expenses and other</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current liabilities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1,398</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for finance leases included in Other long-term liabilities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7,388</w:t>
            </w:r>
          </w:p>
        </w:tc>
        <w:tc>
          <w:tcPr>
            <w:tcW w:w="12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Accrual for purchase of Property, plant and equipment included in Accounts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payable and Accrued capital expenses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15,128</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9360"/>
          </w:cols>
          <w:pgMar w:left="1440" w:top="941" w:right="1440" w:bottom="348"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Company is organized into four operating segments based on the characteristics and the nature of products and services. The four operating segments are — RNG Fuel, Fuel Station Services, Renewable Power and Corporate. During the first and third quarters of 2023, the Company changed its internal reporting to its executive leadership team (“Chief Operating Decision Makers”) to change the composition of revenues included in our reportable segments. Please see Note 11. </w:t>
      </w:r>
      <w:r>
        <w:rPr>
          <w:rFonts w:ascii="Times New Roman" w:cs="Times New Roman" w:eastAsia="Times New Roman" w:hAnsi="Times New Roman"/>
          <w:sz w:val="19"/>
          <w:szCs w:val="19"/>
          <w:i w:val="1"/>
          <w:iCs w:val="1"/>
          <w:color w:val="auto"/>
        </w:rPr>
        <w:t>Reportable Segments and Geographic Information</w:t>
      </w:r>
      <w:r>
        <w:rPr>
          <w:rFonts w:ascii="Times New Roman" w:cs="Times New Roman" w:eastAsia="Times New Roman" w:hAnsi="Times New Roman"/>
          <w:sz w:val="19"/>
          <w:szCs w:val="19"/>
          <w:color w:val="auto"/>
        </w:rPr>
        <w:t xml:space="preserve"> for additional information.</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amounts in these footnotes are presented in thousands of dollars except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 and Principles of Consolidation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prepared in accordance with generally accepted accounting principles in the United States (“U.S. GAAP”) and includes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Polk County RNG LLC (“Polk County”), OPAL Contracting LLC (formerly Fortistar Contracting LLC), OPAL RNG LLC (formerly Fortistar RNG LLC), and OPAL Fuel station services LLC (“Fuel Station Services”). The Company’s unaudited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consolidated balance sheets and as a non-redeemable non-controlling interests in the consolidated statements of changes in redeemable non-controlling interests, redeemable preferred non-controlling interests and Stockholders’ (deficit) equity.</w:t>
      </w:r>
    </w:p>
    <w:p>
      <w:pPr>
        <w:spacing w:after="0" w:line="17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Certain prior period amounts have been reclassified to conform with the current period presentation including reclassification of the Company’s proportional share of income in equity investments into operating income. See Note 3. </w:t>
      </w:r>
      <w:r>
        <w:rPr>
          <w:rFonts w:ascii="Times New Roman" w:cs="Times New Roman" w:eastAsia="Times New Roman" w:hAnsi="Times New Roman"/>
          <w:sz w:val="19"/>
          <w:szCs w:val="19"/>
          <w:i w:val="1"/>
          <w:iCs w:val="1"/>
          <w:color w:val="auto"/>
        </w:rPr>
        <w:t>Investment in Other Entities</w:t>
      </w:r>
      <w:r>
        <w:rPr>
          <w:rFonts w:ascii="Times New Roman" w:cs="Times New Roman" w:eastAsia="Times New Roman" w:hAnsi="Times New Roman"/>
          <w:sz w:val="19"/>
          <w:szCs w:val="19"/>
          <w:color w:val="auto"/>
        </w:rPr>
        <w:t xml:space="preserve"> for further discussion. The Company reclassified certain project development and start up costs as a separate line within Operating expenses, which were previously included in Cost of sales — RNG Fuel and Selling, general and administrative expenses. Please see the </w:t>
      </w:r>
      <w:r>
        <w:rPr>
          <w:rFonts w:ascii="Times New Roman" w:cs="Times New Roman" w:eastAsia="Times New Roman" w:hAnsi="Times New Roman"/>
          <w:sz w:val="19"/>
          <w:szCs w:val="19"/>
          <w:i w:val="1"/>
          <w:iCs w:val="1"/>
          <w:color w:val="auto"/>
        </w:rPr>
        <w:t>Project development and start up costs</w:t>
      </w:r>
      <w:r>
        <w:rPr>
          <w:rFonts w:ascii="Times New Roman" w:cs="Times New Roman" w:eastAsia="Times New Roman" w:hAnsi="Times New Roman"/>
          <w:sz w:val="19"/>
          <w:szCs w:val="19"/>
          <w:color w:val="auto"/>
        </w:rPr>
        <w:t xml:space="preserve"> section within Note 2. Additionally, the Company also reclassified certain Accounts Payable to equity method investments from Accounts Payable to Accounts payable, related party. Please see Note 10. Related Parties for additional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Interest Entities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w:t>
      </w:r>
    </w:p>
    <w:p>
      <w:pPr>
        <w:sectPr>
          <w:pgSz w:w="12240" w:h="15840" w:orient="portrait"/>
          <w:cols w:equalWidth="0" w:num="1">
            <w:col w:w="9360"/>
          </w:cols>
          <w:pgMar w:left="1440" w:top="941" w:right="1440" w:bottom="353"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941" w:right="1440" w:bottom="353"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is not consolidated, the Company evaluates its interest for application of the equity method of accounting. Equity method investments are included in the consolidated balance sheets as “Investments in other entities.” Investments in unconsolidated entities in which the Company has influence over the operating or financial decisions are accounted for under the equity method.</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May 30, 2023, the Company together with a third-party environmental solutions company formed Paragon RNG LLC (“Paragon”), a new joint venture holding company. The Company owns 50% of the ownership interest in Paragon. Concurrent to the formation of Paragon, the Company contributed its 50% ownership interests in Emerald and Sapphire to Paragon. Upon the execution of the above transaction, the Company reassessed its equity interests in Emerald RNG LLC (“Emerald”) and Sapphire RNG LLC (“Sapphire”)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and determined that the Company did not have a controlling financial interest in Paragon under ASC 810 because the governance of Paragon is driven by a board jointly controlled equally by the joint venture partner and the Company and there are substantive participating rights held by the joint venture partner in the significant activities of Paragon. As a result of the reassessment, the Company deconsolidated these two entities effective May 30, 2023. Prior to May 30, 2023, the Company consolidated these two entities in accordance with the variable interest entity model guidance under ASC 810, Consolidation.</w:t>
      </w:r>
    </w:p>
    <w:p>
      <w:pPr>
        <w:spacing w:after="0" w:line="175"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On September 14, 2023, OPAL Land2Gas LLC (“OPAL L2G”), a wholly-owned indirect subsidiary of OPAL Fuels Inc. (the “Company”), entered into a Limited Liability Company Agreement (for purposes of this paragraph, the “Agreement”) with SJI Landfill RNG LLC (“SJI LRNG”), a wholly-owned indirect subsidiary of South Jersey Industries (“SJI”), establishing the terms and conditions of governance and operation of Land2Gas LLC (the “ SJI Joint Venture”). The purpose of the Joint Venture, which is owned 50/50 by OPAL L2G and SJI LRNG, is to develop, construct, own and operate facilities (“Facilities”) to produce RNG using biogas generated by certain landfills. The Agreement governs the terms and conditions of capital contributions to be made by the SJI Joint Venture members to fund the development, construction and operations of the Facilities. The Agreement requires members of the SJI Joint Venture to contribute their respective share (50% each) of such capital requirements. The Agreement initially contemplates two RNG projects (RNG Atlantic and RNG Burlington) in New Jersey with each RNG project represented as a separate series of membership interests, also owned 50-50 by the members. Further, the Agreement provides for the SJI Joint Venture to enter into a Management Services Agreement (“MSA”), Operations and Maintenance Agreement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Upon the execution of the above transaction, the Company assessed its equity interests in the SJI Joint Venture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December 31, 2023, the Company contributed $2,115 towards RNG Atlantic.</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2023, the Company accounted for its ownership interests in Pine Bend RNG LLC (“Pine Bend”), Noble Road RNG LLC (“Noble Road”), Emerald, Sapphire, Paragon, SJI Joint Venture (RNG Atlantic and RNG Burlington) and GREP BTB Holdings LLC (“GREP”) under the equity method.</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As of December 31, 2022, the Company accounted for its ownership interests in Pine Bend, Noble Road and GREP under the equity method. Please see Note 3. </w:t>
      </w:r>
      <w:r>
        <w:rPr>
          <w:rFonts w:ascii="Times New Roman" w:cs="Times New Roman" w:eastAsia="Times New Roman" w:hAnsi="Times New Roman"/>
          <w:sz w:val="20"/>
          <w:szCs w:val="20"/>
          <w:i w:val="1"/>
          <w:iCs w:val="1"/>
          <w:color w:val="auto"/>
        </w:rPr>
        <w:t>Investment in Other Entities,</w:t>
      </w:r>
      <w:r>
        <w:rPr>
          <w:rFonts w:ascii="Times New Roman" w:cs="Times New Roman" w:eastAsia="Times New Roman" w:hAnsi="Times New Roman"/>
          <w:sz w:val="20"/>
          <w:szCs w:val="20"/>
          <w:color w:val="auto"/>
        </w:rPr>
        <w:t xml:space="preserve"> for additional information.</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2" w:right="1440" w:bottom="353"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impairment assessment of goodwill, the fair value of deconsolidated VIEs and the fair value of derivative instruments. Actual results could differ from those estimates.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Adopted</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June 2016, the Financial Standards Accounting Board (“FASB”) issued ASU 2016-13, Financial Instruments — Credit Losses (“ASC 326”), with the objective of providing information about the credit risk inherent in an entity’s financial statements as well as to explain management’s estimate of expected credit losses and the changes in the allowance for such losses. The accounting standard amends the current financial instrument impairment model by requiring entities to use a forward-looking approach based on expected losses to estimate credit losses on certain types of financial instruments, including trade receivables. Under the new guidance, an entity recognizes as an allowance, its estimate of lifetime expected credit losses, which will result in more timely recognition of such losses. The Company adopted the accounting standard using the modified retrospective transition approach as of January 1, 2023. There was no cumulative effect upon adoption to report to our consolidated financial statements.</w:t>
      </w:r>
    </w:p>
    <w:p>
      <w:pPr>
        <w:spacing w:after="0" w:line="157"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18"/>
          <w:szCs w:val="18"/>
          <w:color w:val="auto"/>
        </w:rPr>
        <w:t>The adoption of ASC 326 primarily impacted our trade receivables and the Note receivable — variable fee component recorded on our consolidated balance sheet as of December 31, 2023. Upon adoption of ASC 326, the Company assessed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considered historical collectability based on past due status and made judgments about the creditworthiness of customers based on ongoing credit evaluations. The Company also considered customer-specific information, current market conditions and reasonable and supportable forecasts of future economic conditions to inform adjustments to historical loss data. The carrying value of the Note receivable — variable fee component on the consolidated balance sheet as of December 31, 2023 is based on a discounted expected cash flows model which is adjusted on a quarterly basis. Therefore, the Company determined that the credit risk component is included in the carrying value at each reporting period. The adoption of ASC 326 did not have any material impact on our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Not Yet Adopted</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March 2023, the FASB issued Accounting Standards Update No. 2023-01, Leases (Topic 842) (the “Update”). The Update requires the entities to classify and account for a leasing arrangement between entities under common control on the same basis as an arrangement with an unrelated party. The Update also requires that leasehold improvements associated with common control leases be amortized by the lessee over the useful life of the leasehold improvements to the common control group (regardless of the lease term) as long as the lessee controls the use of the underlying asset and accounts for the underlying asset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is currently evaluating the impact of the adoption of this Update on its consolidated financial statements.</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August 2023, the FASB issued Accounting Standards Update No. 2023-05, Business Combinations — Joint Venture Formations (Subtopic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The Company is currently evaluating the impact of the adoption of ASU 2023-05 on its consolidated financial statements.</w:t>
      </w:r>
    </w:p>
    <w:p>
      <w:pPr>
        <w:sectPr>
          <w:pgSz w:w="12240" w:h="15840" w:orient="portrait"/>
          <w:cols w:equalWidth="0" w:num="1">
            <w:col w:w="9360"/>
          </w:cols>
          <w:pgMar w:left="1440" w:top="942" w:right="1440" w:bottom="353"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2" w:right="1440" w:bottom="353"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October 2023, the FASB issued Accounting Standards Update No. 2023-06, Disclosure Improvements — Codification Amendments in response to SEC’s Disclosure Update and Simplification Initiative (“ASU 2023-06).The update requires certain additional disclosures including but not limited to accounting policy on relating to cash flows associated with derivative instruments and their related gains and losses in statement of cash flows, methods used in the diluted earnings per share computation for each dilutive security, disclosures related to assets mortgaged, pledged or otherwise subject to lien and collateralized obligations, disclosure of amounts and terms of unused lines of credit, unfunded commitments, weighted average interest rate on short-term borrowings, preference of preferred stock in an involuntary liquidation if the liquidation preference is other than par or stated value and disclosure of amounts at risk with an individual counterparty if the amount exceeds 10% of stockholder’s equity. The Company is currently evaluating the impact of the adoption of ASU 2023-06 on its consolidated financial statements.</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is currently evaluating the impact of the adoption of ASU 2023-07 on its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 as of December 31, 2023 and December 31,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40,394</w:t>
            </w:r>
          </w:p>
        </w:tc>
      </w:tr>
      <w:tr>
        <w:trPr>
          <w:trHeight w:val="257"/>
        </w:trPr>
        <w:tc>
          <w:tcPr>
            <w:tcW w:w="654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color w:val="auto"/>
              </w:rPr>
              <w:t>Restricted cash – 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32,402</w:t>
            </w:r>
          </w:p>
        </w:tc>
      </w:tr>
      <w:tr>
        <w:trPr>
          <w:trHeight w:val="223"/>
        </w:trPr>
        <w:tc>
          <w:tcPr>
            <w:tcW w:w="6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Long-term 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2"/>
        </w:trPr>
        <w:tc>
          <w:tcPr>
            <w:tcW w:w="654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20"/>
                <w:szCs w:val="20"/>
                <w:color w:val="auto"/>
              </w:rPr>
              <w:t>Restricted cash held as collateral</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4,499</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4,425</w:t>
            </w:r>
          </w:p>
        </w:tc>
      </w:tr>
      <w:tr>
        <w:trPr>
          <w:trHeight w:val="219"/>
        </w:trPr>
        <w:tc>
          <w:tcPr>
            <w:tcW w:w="65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Total cash, cash equivalents, and restricted cash . . . . . . . . . . . . . . . . . . . . . . . . .</w:t>
            </w:r>
          </w:p>
        </w:tc>
        <w:tc>
          <w:tcPr>
            <w:tcW w:w="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47,242</w:t>
            </w:r>
          </w:p>
        </w:tc>
        <w:tc>
          <w:tcPr>
            <w:tcW w:w="2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77,221</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
        </w:trPr>
        <w:tc>
          <w:tcPr>
            <w:tcW w:w="88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bl>
    <w:p>
      <w:pPr>
        <w:spacing w:after="0" w:line="83" w:lineRule="exact"/>
        <w:rPr>
          <w:sz w:val="20"/>
          <w:szCs w:val="20"/>
          <w:color w:val="auto"/>
        </w:rPr>
      </w:pPr>
    </w:p>
    <w:p>
      <w:pPr>
        <w:jc w:val="both"/>
        <w:ind w:left="480" w:hanging="480"/>
        <w:spacing w:after="0" w:line="252"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 current as of December 31, 2023 primarily consists of debt reserve on Sunoma Loan. Restricted cash — current as of December 31, 2022 consists of (i) $16,849 held in escrow to secure the Company’s purchase obligations under the forward purchase agreement with Meteora (ii) $5,845 equity contribution to a joint venture in connection with the closing of OPAL Term Loan II (iii) $1,127 relates to interest reserve on Sunoma Loan and (iv) $8,581 held in a restricted account for funding one of our RNG projects.</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held as collateral represents the collateral requirements on our debt facilities.</w:t>
      </w:r>
    </w:p>
    <w:p>
      <w:pPr>
        <w:sectPr>
          <w:pgSz w:w="12240" w:h="15840" w:orient="portrait"/>
          <w:cols w:equalWidth="0" w:num="1">
            <w:col w:w="9360"/>
          </w:cols>
          <w:pgMar w:left="1440" w:top="942" w:right="1440" w:bottom="353"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2" w:right="1440" w:bottom="353"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term investments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considers highly liquid investments such as time deposits and certificates of deposit with an original maturity greater than three months at the time of purchase to be short term investments. The short term investments of $9,875 consists of cash invested in money market accounts with maturities ranging between 1 and 12 months as of December 31, 2023. The amounts in these money market accounts are liquid and available for general use.</w:t>
      </w:r>
    </w:p>
    <w:p>
      <w:pPr>
        <w:spacing w:after="0" w:line="15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short term investments are generally invested in commercial paper issued by highly credit worthy counter parties and government backed treasury bills. Investments are generally not FDIC insured and we take counter party risk on these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 Awards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connection with the Business Combination completed in July 2022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2023, the Company recorded a total gain of $6,890 from the Sponsor and OPAL earn-out awards in its consolidated statement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Put option on forward purchase agreement</w:t>
      </w:r>
    </w:p>
    <w:p>
      <w:pPr>
        <w:spacing w:after="0" w:line="177"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18"/>
          <w:szCs w:val="18"/>
          <w:color w:val="auto"/>
        </w:rPr>
        <w:t xml:space="preserve">Prior to the closing of the Business Combination, the Company entered into a Forward Purchase Agreement with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put option written to Meteora on 2,000,000 shares of Class A common stock is recorded as a liability under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with the change in the fair market value recognized in the statement of operations as part of change in fair value of derivative instruments, net.</w:t>
      </w:r>
    </w:p>
    <w:p>
      <w:pPr>
        <w:spacing w:after="0" w:line="148"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18"/>
          <w:szCs w:val="18"/>
          <w:color w:val="auto"/>
        </w:rPr>
        <w:t>On January 23, 2023, pursuant to the terms of the Forward Purchase Agreement, Meteora exercised its option to sell back 1,635,783 shares to the Company. $16,391 of the funds held in escrow which were previously recorded as part of Restricted Cash — current on the Company’s consolidated balance sheet as of December 31, 2022 were released to Meteora (excluding accrued interest). In connection with the above, the Sponsor forfeited 197,258 shares of Class A common stock on January 26, 2023 pursuant to the terms of that certain Letter Agreement dated July 21, 2022. The Company treated the repurchased shares as treasury shares and recorded $11,614 representing the fair value of those shares at the closing share price of $7.01 as an adjustment to Stockholders’ deficit. Additionally, the Company recorded $4,777 as an offset to the Derivative financial liability — current in its consolidated balance sheet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2" w:right="1440" w:bottom="353"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At each balance sheet date, the mezzanine equity classified Redeemable non-controlling interests is adjusted up to their maximum redemption value if necessary, with an offset in Stockholders’ equity. As of December 31, 2023, the maximum redemption value was $802,720.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Company issues stock-based compensation utilizing stock options, performance units and restricted stock units.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Expense for stock-based compensation awards that include performance conditions are initially calculated and subsequently remeasured based on the outcome deemed probable of occurring, and recognized over the vesting period, with the ultimate amount of expense recognized based on the actual performance outcome. Please see Note 16. </w:t>
      </w:r>
      <w:r>
        <w:rPr>
          <w:rFonts w:ascii="Times New Roman" w:cs="Times New Roman" w:eastAsia="Times New Roman" w:hAnsi="Times New Roman"/>
          <w:sz w:val="19"/>
          <w:szCs w:val="19"/>
          <w:i w:val="1"/>
          <w:iCs w:val="1"/>
          <w:color w:val="auto"/>
        </w:rPr>
        <w:t>Stock-based Compensation</w:t>
      </w:r>
      <w:r>
        <w:rPr>
          <w:rFonts w:ascii="Times New Roman" w:cs="Times New Roman" w:eastAsia="Times New Roman" w:hAnsi="Times New Roman"/>
          <w:sz w:val="19"/>
          <w:szCs w:val="19"/>
          <w:color w:val="auto"/>
        </w:rPr>
        <w:t>, for additional information. Forfeitures are recognized as they occur.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Project development and start up costs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years ended December 31, 2023 and 2022, the Company is presenting these expenses in a separate line within operating expenses to provide additional information to the readers of the financial statements regarding the ongoing profitability of our RNG projects in operation.</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following table provides information on the types of expenses classified under this expense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46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245"/>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Site lease expenses . . . .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1,021</w:t>
            </w:r>
          </w:p>
        </w:tc>
        <w:tc>
          <w:tcPr>
            <w:tcW w:w="100" w:type="dxa"/>
            <w:vAlign w:val="bottom"/>
          </w:tcPr>
          <w:p>
            <w:pPr>
              <w:spacing w:after="0"/>
              <w:rPr>
                <w:sz w:val="21"/>
                <w:szCs w:val="21"/>
                <w:color w:val="auto"/>
              </w:rPr>
            </w:pP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1,000</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Legal and professional fees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7"/>
              </w:rPr>
              <w:t>1,141</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Royalties . . . . . . . . . . .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1,444</w:t>
            </w: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Virtual pipeline costs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3,200</w:t>
            </w:r>
          </w:p>
        </w:tc>
      </w:tr>
      <w:tr>
        <w:trPr>
          <w:trHeight w:val="260"/>
        </w:trPr>
        <w:tc>
          <w:tcPr>
            <w:tcW w:w="6440" w:type="dxa"/>
            <w:vAlign w:val="bottom"/>
            <w:gridSpan w:val="2"/>
          </w:tcPr>
          <w:p>
            <w:pPr>
              <w:jc w:val="right"/>
              <w:ind w:right="80"/>
              <w:spacing w:after="0" w:line="259" w:lineRule="exact"/>
              <w:rPr>
                <w:sz w:val="20"/>
                <w:szCs w:val="20"/>
                <w:color w:val="auto"/>
              </w:rPr>
            </w:pPr>
            <w:r>
              <w:rPr>
                <w:rFonts w:ascii="Times New Roman" w:cs="Times New Roman" w:eastAsia="Times New Roman" w:hAnsi="Times New Roman"/>
                <w:sz w:val="20"/>
                <w:szCs w:val="20"/>
                <w:color w:val="auto"/>
                <w:w w:val="98"/>
              </w:rPr>
              <w:t>Management services</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109</w:t>
            </w:r>
          </w:p>
        </w:tc>
      </w:tr>
      <w:tr>
        <w:trPr>
          <w:trHeight w:val="224"/>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561</w:t>
            </w:r>
          </w:p>
        </w:tc>
      </w:tr>
      <w:tr>
        <w:trPr>
          <w:trHeight w:val="241"/>
        </w:trPr>
        <w:tc>
          <w:tcPr>
            <w:tcW w:w="6440" w:type="dxa"/>
            <w:vAlign w:val="bottom"/>
            <w:gridSpan w:val="2"/>
          </w:tcPr>
          <w:p>
            <w:pPr>
              <w:jc w:val="right"/>
              <w:ind w:right="80"/>
              <w:spacing w:after="0" w:line="241" w:lineRule="exact"/>
              <w:rPr>
                <w:sz w:val="20"/>
                <w:szCs w:val="20"/>
                <w:color w:val="auto"/>
              </w:rPr>
            </w:pPr>
            <w:r>
              <w:rPr>
                <w:rFonts w:ascii="Times New Roman" w:cs="Times New Roman" w:eastAsia="Times New Roman" w:hAnsi="Times New Roman"/>
                <w:sz w:val="20"/>
                <w:szCs w:val="20"/>
                <w:color w:val="auto"/>
              </w:rPr>
              <w:t>Total Project development and startup costs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4,866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6,438</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40"/>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pipeline costs for the year ended December 31, 2023 relate to New River and Prince William. For the year ended December 31, 2022, they relate to New River which came online in May 2022.</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charges billed to the individual projects by Fortistar. See Note. 10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additional information.</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1,454 of expenses for the year ended December 31, 2023 incurred on our equity method investment entities which are not consolidated.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per share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Business Combination was accounted for as a reverse recapitalization as OPAL Fuels was determined to be the accounting acquirer under FASB ASC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Accordingly, for accounting purposes, the transaction is treated as the equivalent of OPAL Fuels issuing stock for the net assets of ArcLight, accompanied by a recapitalization.</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2" w:right="1440" w:bottom="353"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Company’s basic earnings per share of Class A common stock is computed based on the average number of outstanding shares of Class A common stock for the period.</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credit losses. Upon adoption of ASC 326, the Company assesses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considers historical collectability based on past due status and made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Company’s allowance for credit losses was $0 and $0 at December 31, 2023 and December 31,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Tax Credit Receivable/Payable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December 31, 2023, the Company accrued federal fuel tax credits of $0.50 per gasoline gallon equivalent of CNG that the Company sold as vehicle fuel in 2023. At December 31, 2023 and 2022, fuel tax credits receivable were $5,345 and $4,144, respectively. Under the terms of its fuel sales agreements with certain of its customers, the Company is obligated to share portions of these tax credits. At December 31, 2023 and 2022, the amounts of fuel tax credits owed to customers were $4,558 and $3,320, respectively. The Company recorded its portion of tax credits earned as a reduction to cost of sales — RNG fuel in the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Retirement Obligation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asset retirement obligations in accordance with FASB ASC 410, </w:t>
      </w:r>
      <w:r>
        <w:rPr>
          <w:rFonts w:ascii="Times New Roman" w:cs="Times New Roman" w:eastAsia="Times New Roman" w:hAnsi="Times New Roman"/>
          <w:sz w:val="20"/>
          <w:szCs w:val="20"/>
          <w:i w:val="1"/>
          <w:iCs w:val="1"/>
          <w:color w:val="auto"/>
        </w:rPr>
        <w:t>Asset Retirement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Environmental Obligations, </w:t>
      </w:r>
      <w:r>
        <w:rPr>
          <w:rFonts w:ascii="Times New Roman" w:cs="Times New Roman" w:eastAsia="Times New Roman" w:hAnsi="Times New Roman"/>
          <w:sz w:val="20"/>
          <w:szCs w:val="20"/>
          <w:color w:val="auto"/>
        </w:rPr>
        <w:t>which requires entities to record the fair value of a liability for an asset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and 2022, the Company estimated the value of its total asset retirement obligations to be $6,728 and $6,256, respectively.</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2" w:right="1440" w:bottom="353"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360"/>
              <w:spacing w:after="0"/>
              <w:rPr>
                <w:sz w:val="20"/>
                <w:szCs w:val="20"/>
                <w:color w:val="auto"/>
              </w:rPr>
            </w:pPr>
            <w:r>
              <w:rPr>
                <w:rFonts w:ascii="Times New Roman" w:cs="Times New Roman" w:eastAsia="Times New Roman" w:hAnsi="Times New Roman"/>
                <w:sz w:val="20"/>
                <w:szCs w:val="20"/>
                <w:b w:val="1"/>
                <w:bCs w:val="1"/>
                <w:color w:val="auto"/>
              </w:rPr>
              <w:t>OPAL FUELS INC.</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7980" w:type="dxa"/>
            <w:vAlign w:val="bottom"/>
          </w:tcPr>
          <w:p>
            <w:pPr>
              <w:jc w:val="right"/>
              <w:ind w:right="13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0"/>
        </w:trPr>
        <w:tc>
          <w:tcPr>
            <w:tcW w:w="7980" w:type="dxa"/>
            <w:vAlign w:val="bottom"/>
          </w:tcPr>
          <w:p>
            <w:pPr>
              <w:jc w:val="right"/>
              <w:ind w:right="3380"/>
              <w:spacing w:after="0"/>
              <w:rPr>
                <w:sz w:val="20"/>
                <w:szCs w:val="20"/>
                <w:color w:val="auto"/>
              </w:rPr>
            </w:pPr>
            <w:r>
              <w:rPr>
                <w:rFonts w:ascii="Times New Roman" w:cs="Times New Roman" w:eastAsia="Times New Roman" w:hAnsi="Times New Roman"/>
                <w:sz w:val="20"/>
                <w:szCs w:val="20"/>
                <w:b w:val="1"/>
                <w:bCs w:val="1"/>
                <w:color w:val="auto"/>
                <w:w w:val="98"/>
              </w:rPr>
              <w:t xml:space="preserve">2. Summary of Significant Accounting Policies </w:t>
            </w:r>
            <w:r>
              <w:rPr>
                <w:rFonts w:ascii="Times New Roman" w:cs="Times New Roman" w:eastAsia="Times New Roman" w:hAnsi="Times New Roman"/>
                <w:sz w:val="20"/>
                <w:szCs w:val="20"/>
                <w:color w:val="auto"/>
                <w:w w:val="98"/>
              </w:rPr>
              <w:t>(cont.)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0"/>
        </w:trPr>
        <w:tc>
          <w:tcPr>
            <w:tcW w:w="79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The changes in the asset retirement obligations were as follows as of December 31, 2023: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7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Balance, December 31, 2022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6,256</w:t>
            </w:r>
          </w:p>
        </w:tc>
        <w:tc>
          <w:tcPr>
            <w:tcW w:w="60" w:type="dxa"/>
            <w:vAlign w:val="bottom"/>
          </w:tcPr>
          <w:p>
            <w:pPr>
              <w:spacing w:after="0"/>
              <w:rPr>
                <w:sz w:val="21"/>
                <w:szCs w:val="2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Payment of Asset retirement obligations during the year . . . . . . . . . . . . . . . . . . . . . . . . . . . . . . . . . .</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Accretion expense . . . . . . . . . . .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60" w:type="dxa"/>
            <w:vAlign w:val="bottom"/>
          </w:tcPr>
          <w:p>
            <w:pPr>
              <w:spacing w:after="0"/>
              <w:rPr>
                <w:sz w:val="22"/>
                <w:szCs w:val="22"/>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asset retirement obligation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6,728</w:t>
            </w:r>
          </w:p>
        </w:tc>
        <w:tc>
          <w:tcPr>
            <w:tcW w:w="60" w:type="dxa"/>
            <w:vAlign w:val="bottom"/>
          </w:tcPr>
          <w:p>
            <w:pPr>
              <w:spacing w:after="0"/>
              <w:rPr>
                <w:sz w:val="20"/>
                <w:szCs w:val="20"/>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 . . . . . . . . . . . . . . .</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(3,860)</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asset retirement obligation, net of current portion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2,868</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70"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70"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w:t>
      </w:r>
    </w:p>
    <w:p>
      <w:pPr>
        <w:sectPr>
          <w:pgSz w:w="12240" w:h="15840" w:orient="portrait"/>
          <w:cols w:equalWidth="0" w:num="1">
            <w:col w:w="9380"/>
          </w:cols>
          <w:pgMar w:left="1440" w:top="942"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80"/>
          </w:cols>
          <w:pgMar w:left="1440" w:top="942" w:right="1420" w:bottom="353"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was effective beginning January 1, 2022. For the years ended December 31, 2023 and 2022, the Company earned net revenues after discount and fees of $56,069 and $58,185, respectively, under this contract which was recorded as part of Revenues — RNG Fuel. For the years ended December 31, 2023 and 2022, the Company earned net revenues after discount and fees of $28,468 and $18,735, respectively, which was recorded as part of Revenues — Fuel Station Services.</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During third and fourth quarter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 One of these contracts has a term of 3-years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years ended December 31, 2023 and 2022, the Company earned net revenues of $16,325 and $3,114, respectively under this contract which were recorded as part of Revenues — Renewable Power in the consolidated statement of operations.</w:t>
      </w:r>
    </w:p>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of Environmental Attributes such as RINs, renewable energy credits (“RECs”), ISCC Carbon Credits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 w:cs="Times New Roman" w:eastAsia="Times New Roman" w:hAnsi="Times New Roman"/>
          <w:sz w:val="20"/>
          <w:szCs w:val="20"/>
          <w:i w:val="1"/>
          <w:iCs w:val="1"/>
          <w:color w:val="auto"/>
        </w:rPr>
        <w:t>Leases.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2" w:right="1440" w:bottom="353"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disaggregation of revenue according to product line: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5"/>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Renewable power sales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33,648</w:t>
            </w:r>
          </w:p>
        </w:tc>
        <w:tc>
          <w:tcPr>
            <w:tcW w:w="10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33,881</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Third party construction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49,318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49,458</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Service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16,449</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Brown gas sales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19,587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38,356</w:t>
            </w: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Environmental credits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 . . . . . . . . . . . . . .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126,573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86,901</w:t>
            </w: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Parts sales . . . . . .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4,680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4,391</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Operating agreements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w:t>
            </w:r>
          </w:p>
        </w:tc>
      </w:tr>
      <w:tr>
        <w:trPr>
          <w:trHeight w:val="24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 . . . . . . . . . . . . . . . . . . . . . . . .Totalrevenuefromcontractswithcustomers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251,149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230,657</w:t>
            </w:r>
          </w:p>
        </w:tc>
      </w:tr>
      <w:tr>
        <w:trPr>
          <w:trHeight w:val="241"/>
        </w:trPr>
        <w:tc>
          <w:tcPr>
            <w:tcW w:w="6440" w:type="dxa"/>
            <w:vAlign w:val="bottom"/>
            <w:gridSpan w:val="2"/>
          </w:tcPr>
          <w:p>
            <w:pPr>
              <w:jc w:val="right"/>
              <w:ind w:right="80"/>
              <w:spacing w:after="0" w:line="241" w:lineRule="exact"/>
              <w:rPr>
                <w:sz w:val="20"/>
                <w:szCs w:val="20"/>
                <w:color w:val="auto"/>
              </w:rPr>
            </w:pPr>
            <w:r>
              <w:rPr>
                <w:rFonts w:ascii="Times New Roman" w:cs="Times New Roman" w:eastAsia="Times New Roman" w:hAnsi="Times New Roman"/>
                <w:sz w:val="20"/>
                <w:szCs w:val="20"/>
                <w:color w:val="auto"/>
                <w:w w:val="98"/>
              </w:rPr>
              <w:t>Lease revenue</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 . . . . . . . . . . . . . . . . . . . .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4,874</w:t>
            </w:r>
          </w:p>
        </w:tc>
      </w:tr>
      <w:tr>
        <w:trPr>
          <w:trHeight w:val="239"/>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Total revenue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235,531</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of $16,325 and $3,114 for the years ended December 31, 2023 and 2022, from customers domiciled outside of United States.</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w:t>
      </w:r>
    </w:p>
    <w:p>
      <w:pPr>
        <w:spacing w:after="0" w:line="17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and 2022, 19% and 21%, respectively of revenue was recognized over time, and the remainder was for products and services transferred at a point in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items consisting of items recorded as Other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8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Gain on deconsolidation of VIEs</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122,873</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654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w w:val="99"/>
              </w:rPr>
              <w:t>Gain on redemption of Note receivable . . . . . . . . . . . . . . . . . . . .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1,943</w:t>
            </w:r>
          </w:p>
        </w:tc>
      </w:tr>
      <w:tr>
        <w:trPr>
          <w:trHeight w:val="262"/>
        </w:trPr>
        <w:tc>
          <w:tcPr>
            <w:tcW w:w="6540" w:type="dxa"/>
            <w:vAlign w:val="bottom"/>
            <w:gridSpan w:val="2"/>
          </w:tcPr>
          <w:p>
            <w:pPr>
              <w:jc w:val="right"/>
              <w:ind w:right="180"/>
              <w:spacing w:after="0" w:line="262" w:lineRule="exact"/>
              <w:rPr>
                <w:sz w:val="20"/>
                <w:szCs w:val="20"/>
                <w:color w:val="auto"/>
              </w:rPr>
            </w:pPr>
            <w:r>
              <w:rPr>
                <w:rFonts w:ascii="Times New Roman" w:cs="Times New Roman" w:eastAsia="Times New Roman" w:hAnsi="Times New Roman"/>
                <w:sz w:val="20"/>
                <w:szCs w:val="20"/>
                <w:color w:val="auto"/>
                <w:w w:val="99"/>
              </w:rPr>
              <w:t>Gain on transfer of non-financial asset in exchange for services received</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124,472</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gain on deconsolidation of Emerald and Sapphire on May 30, 2023.</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RINs transferred as consideration for services received.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Assets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2" w:right="1440" w:bottom="35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Balances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provides information about receivables, contract assets, and contract liabilities from contracts with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8"/>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w:t>
            </w:r>
            <w:r>
              <w:rPr>
                <w:rFonts w:ascii="Times New Roman" w:cs="Times New Roman" w:eastAsia="Times New Roman" w:hAnsi="Times New Roman"/>
                <w:sz w:val="20"/>
                <w:szCs w:val="20"/>
                <w:b w:val="1"/>
                <w:bCs w:val="1"/>
                <w:color w:val="auto"/>
              </w:rPr>
              <w:t>Accountsreceivable,net</w:t>
            </w: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31,083</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Contract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and estimated earnings in excess of billings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7,027</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retainage, net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2,744</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total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9,771</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Billings in excess of costs and estimated earnings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1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8,013</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liabilities total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twelve months ended December 31, 2023, the Company recognized revenue of $8,013 that was included in “Contract liabilities” at December 31, 2022. During the twelve months ended December 31, 2022, the Company recognized revenue of $9,785 that was included in “Contract liabilities” at December 31, 2021.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Parts Inventory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$20 and $3 as of December 31, 2023 and 2022, respectively. Cost is determined using the average cost method.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Spares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w:t>
      </w:r>
    </w:p>
    <w:p>
      <w:pPr>
        <w:sectPr>
          <w:pgSz w:w="12240" w:h="15840" w:orient="portrait"/>
          <w:cols w:equalWidth="0" w:num="1">
            <w:col w:w="9360"/>
          </w:cols>
          <w:pgMar w:left="1440" w:top="942" w:right="1440" w:bottom="353"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2" w:right="1440" w:bottom="353"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Plant and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8"/>
              </w:rPr>
              <w:t>5 – 30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CNG/RNG fueling stations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10 – 20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40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Service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8"/>
              </w:rPr>
              <w:t>5 – 10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7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5 – 7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Land lease – finance lease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9"/>
              </w:rPr>
              <w:t>Lease term</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Vehicles – finance lease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7 years</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financing costs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Fees incurred for obtaining new loans or debt restructuring are deferred and amortized to interest expense over the life of the related debt using effective interest method. Unamortized financing costs are written off when the related debt is extinguished. Deferred financing costs (or debt issuance costs) are reported as a reduction of the carrying value of the long-term debt in the consolidated balance sheets.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credits held for sale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adjusted to its net realizable value at each balance sheet date. Due to the historically higher LCFS pricing, the fair value at contract inception may be significantly higher than the net realizable value of the environmental credits generated. For the years ended December 31, 2023 and 2022, the Company recorded $7,354 and $3,523 and as part of Cost of sales — Fuel Station Services.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Station Services Construction Backlog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Company’s remaining performance obligations (“backlog”) represent the unrecognized revenue value of its contract commitments. The Company’s backlog may significantly vary each reporting period based on the timing of major new contract commitments. At December 31, 2023, the Company had a backlog of $37,531 of which $29,450 is anticipated to be recognized as revenue in the next 12-months.</w:t>
      </w:r>
    </w:p>
    <w:p>
      <w:pPr>
        <w:sectPr>
          <w:pgSz w:w="12240" w:h="15840" w:orient="portrait"/>
          <w:cols w:equalWidth="0" w:num="1">
            <w:col w:w="9360"/>
          </w:cols>
          <w:pgMar w:left="1440" w:top="942" w:right="1440" w:bottom="353"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2" w:right="1440" w:bottom="353"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 Maintenance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Major maintenance is a component of maintenance expense and encompasses overhauls of internal combustion engines, gas compressors and electrical generators. Major maintenance is expensed as incurred. Major maintenance expense was $7,240 and $4,701 for the years ended December 31, 2023 and 2022 respectively, and is included in cost of sales — renewable power in the consolidated statements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2023. As a result of these tests, the Company determined that the fair value of its reporting unit exceeded its carrying value and, thus, the Company determined that goodwill was not impaired.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 and Liabilities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2023 and 2022.</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2" w:right="1440" w:bottom="353"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72"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18"/>
          <w:szCs w:val="18"/>
          <w:color w:val="auto"/>
        </w:rPr>
        <w:t xml:space="preserve">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2023. Additionally, there were two electricity forward purchase agreements during 2023 that were recorded under the normal purchases and normal sales exception, and therefore, fair value adjustments were not required for the year ended December 31, 2023. Please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14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2023 and 2022.</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Vulnerability Due to Certain Concentrations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7" w:lineRule="exact"/>
        <w:rPr>
          <w:sz w:val="20"/>
          <w:szCs w:val="20"/>
          <w:color w:val="auto"/>
        </w:rPr>
      </w:pPr>
    </w:p>
    <w:p>
      <w:pPr>
        <w:jc w:val="both"/>
        <w:ind w:firstLine="480"/>
        <w:spacing w:after="0" w:line="284" w:lineRule="auto"/>
        <w:rPr>
          <w:sz w:val="20"/>
          <w:szCs w:val="20"/>
          <w:color w:val="auto"/>
        </w:rPr>
      </w:pPr>
      <w:r>
        <w:rPr>
          <w:rFonts w:ascii="Times New Roman" w:cs="Times New Roman" w:eastAsia="Times New Roman" w:hAnsi="Times New Roman"/>
          <w:sz w:val="18"/>
          <w:szCs w:val="18"/>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14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2" w:right="1440" w:bottom="353"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Customers, Vendors and Concentration of Credit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2023 two customer accounted for 47% of revenue. For the year ended December 31, 2022, two customers accounted for 49% of revenue. At December 31, 2023, two customers accounted for 54% of accounts receivable. At December 31, 2022, two customers accounted for 45%, of accounts receivable.</w:t>
      </w:r>
    </w:p>
    <w:p>
      <w:pPr>
        <w:spacing w:after="0" w:line="17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one vendor accounted for 32% of the accounts payable. As of December 31, 2022, one vendor accounted for 19% of the accounts payable.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other entities</w:t>
      </w:r>
    </w:p>
    <w:p>
      <w:pPr>
        <w:spacing w:after="0" w:line="177"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4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2023 and 2022, the Company did not identify any impairments on its investments in other entities.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Investment in Other Entities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income, if any, is included in the Company’s consolidated statements of operations as income from equity method investments.</w:t>
      </w:r>
    </w:p>
    <w:p>
      <w:pPr>
        <w:spacing w:after="0" w:line="172"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We continue to evaluate operational developments and the impact of the anticipated significant expansion of the operations of our existing equity method investments. As discussed below, the impact of formation of two new joint ventures which increased our number of RNG projects accounted for under equity method was a significant factor in our consideration of how to reflect the income (loss) from equity method investments appropriately within our</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2" w:right="1440" w:bottom="353"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Investment in Other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consolidated statement of operations.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reclassified our portion of income (loss) from equity method investments to Operating income for all periods presented.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Formation Of A New Joint Venture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September 14, 2023, OPAL L2G, a wholly-owned indirect subsidiary of the Company, entered into the Agreement with SJI LRNG, a wholly-owned indirect subsidiary of SJI, establishing the terms and conditions of governance and operation of the SJI Joint Venture. The purpose of the SJI Joint Venture, which is owned 50/50 by OPAL L2G and SJI LRNG, is to develop, construct, own and operate Facilities to produce RNG using biogas generated by certain landfills. The Agreement governs the terms and conditions of capital contributions to be made by the SJI Joint Venture members to fund the development, construction and operations of the Facilities. The Agreement requires members of the SJI Joint Venture to contribute their respective share (50% each) of such capital requirements. The Agreement initially contemplates two RNG projects (RNG Atlantic and RNG Burlington) in New Jersey with each RNG project represented as a separate series of membership interests, also owned 50-50 by the members. Further, the Agreement provides for the SJI Joint Venture to enter into a MSA,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Upon the execution of the above transaction, the Company reassessed its equity interests in the SJI Joint Venture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December 31, 2023, the Company contributed $2,115 towards RNG Atlantic.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Deconsolidation of Emerald and Sapphire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May 30, 2023, the Company together with a third-party environmental solutions company formed Paragon. The Company owns 50% of the ownership interest in Paragon. Concurrent to the formation of Paragon, the Company contributed its 50% ownership interests in Emerald and Sapphire to Paragon.</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May 30, 2023, OPAL Fuels Intermediate Holdco 2 LLC (“OPAL Intermediate Holdco 2”), a wholly-owned indirect subsidiary of the Company, assigned to Paragon its rights and obligations under its existing senior secured credit facility, OPAL Term Loan II.</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Upon the execution of the above two transactions, the Company reassessed its equity interests in Emerald and Sapphire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and determined that the Company does not have a controlling financial interest in Paragon under ASC 810 because the governance of the Paragon is driven by a board jointly controlled by the joint venture partner and OPAL equally and there are substantive participating rights held by the joint venture partner in the significant activities of Paragon.</w:t>
      </w:r>
    </w:p>
    <w:p>
      <w:pPr>
        <w:spacing w:after="0" w:line="172" w:lineRule="exact"/>
        <w:rPr>
          <w:sz w:val="20"/>
          <w:szCs w:val="20"/>
          <w:color w:val="auto"/>
        </w:rPr>
      </w:pPr>
    </w:p>
    <w:p>
      <w:pPr>
        <w:jc w:val="both"/>
        <w:ind w:firstLine="480"/>
        <w:spacing w:after="0" w:line="287" w:lineRule="auto"/>
        <w:rPr>
          <w:sz w:val="20"/>
          <w:szCs w:val="20"/>
          <w:color w:val="auto"/>
        </w:rPr>
      </w:pPr>
      <w:r>
        <w:rPr>
          <w:rFonts w:ascii="Times New Roman" w:cs="Times New Roman" w:eastAsia="Times New Roman" w:hAnsi="Times New Roman"/>
          <w:sz w:val="18"/>
          <w:szCs w:val="18"/>
          <w:color w:val="auto"/>
        </w:rPr>
        <w:t xml:space="preserve">Based on the above analysis, the Company determined that it should account for its ownership interests in Paragon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the joint venture company.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Investment in Other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Prior to May 30, 2023, the Company consolidated these two entities in accordance with the variable interest entity model guidance under ASC 810, Consolidation. Additionally, the Company deconsolidated $2,765 capitalized interest on these two projects. Upon deconsolidation, the Company remeasured the fair value of the retained investment and recognized a gain of $122,873 in the consolidated statement of operations for the year ended December 31, 2023 and a corresponding increase in its basis in Investment in Other Entities on its consolidated balance sheet as of December 31, 2023. The Company determined that the gain on deconsolidation is attributable to the construction in progress and, therefore, will be amortized over the useful life of the asset which begins on the date the asset is placed in service. The fair value of the retained investment was measured based on a discounted cash flows model in which the future net cash flows from the two RNG facilities were discounted to their present value using a discount factor of 14%.</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movement of Investment in other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Noble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40" w:type="dxa"/>
            <w:vAlign w:val="bottom"/>
            <w:tcBorders>
              <w:bottom w:val="single" w:sz="8" w:color="auto"/>
            </w:tcBorders>
            <w:gridSpan w:val="3"/>
          </w:tcPr>
          <w:p>
            <w:pPr>
              <w:jc w:val="right"/>
              <w:ind w:right="20"/>
              <w:spacing w:after="0" w:line="201" w:lineRule="exact"/>
              <w:rPr>
                <w:sz w:val="20"/>
                <w:szCs w:val="20"/>
                <w:color w:val="auto"/>
              </w:rPr>
            </w:pPr>
            <w:r>
              <w:rPr>
                <w:rFonts w:ascii="Times New Roman" w:cs="Times New Roman" w:eastAsia="Times New Roman" w:hAnsi="Times New Roman"/>
                <w:sz w:val="18"/>
                <w:szCs w:val="18"/>
                <w:b w:val="1"/>
                <w:bCs w:val="1"/>
                <w:color w:val="auto"/>
              </w:rPr>
              <w:t>Pine Bend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Road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GREP</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SJI</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5"/>
              </w:rPr>
              <w:t>Paragon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Percentage of ownership . . . . . . . . . . . .</w:t>
            </w:r>
          </w:p>
        </w:tc>
        <w:tc>
          <w:tcPr>
            <w:tcW w:w="18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2021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investment representing</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capitalized interest . . . . . . . . . . . . . .</w:t>
            </w:r>
          </w:p>
        </w:tc>
        <w:tc>
          <w:tcPr>
            <w:tcW w:w="18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597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income . . . . . . . .</w:t>
            </w:r>
          </w:p>
        </w:tc>
        <w:tc>
          <w:tcPr>
            <w:tcW w:w="18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from equity method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investments . . . . . . . . . . . . . . . . . . . .</w:t>
            </w:r>
          </w:p>
        </w:tc>
        <w:tc>
          <w:tcPr>
            <w:tcW w:w="18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2,302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from return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gridSpan w:val="2"/>
          </w:tcPr>
          <w:p>
            <w:pPr>
              <w:ind w:left="200"/>
              <w:spacing w:after="0" w:line="225"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w:t>
            </w:r>
          </w:p>
        </w:tc>
        <w:tc>
          <w:tcPr>
            <w:tcW w:w="18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(2,100)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(2,100)</w:t>
            </w: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2022 . . . . . . .</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22,518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25,165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Deconsolidation of Emerald and</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Sapphire .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34,662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Deconsolidation of deferred financing</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costs and capitalized interest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1,383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from equity method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 . . . . . . . . . . . . . . . . . . . . .</w:t>
            </w:r>
          </w:p>
        </w:tc>
        <w:tc>
          <w:tcPr>
            <w:tcW w:w="18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5,642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(1,212)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Reclassification of adjustments into</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earnings . .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0" w:type="dxa"/>
            <w:vAlign w:val="bottom"/>
          </w:tcPr>
          <w:p>
            <w:pPr>
              <w:spacing w:after="0"/>
              <w:rPr>
                <w:sz w:val="1"/>
                <w:szCs w:val="1"/>
                <w:color w:val="auto"/>
              </w:rPr>
            </w:pPr>
          </w:p>
        </w:tc>
      </w:tr>
      <w:tr>
        <w:trPr>
          <w:trHeight w:val="26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Contribution by the Company . . . . . . . .</w:t>
            </w:r>
          </w:p>
        </w:tc>
        <w:tc>
          <w:tcPr>
            <w:tcW w:w="18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from return on</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(5,066)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(6,291)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(521)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(364)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(12,242)</w:t>
            </w:r>
          </w:p>
        </w:tc>
        <w:tc>
          <w:tcPr>
            <w:tcW w:w="0" w:type="dxa"/>
            <w:vAlign w:val="bottom"/>
          </w:tcPr>
          <w:p>
            <w:pPr>
              <w:spacing w:after="0"/>
              <w:rPr>
                <w:sz w:val="1"/>
                <w:szCs w:val="1"/>
                <w:color w:val="auto"/>
              </w:rPr>
            </w:pPr>
          </w:p>
        </w:tc>
      </w:tr>
      <w:tr>
        <w:trPr>
          <w:trHeight w:val="260"/>
        </w:trPr>
        <w:tc>
          <w:tcPr>
            <w:tcW w:w="3300" w:type="dxa"/>
            <w:vAlign w:val="bottom"/>
            <w:gridSpan w:val="2"/>
          </w:tcPr>
          <w:p>
            <w:pPr>
              <w:ind w:left="200"/>
              <w:spacing w:after="0" w:line="259"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w:t>
            </w:r>
          </w:p>
        </w:tc>
        <w:tc>
          <w:tcPr>
            <w:tcW w:w="180" w:type="dxa"/>
            <w:vAlign w:val="bottom"/>
          </w:tcPr>
          <w:p>
            <w:pPr>
              <w:spacing w:after="0"/>
              <w:rPr>
                <w:sz w:val="22"/>
                <w:szCs w:val="22"/>
                <w:color w:val="auto"/>
              </w:rPr>
            </w:pPr>
          </w:p>
        </w:tc>
        <w:tc>
          <w:tcPr>
            <w:tcW w:w="82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Distributions from return of</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200"/>
              <w:spacing w:after="0" w:line="259"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w:t>
            </w:r>
          </w:p>
        </w:tc>
        <w:tc>
          <w:tcPr>
            <w:tcW w:w="180" w:type="dxa"/>
            <w:vAlign w:val="bottom"/>
          </w:tcPr>
          <w:p>
            <w:pPr>
              <w:spacing w:after="0"/>
              <w:rPr>
                <w:sz w:val="22"/>
                <w:szCs w:val="22"/>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(459)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(1,159)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(3,221)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(4,839)</w:t>
            </w:r>
          </w:p>
        </w:tc>
        <w:tc>
          <w:tcPr>
            <w:tcW w:w="0" w:type="dxa"/>
            <w:vAlign w:val="bottom"/>
          </w:tcPr>
          <w:p>
            <w:pPr>
              <w:spacing w:after="0"/>
              <w:rPr>
                <w:sz w:val="1"/>
                <w:szCs w:val="1"/>
                <w:color w:val="auto"/>
              </w:rPr>
            </w:pPr>
          </w:p>
        </w:tc>
      </w:tr>
      <w:tr>
        <w:trPr>
          <w:trHeight w:val="220"/>
        </w:trPr>
        <w:tc>
          <w:tcPr>
            <w:tcW w:w="33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Accumulated other comprehensive</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gridSpan w:val="3"/>
          </w:tcPr>
          <w:p>
            <w:pPr>
              <w:ind w:left="200"/>
              <w:spacing w:after="0" w:line="223" w:lineRule="exact"/>
              <w:rPr>
                <w:sz w:val="20"/>
                <w:szCs w:val="20"/>
                <w:color w:val="auto"/>
              </w:rPr>
            </w:pPr>
            <w:r>
              <w:rPr>
                <w:rFonts w:ascii="Times New Roman" w:cs="Times New Roman" w:eastAsia="Times New Roman" w:hAnsi="Times New Roman"/>
                <w:sz w:val="20"/>
                <w:szCs w:val="20"/>
                <w:color w:val="auto"/>
              </w:rPr>
              <w:t>loss . . . . . . . . . . . . . . . . . . . . . . . . . .</w:t>
            </w: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deconsolidation of Emerald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300" w:type="dxa"/>
            <w:vAlign w:val="bottom"/>
            <w:gridSpan w:val="2"/>
          </w:tcPr>
          <w:p>
            <w:pPr>
              <w:ind w:left="200"/>
              <w:spacing w:after="0" w:line="259" w:lineRule="exact"/>
              <w:rPr>
                <w:sz w:val="20"/>
                <w:szCs w:val="20"/>
                <w:color w:val="auto"/>
              </w:rPr>
            </w:pPr>
            <w:r>
              <w:rPr>
                <w:rFonts w:ascii="Times New Roman" w:cs="Times New Roman" w:eastAsia="Times New Roman" w:hAnsi="Times New Roman"/>
                <w:sz w:val="20"/>
                <w:szCs w:val="20"/>
                <w:color w:val="auto"/>
              </w:rPr>
              <w:t>and Sapphire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w:t>
            </w: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122,873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122,873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Amortization of basis difference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w:t>
            </w:r>
          </w:p>
        </w:tc>
        <w:tc>
          <w:tcPr>
            <w:tcW w:w="180" w:type="dxa"/>
            <w:vAlign w:val="bottom"/>
          </w:tcPr>
          <w:p>
            <w:pPr>
              <w:spacing w:after="0"/>
              <w:rPr>
                <w:sz w:val="19"/>
                <w:szCs w:val="19"/>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(264)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(1,183)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(1,608)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(3,055)</w:t>
            </w:r>
          </w:p>
        </w:tc>
        <w:tc>
          <w:tcPr>
            <w:tcW w:w="0" w:type="dxa"/>
            <w:vAlign w:val="bottom"/>
          </w:tcPr>
          <w:p>
            <w:pPr>
              <w:spacing w:after="0"/>
              <w:rPr>
                <w:sz w:val="1"/>
                <w:szCs w:val="1"/>
                <w:color w:val="auto"/>
              </w:rPr>
            </w:pPr>
          </w:p>
        </w:tc>
      </w:tr>
      <w:tr>
        <w:trPr>
          <w:trHeight w:val="239"/>
        </w:trPr>
        <w:tc>
          <w:tcPr>
            <w:tcW w:w="8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21,062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22,174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160,281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80" w:hanging="48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 part of cash flows from operating activities for the year ended December 31, 2023.</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 part of cash flows from investing activities for the years ended December 31, 2023 and 2022.</w:t>
      </w:r>
    </w:p>
    <w:p>
      <w:pPr>
        <w:spacing w:after="0" w:line="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Recorded as part of Other income in our consolidated statement of operations for the year ended December 31, 2023.</w:t>
      </w:r>
    </w:p>
    <w:p>
      <w:pPr>
        <w:spacing w:after="0" w:line="21" w:lineRule="exact"/>
        <w:rPr>
          <w:sz w:val="20"/>
          <w:szCs w:val="20"/>
          <w:color w:val="auto"/>
        </w:rPr>
      </w:pPr>
    </w:p>
    <w:p>
      <w:pPr>
        <w:ind w:left="480" w:hanging="480"/>
        <w:spacing w:after="0" w:line="245"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Income from equity method investments in the consolidated statement of operations for the year ended December 31,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Investment in Other Entities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 receivable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On July 15, 2022, Biotown repaid the total amount outstanding under the Note receivable including paid-in-kind interest and prepayment penalty.</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$413 and $288 as a reduction to interest and financing expense, net in the consolidated statement of operations for the years ended December 31, 2023 and 2022, respectively.</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Note receivable — variable fee component of $2,302 and $1,942 is recorded as a long-term asset on its consolidated balance sheets as of December 31, 2023 and December 31, 2022, respectively.</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financial information of the unconsolidated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14,563</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171,633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109,414</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26,205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6,765</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34,021</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13,825</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Members’ equity .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136,521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103,388</w:t>
            </w:r>
          </w:p>
        </w:tc>
      </w:tr>
      <w:tr>
        <w:trPr>
          <w:trHeight w:val="20"/>
        </w:trPr>
        <w:tc>
          <w:tcPr>
            <w:tcW w:w="654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9"/>
        </w:trPr>
        <w:tc>
          <w:tcPr>
            <w:tcW w:w="78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income from equity method investments: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3"/>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8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58,013</w:t>
            </w:r>
          </w:p>
        </w:tc>
      </w:tr>
      <w:tr>
        <w:trPr>
          <w:trHeight w:val="223"/>
        </w:trPr>
        <w:tc>
          <w:tcPr>
            <w:tcW w:w="6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 . .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12,065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41,932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29,983</w:t>
            </w:r>
          </w:p>
        </w:tc>
      </w:tr>
      <w:tr>
        <w:trPr>
          <w:trHeight w:val="29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income from equity method investments</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hanging="480"/>
        <w:spacing w:after="0" w:line="24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year ended December 31, 2022 include a realized gain of $32,796 from commodity swap contracts on our equity method investment, GREP for the year ended December 31, 2022.</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equity method investments represents our portion of the net income from equity method investments.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941" w:right="1440" w:bottom="353"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Plant, and Equipment, Net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Property, plant, and equipment, net, consisted of the following as of December 31, 2023 and December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Plant and equipment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205,188</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201,655</w:t>
            </w:r>
          </w:p>
        </w:tc>
        <w:tc>
          <w:tcPr>
            <w:tcW w:w="60" w:type="dxa"/>
            <w:vAlign w:val="bottom"/>
          </w:tcPr>
          <w:p>
            <w:pPr>
              <w:spacing w:after="0"/>
              <w:rPr>
                <w:sz w:val="21"/>
                <w:szCs w:val="21"/>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CNG/RNG fueling stations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51,749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34,567</w:t>
            </w:r>
          </w:p>
        </w:tc>
        <w:tc>
          <w:tcPr>
            <w:tcW w:w="60" w:type="dxa"/>
            <w:vAlign w:val="bottom"/>
          </w:tcPr>
          <w:p>
            <w:pPr>
              <w:spacing w:after="0"/>
              <w:rPr>
                <w:sz w:val="22"/>
                <w:szCs w:val="22"/>
                <w:color w:val="auto"/>
              </w:rPr>
            </w:pP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Construction in progress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175,060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152,105</w:t>
            </w:r>
          </w:p>
        </w:tc>
        <w:tc>
          <w:tcPr>
            <w:tcW w:w="60" w:type="dxa"/>
            <w:vAlign w:val="bottom"/>
          </w:tcPr>
          <w:p>
            <w:pPr>
              <w:spacing w:after="0"/>
              <w:rPr>
                <w:sz w:val="24"/>
                <w:szCs w:val="24"/>
                <w:color w:val="auto"/>
              </w:rPr>
            </w:pP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99"/>
              </w:rPr>
              <w:t>Buildings . . . .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2,585</w:t>
            </w:r>
          </w:p>
        </w:tc>
        <w:tc>
          <w:tcPr>
            <w:tcW w:w="60" w:type="dxa"/>
            <w:vAlign w:val="bottom"/>
          </w:tcPr>
          <w:p>
            <w:pPr>
              <w:spacing w:after="0"/>
              <w:rPr>
                <w:sz w:val="19"/>
                <w:szCs w:val="19"/>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Land . .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Service equipment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Vehicles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Office furniture and equipment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Computer software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Land Lease – finance lease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Vehicles – finance leases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w:t>
            </w:r>
          </w:p>
        </w:tc>
        <w:tc>
          <w:tcPr>
            <w:tcW w:w="60" w:type="dxa"/>
            <w:vAlign w:val="bottom"/>
          </w:tcPr>
          <w:p>
            <w:pPr>
              <w:spacing w:after="0"/>
              <w:rPr>
                <w:sz w:val="22"/>
                <w:szCs w:val="22"/>
                <w:color w:val="auto"/>
              </w:rPr>
            </w:pPr>
          </w:p>
        </w:tc>
      </w:tr>
      <w:tr>
        <w:trPr>
          <w:trHeight w:val="26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60" w:type="dxa"/>
            <w:vAlign w:val="bottom"/>
          </w:tcPr>
          <w:p>
            <w:pPr>
              <w:spacing w:after="0"/>
              <w:rPr>
                <w:sz w:val="22"/>
                <w:szCs w:val="22"/>
                <w:color w:val="auto"/>
              </w:rPr>
            </w:pPr>
          </w:p>
        </w:tc>
      </w:tr>
      <w:tr>
        <w:trPr>
          <w:trHeight w:val="239"/>
        </w:trPr>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449,894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397,538</w:t>
            </w:r>
          </w:p>
        </w:tc>
        <w:tc>
          <w:tcPr>
            <w:tcW w:w="60" w:type="dxa"/>
            <w:vAlign w:val="bottom"/>
          </w:tcPr>
          <w:p>
            <w:pPr>
              <w:spacing w:after="0"/>
              <w:rPr>
                <w:sz w:val="20"/>
                <w:szCs w:val="20"/>
                <w:color w:val="auto"/>
              </w:rPr>
            </w:pPr>
          </w:p>
        </w:tc>
      </w:tr>
      <w:tr>
        <w:trPr>
          <w:trHeight w:val="24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 . . . . . . . . . . . . . . . . . . . . . . . . . . . . . . . . . . . .Less:accumulateddepreciation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(110,401)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(100,215)</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339,493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297,323</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$5,475 of interest capitalized from our general borrowings for the year ended December 31, 2023 and $3,678 for the year ended December 31, 2022.</w:t>
      </w:r>
    </w:p>
    <w:p>
      <w:pPr>
        <w:spacing w:after="0" w:line="17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construction in progress primarily consists of capital expenditure incurred for the construction of RNG generation facilities including, but not limited to Polk County, Prince William, Central Valley and RNG dispensing facilities. The majority of these facilities, for which costs are in construction in progress as of December 31, 2023, are expected to be operational in early 2024.</w:t>
      </w:r>
    </w:p>
    <w:p>
      <w:pPr>
        <w:spacing w:after="0" w:line="169"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Depreciation expense on property, plant, and equipment for the years ended December 31, 2023 and December 31, 2022 was $13,481 and $11,892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Intangible Assets, Net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Intangible assets, net, consisted of the following at December 31, 2023 and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80" w:type="dxa"/>
            <w:vAlign w:val="bottom"/>
          </w:tcPr>
          <w:p>
            <w:pPr>
              <w:spacing w:after="0"/>
              <w:rPr>
                <w:sz w:val="17"/>
                <w:szCs w:val="17"/>
                <w:color w:val="auto"/>
              </w:rPr>
            </w:pPr>
          </w:p>
        </w:tc>
        <w:tc>
          <w:tcPr>
            <w:tcW w:w="114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17"/>
                <w:szCs w:val="17"/>
                <w:color w:val="auto"/>
              </w:rPr>
            </w:pPr>
          </w:p>
        </w:tc>
        <w:tc>
          <w:tcPr>
            <w:tcW w:w="114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4"/>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Power purchase agreements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8,999</w:t>
            </w:r>
          </w:p>
        </w:tc>
        <w:tc>
          <w:tcPr>
            <w:tcW w:w="480" w:type="dxa"/>
            <w:vAlign w:val="bottom"/>
            <w:gridSpan w:val="2"/>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(7,926)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Transmission/distribution interconnection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60"/>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Intellectual property . . . . . . . . . . . . . . . . .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Total intangible assets . . . . . . . . . . . . . . . . . . . . .</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2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10,642</w:t>
            </w:r>
          </w:p>
        </w:tc>
        <w:tc>
          <w:tcPr>
            <w:tcW w:w="18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(9,038)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5. Intangible Assets, Net </w:t>
      </w:r>
      <w:r>
        <w:rPr>
          <w:rFonts w:ascii="Times New Roman" w:cs="Times New Roman" w:eastAsia="Times New Roman" w:hAnsi="Times New Roman"/>
          <w:sz w:val="20"/>
          <w:szCs w:val="20"/>
          <w:color w:val="auto"/>
        </w:rPr>
        <w:t>(cont.)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484"/>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96"/>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10"/>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3"/>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r>
      <w:tr>
        <w:trPr>
          <w:trHeight w:val="247"/>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Power purchase agreements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(7,488)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60"/>
        </w:trPr>
        <w:tc>
          <w:tcPr>
            <w:tcW w:w="3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Transmission/distribution interconnection . . .</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6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CNG sales contract . . . . . . . . . . . . . . . . . . . . .</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1"/>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Intellectual property . . . . . . . . . . . . . . . . . . . .</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0"/>
        </w:trPr>
        <w:tc>
          <w:tcPr>
            <w:tcW w:w="3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intangible assets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(9,282)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Amortization expense for the twelve months ended December 31, 2023 and 2022 was $563 and $694, respectively.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2023, estimated future amortization expense for intangible assets is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Fiscal year:</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267</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267</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239</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238</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4445</wp:posOffset>
                </wp:positionV>
                <wp:extent cx="8001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5pt" to="462pt,0.35pt" o:allowincell="f" strokecolor="#000000" strokeweight="0.5pt"/>
            </w:pict>
          </mc:Fallback>
        </mc:AlternateContent>
      </w:r>
    </w:p>
    <w:p>
      <w:pPr>
        <w:spacing w:after="0" w:line="10" w:lineRule="exact"/>
        <w:rPr>
          <w:sz w:val="20"/>
          <w:szCs w:val="20"/>
          <w:color w:val="auto"/>
        </w:rPr>
      </w:pPr>
    </w:p>
    <w:p>
      <w:pPr>
        <w:ind w:left="7980"/>
        <w:spacing w:after="0"/>
        <w:tabs>
          <w:tab w:leader="none" w:pos="87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1,604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4445</wp:posOffset>
                </wp:positionV>
                <wp:extent cx="8001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5pt" to="462pt,0.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17145</wp:posOffset>
                </wp:positionV>
                <wp:extent cx="8001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35pt" to="462pt,1.35pt" o:allowincell="f" strokecolor="#000000" strokeweight="0.499pt"/>
            </w:pict>
          </mc:Fallback>
        </mc:AlternateConten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Goodwill</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changes in goodwill, if any, by reporting segment from the beginning of the period to the end of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RNG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5"/>
              <w:spacing w:after="0" w:line="201" w:lineRule="exact"/>
              <w:rPr>
                <w:sz w:val="20"/>
                <w:szCs w:val="20"/>
                <w:color w:val="auto"/>
              </w:rPr>
            </w:pPr>
            <w:r>
              <w:rPr>
                <w:rFonts w:ascii="Times New Roman" w:cs="Times New Roman" w:eastAsia="Times New Roman" w:hAnsi="Times New Roman"/>
                <w:sz w:val="18"/>
                <w:szCs w:val="18"/>
                <w:b w:val="1"/>
                <w:bCs w:val="1"/>
                <w:color w:val="auto"/>
              </w:rPr>
              <w:t>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5"/>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at December 31, 2023 </w:t>
            </w:r>
            <w:r>
              <w:rPr>
                <w:rFonts w:ascii="Times New Roman" w:cs="Times New Roman" w:eastAsia="Times New Roman" w:hAnsi="Times New Roman"/>
                <w:sz w:val="20"/>
                <w:szCs w:val="20"/>
                <w:color w:val="auto"/>
              </w:rPr>
              <w:t>. . . . . . . . . . . . . . . . . . . . . . . .</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41"/>
        </w:trPr>
        <w:tc>
          <w:tcPr>
            <w:tcW w:w="5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at December 31, 2022 </w:t>
            </w:r>
            <w:r>
              <w:rPr>
                <w:rFonts w:ascii="Times New Roman" w:cs="Times New Roman" w:eastAsia="Times New Roman" w:hAnsi="Times New Roman"/>
                <w:sz w:val="20"/>
                <w:szCs w:val="20"/>
                <w:color w:val="auto"/>
              </w:rPr>
              <w:t>.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Borrowings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borrowings under the various debt facilities as of December 31, 2023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Secured Credit Facility, term loan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15,250</w:t>
            </w: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(15,250)</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.SeniorSecuredCreditFacility,termloan...........</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Secured Credit Facility, working capital facility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0"/>
                <w:szCs w:val="20"/>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Senior Secured Credit Facility, working capital facility . . . . . . . . . . . . . . . . . .</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OPAL Term Loan . . . . . . .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96,090</w:t>
            </w:r>
          </w:p>
        </w:tc>
        <w:tc>
          <w:tcPr>
            <w:tcW w:w="60" w:type="dxa"/>
            <w:vAlign w:val="bottom"/>
          </w:tcPr>
          <w:p>
            <w:pPr>
              <w:spacing w:after="0"/>
              <w:rPr>
                <w:sz w:val="20"/>
                <w:szCs w:val="20"/>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(10,086)</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(1,758)</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(27,732)</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OPAL Term Loan, net of debt issuance costs . . . . . . . . . . . . . . . . . . . . . . . . . .</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176,532</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66,600</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941" w:right="1440" w:bottom="353"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Sunoma Loan . . . . . . . . . . . . . . . . . . . . . . . . . . . . . . . . . . . . . . . . . . . . . . . . . . .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23,000</w:t>
            </w:r>
          </w:p>
        </w:tc>
        <w:tc>
          <w:tcPr>
            <w:tcW w:w="60" w:type="dxa"/>
            <w:vAlign w:val="bottom"/>
          </w:tcPr>
          <w:p>
            <w:pPr>
              <w:spacing w:after="0"/>
              <w:rPr>
                <w:sz w:val="21"/>
                <w:szCs w:val="2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(908)</w:t>
            </w: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(1,608)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(380)</w:t>
            </w:r>
          </w:p>
        </w:tc>
      </w:tr>
      <w:tr>
        <w:trPr>
          <w:trHeight w:val="241"/>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Sunoma Loan, net of debt issuance costs . . . . . . . . . .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21,712</w:t>
            </w:r>
          </w:p>
        </w:tc>
        <w:tc>
          <w:tcPr>
            <w:tcW w:w="60" w:type="dxa"/>
            <w:vAlign w:val="bottom"/>
          </w:tcPr>
          <w:p>
            <w:pPr>
              <w:spacing w:after="0"/>
              <w:rPr>
                <w:sz w:val="20"/>
                <w:szCs w:val="20"/>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60" w:type="dxa"/>
            <w:vAlign w:val="bottom"/>
          </w:tcPr>
          <w:p>
            <w:pPr>
              <w:spacing w:after="0"/>
              <w:rPr>
                <w:sz w:val="20"/>
                <w:szCs w:val="20"/>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(28,528)</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Municipality Loan . . . . . . . .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0"/>
                <w:szCs w:val="20"/>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Non-current borrowings total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196,542</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88,312</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principal maturities of debt are expected as follows, excluding any undrawn debt facilities as of the date of the consolidated balance sheet: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w w:val="96"/>
              </w:rPr>
              <w:t>OPAL Term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Sunoma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Fiscal year: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1,608</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24,137</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24,277</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24,430</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119,436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4,232</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123,668</w:t>
            </w: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10,951</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10,951</w:t>
            </w:r>
          </w:p>
        </w:tc>
      </w:tr>
      <w:tr>
        <w:trPr>
          <w:trHeight w:val="240"/>
        </w:trPr>
        <w:tc>
          <w:tcPr>
            <w:tcW w:w="50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186,618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209,071</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Secured Credit Facility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On March 20, 2023, the Company repaid in full the remaining outstanding loan under this facility.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 The Company paid $14,300 to the lenders in connection with the transaction.</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loans under the Senior Secured Credit Facility had an interest rate of a fixed margin plus the secured overnight financing rate (“SOFR”) for the relevant interest period. The fixed margin is 2.75% for the first four years, then 3.0% until October 8, 2021, and 3.25% thereafter.</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941" w:right="1440" w:bottom="353"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Patronage dividends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is eligible to receive annual patronage dividends from one of its lenders, Cobank ACB under a profit sharing program. For the years ended December 31, 2023 and 2022, the Company received cash dividends of $125 and $126, respectively, which were recorded as credits to interest expense in the consolidated statements of operations. Additionally, the Company recorded $489 and as a long-term asset in the consolidated balance sheets at December 31, 2023 and 2022, which represents the Company’s equity interest in Cobank SCB. These interests will be redeemed for cash beginning in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OPAL Term Loan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October 22, 2021, OPAL Fuels Intermediate Holding Company LLC (“OPAL Intermediate Holdco”), an indirect wholly-owned subsidiary of the Company, entered into a $125,000 term loan agreement (the “OPAL Term Loan”) with a syndicate of lenders. As of September 1, 2023, the total outstanding balance on the debt facility was $87,602.</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Credit Agreement provides for up to $450.0 million of initial and delayed draw term loans (with such delayed draw term loans available for up to 18 months after closing) and $50.0 million of revolving loans. On September 1, 2023, the Company drew down $144,118 and repaid (1) Intermediate HoldCo’s existing secured indebtedness in the amount of approximately $87,602 plus accrued interest, (2) certain accrued but unpaid returns in the amount of $15,669 of the paid-in-kind preferred dividend on our Redeemable preferred non-controlling interests, and (3) approximately $30,107 of indebtedness on Convertible Note Payable. Additionally, the Company utilized $9,000 of availability under the revolver loan to provide for the issuance of letters of credit to support the operations of the Borrower and Guarantors. The proceeds from the facility are expected to be used to fund other general corporate purposes of the Borrower and Guarantors. The Company paid transaction fees and expenses in the amount of approximately $9,976. The Company accounted for the above debt restructuring as debt modification for the existing lenders by performing an analysis on a lender by lender basis under </w:t>
      </w:r>
      <w:r>
        <w:rPr>
          <w:rFonts w:ascii="Times New Roman" w:cs="Times New Roman" w:eastAsia="Times New Roman" w:hAnsi="Times New Roman"/>
          <w:sz w:val="19"/>
          <w:szCs w:val="19"/>
          <w:i w:val="1"/>
          <w:iCs w:val="1"/>
          <w:color w:val="auto"/>
        </w:rPr>
        <w:t>ASC 470-50 Debt modifications and exchanges.</w:t>
      </w:r>
      <w:r>
        <w:rPr>
          <w:rFonts w:ascii="Times New Roman" w:cs="Times New Roman" w:eastAsia="Times New Roman" w:hAnsi="Times New Roman"/>
          <w:sz w:val="19"/>
          <w:szCs w:val="19"/>
          <w:color w:val="auto"/>
        </w:rPr>
        <w:t xml:space="preserve"> As a result, the Company recorded debt extinguishment of $295 representing the fees allocated to the lenders who were repaid in full as part of Loss on debt extinguishment in the consolidated statement of operations for the year ended December 31, 2023. The remaining costs have been presented as a reduction of the outstanding loan.</w:t>
      </w:r>
    </w:p>
    <w:p>
      <w:pPr>
        <w:spacing w:after="0" w:line="15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drew down an additional $42,500 under the term loan during the year ended December 31, 2023 to fund capital expenditure on construction of our RNG projects.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outstanding loans under the Credit Agreement initially bear interest at an annual rate of Term SOFR plus 3.5%, increasing by 0.25% per annum during the term. Accrued interest on amounts outstanding under the delayed draw term loan facility must be paid on the last day of each applicable interest period. Commencing after the 18-month delayed draw term loan availability period expires,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spacing w:after="0" w:line="17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Borrower’s and the Guarantors’ obligations under the Credit Agreement are secured by substantially all of their personal property assets (other than certain excluded assets identified in the Credit Agreement) and by a non-recourse pledge of the membership interests of the Borrower.</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requires the Borrower to maintain a consolidated debt service coverage ratio of not less than 1.2:1.0, as tested on a trailing four quarters basis as of the last day of each fiscal quarter during the term commencing with the quarter ending December 31, 2023, and to maintain a consolidated debt to cash flow ratio of not greater than 4.5 to 1.0 during the delayed draw availability period, and not greater than 4.0 to 1.0 thereafter.</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December 31, 2023, the Company is in compliance with the financial covenants under the OPAL Term Loan. Additionally, the OPAL Term Loan contains restrictions on distributions and additional indebtedness.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and 2022, the outstanding loan balance (current and non-current) excluding deferred financing costs was $186,618 and $96,090,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Sunoma Loan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August 27, 2020, Sunoma, an indirect wholly-owned subsidiary of the Company entered into a debt agreement (the “Sunoma Loan Agreement”) with Live Oak Banking Company for an aggregate principal amount of $20,000. Sunoma paid $635 in financing fees. The loan bears interest at the greater of prime rate plus 3.50%, or 7.75%. The amounts outstanding under the Sunoma Loan are secured by Sunoma’s assets.</w:t>
      </w:r>
    </w:p>
    <w:p>
      <w:pPr>
        <w:spacing w:after="0" w:line="169"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On July 19, 2022, Sunoma completed the conversion of the construction loan into a permanent loan and increased the commitment from $20,000 to $23,000.</w:t>
      </w:r>
    </w:p>
    <w:p>
      <w:pPr>
        <w:spacing w:after="0" w:line="15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loans under the Sunoma Loan Agreement bear interest at a rate of 7.68% and have a maturity date of July 19, 2033. The Company is required to pay a quarterly amortization of principal of $380 beginning in October 2023.</w:t>
      </w:r>
    </w:p>
    <w:p>
      <w:pPr>
        <w:spacing w:after="0" w:line="174"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The significant assets of Sunoma are parenthesized in the consolidated balance sheets as December 31, 2023 and 2022. See Note 12. </w:t>
      </w:r>
      <w:r>
        <w:rPr>
          <w:rFonts w:ascii="Times New Roman" w:cs="Times New Roman" w:eastAsia="Times New Roman" w:hAnsi="Times New Roman"/>
          <w:sz w:val="20"/>
          <w:szCs w:val="20"/>
          <w:i w:val="1"/>
          <w:iCs w:val="1"/>
          <w:color w:val="auto"/>
        </w:rPr>
        <w:t>Variable Interest Entities</w:t>
      </w:r>
      <w:r>
        <w:rPr>
          <w:rFonts w:ascii="Times New Roman" w:cs="Times New Roman" w:eastAsia="Times New Roman" w:hAnsi="Times New Roman"/>
          <w:sz w:val="20"/>
          <w:szCs w:val="20"/>
          <w:color w:val="auto"/>
        </w:rPr>
        <w:t xml:space="preserve">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Payable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May 1, 2021, the Company acquired the remaining ownership interests in Beacon and signed an unsecured, contingently convertible note (the “Convertible Note Payable”) with ARCC Beacon LLC (“Ares”) for a total aggregate amount for $50,000 at an interest rate of 8.00% per annum. The Company had the option to pay interest on the Convertible Note in cash on a quarterly basis or payment-in-kind. The Company chose the option of payment-in-kind interest.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 Company issued 3,059,533 shares of Class A common stock and redeemed outstanding debt of $30,595.</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360"/>
          </w:cols>
          <w:pgMar w:left="1440" w:top="941" w:right="1440" w:bottom="353"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Company elected to account for the Convertible Note Payable using the fair value option in accordance with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xml:space="preserve"> The fair value was subsequently remeasured on each reporting date and the change in fair value recorded as interest expense in the consolidated statement of operations for each reporting period. The Company repaid the outstanding balance in full on September 1, 2023.</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recorded $1,579 and $413 as change in fair value of Convertible Note for the years ended December 31, 2023 and 2022, respectively as interest and financing expense,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Municipality Loan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FM3, an indirect wholly-owned subsidiary of the Company, entered into a loan agreement for the construction of an interconnection that was initially funded by the municipality. The Company made payments to a municipality in the amount of $1,600 plus interest at a fixed annual rate of 3.00% through April 1, 2023. The loan was fully repaid in April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OPAL Term Loan II</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August 4, 2022, OPAL Intermediate Holdco 2 entered into a new Senior Secured Credit Facility (the “OPAL Term Loan II”) with a syndicate of lenders. The indebtedness is guaranteed by certain of the direct and indirect subsidiaries of OPAL Intermediate Holdco 2. The OPAL Term Loan II provides for an approximately two-year delayed term loan facility (the “DDTL Facility”) of up to a maximum aggregate principal amount of $100,000 and debt service reserve facility (the “DSR Facility”) of up to a maximum aggregate principal amount of $5,000. The proceeds of the DDTL Facility were to be used to fund a portion of the construction of the RNG projects owned, either in full or through a joint venture with a third party, by the subsidiary guarantors. The proceeds of the DSR Facility are to be used solely to satisfy the balance to be maintained in the debt service reserve account. In connection with the transaction, the Company paid $2,200 in financing fees to the lenders and incurred $1,376 in third party fees.</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May 30, 2023, OPAL Intermediate Holdco 2 assigned to Paragon its rights and obligations under OPAL Term Loan II. The joint venture partner of Paragon reimbursed the Company $826 as its portion of the transaction costs incurred.</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expensed the remaining deferred financing costs of $1,895 as loss on debt extinguishment in its consolidated statement of operations for the year ended December 31, 2023. There were no amounts outstanding under the OPAL Term Loan II as of May 30,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2023</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2023, the weighted average effective interest rate including amortization of debt issuance costs on the Senior Secured Credit Facility was 5.1% including a margin plus SOFR. The debt was repaid in full in March 2023.</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2023, the weighted average effective interest rate including amortization of debt issuance costs on OPAL Term Loan was 7.4%.</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2023, the interest rate on the Sunoma Loan was 9.00%.</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2023, the payment-in-kind interest rate on Convertible Note Payable was 8.00%. The loan was fully repaid in September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360"/>
          </w:cols>
          <w:pgMar w:left="1440" w:top="941" w:right="1440" w:bottom="353"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2022, the weighted average effective interest rate on the Senior Secured Credit Facility including amortization of debt issuance costs on Senior Secured Credit Facility was 6.9% including a margin plus LIBOR.</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year ended December 31, 2022, the weighted average effective interest rate on the OPAL Term Loan including amortization of debt issuance costs was 6.1%.</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year ended December 31, 2022, the interest rate on the Sunoma loan was 8.3%, respectively.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For the year ended December 31, 2022, the payment-in-kind interest rate on Convertible Note Payable was 8.0%.</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2022, the weighted average interest rate on the Municipality Loan was 3.6%.</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Company’s total interest and financing expense, net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8"/>
                <w:szCs w:val="18"/>
                <w:color w:val="auto"/>
              </w:rPr>
            </w:pPr>
          </w:p>
        </w:tc>
      </w:tr>
      <w:tr>
        <w:trPr>
          <w:trHeight w:val="245"/>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Senior Secured Credit Facility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3,779</w:t>
            </w:r>
          </w:p>
        </w:tc>
        <w:tc>
          <w:tcPr>
            <w:tcW w:w="60" w:type="dxa"/>
            <w:vAlign w:val="bottom"/>
          </w:tcPr>
          <w:p>
            <w:pPr>
              <w:spacing w:after="0"/>
              <w:rPr>
                <w:sz w:val="21"/>
                <w:szCs w:val="21"/>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Convertible Note Payable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Sunoma Loan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w:t>
            </w:r>
          </w:p>
        </w:tc>
        <w:tc>
          <w:tcPr>
            <w:tcW w:w="60" w:type="dxa"/>
            <w:vAlign w:val="bottom"/>
          </w:tcPr>
          <w:p>
            <w:pPr>
              <w:spacing w:after="0"/>
              <w:rPr>
                <w:sz w:val="22"/>
                <w:szCs w:val="22"/>
                <w:color w:val="auto"/>
              </w:rPr>
            </w:pP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OPAL Term Loan</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60" w:type="dxa"/>
            <w:vAlign w:val="bottom"/>
          </w:tcPr>
          <w:p>
            <w:pPr>
              <w:spacing w:after="0"/>
              <w:rPr>
                <w:sz w:val="24"/>
                <w:szCs w:val="24"/>
                <w:color w:val="auto"/>
              </w:rPr>
            </w:pP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Commitment fees and other finance fees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19"/>
                <w:szCs w:val="19"/>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Interest expense on finance leases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Amortization of deferred financing cost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60" w:type="dxa"/>
            <w:vAlign w:val="bottom"/>
          </w:tcPr>
          <w:p>
            <w:pPr>
              <w:spacing w:after="0"/>
              <w:rPr>
                <w:sz w:val="22"/>
                <w:szCs w:val="22"/>
                <w:color w:val="auto"/>
              </w:rPr>
            </w:pPr>
          </w:p>
        </w:tc>
      </w:tr>
      <w:tr>
        <w:trPr>
          <w:trHeight w:val="26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(2,934)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(3,278)</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Total interest and financing expense, net . . . . . . . . . . . . . . . . . . . . . . . . . . . .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$5,475 and $3,678 of interest capitalized and recorded as part of Property, Plant and Equipment for the years ended December 31, 2023 and 2022, respectively. Includes $953 of lenders fees expensed in relation to debt modification.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Leases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are the type of contracts that fall under ASC 842: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Provider agreements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360"/>
          </w:cols>
          <w:pgMar w:left="1440" w:top="941" w:right="1440" w:bottom="353"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Power Purchase agreements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w:t>
      </w:r>
    </w:p>
    <w:p>
      <w:pPr>
        <w:spacing w:after="0" w:line="15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Included in Fuel Station Services revenues are $3,943 and $3,510 related to the lease portion of the FPAs for the years ended December 31, 2023 and 2022, respectively.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Included in Renewable Power revenues are $1,016 and $1,364 related to the lease element of the PPAs for the years ended December 31,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Ground/Site leases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As of the Adoption Date, the lease at Beacon facility is for 20 years at a monthly rent of $11.</w:t>
      </w:r>
    </w:p>
    <w:p>
      <w:pPr>
        <w:spacing w:after="0" w:line="176" w:lineRule="exact"/>
        <w:rPr>
          <w:sz w:val="20"/>
          <w:szCs w:val="20"/>
          <w:color w:val="auto"/>
        </w:rPr>
      </w:pPr>
    </w:p>
    <w:p>
      <w:pPr>
        <w:ind w:left="960" w:hanging="480"/>
        <w:spacing w:after="0" w:line="243" w:lineRule="auto"/>
        <w:rPr>
          <w:sz w:val="20"/>
          <w:szCs w:val="20"/>
          <w:color w:val="auto"/>
        </w:rPr>
      </w:pPr>
      <w:r>
        <w:rPr>
          <w:rFonts w:ascii="Times New Roman" w:cs="Times New Roman" w:eastAsia="Times New Roman" w:hAnsi="Times New Roman"/>
          <w:sz w:val="20"/>
          <w:szCs w:val="20"/>
          <w:color w:val="auto"/>
        </w:rPr>
        <w:t>— The lease term for MD and VS is for a period of 20 years from their commercial operation date at a quarterly rent of $125.</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July 5, 2023, the Company through one of its indirectly owned subsidiary entered into a site lease on a dairy farm to build a facility to collect, process and deliver feedstock to an RNG facility. The lease term is 20 years from its commercial operations date at a quarterly rent of $21,250 with a 5% escalator on the calendar quarter in which the fifth anniversary occurs and every fifth anniversary thereafter. The Company recorded $782 as right-of-use operating lease and corresponding lease liability on its consolidated balance sheet as of December 31, 2023 using an incremental borrowing rate of 8.44%.</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Additionally, the Company revised the commercial operation date for its leases for MD and VS by 10 months which changed the lease term for both the leases. Beginning in the fourth quarter of 2023 the Company treated this as a lease modification and increased its right-of-use asset and corresponding lease liability by $175 on its consolidated balance sheet as of December 31, 2023, using the incremental borrowing rate of 8.35%.</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August 25, 2022, the Company entered into a site lease to own and build fueling station. The Lease provided that OPAL shall pay a rent of $1 per year and $1 per GGE of CNG produced and a royalty of $0.30 per GGE for the amount of such excess volumes sold to third party contracted customers and general public. The term of the Lease was for ten years with an option to renew up to two additional five year periods. Such renewals are to commence automatically unless either Party elects not to renew this Agreement by giving the other party written notice at least 90 days prior to the end of the term. During 2022, the Company analyzed this contact and determined that the payments were considered variable consideration as the actual volumes were unknown at the lease inception and therefore expensed as incurred.</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December 27, 2023, OPAL entered into an Amended and Restated Lease Agreement where by the only payment terms have been amended to include minimum volume requirement there by requiring OPAL to pay lease payments of $1 per GGE of CNG pumped with annual minimum volumes for the lease term.</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360"/>
          </w:cols>
          <w:pgMar w:left="1440" w:top="941" w:right="1440" w:bottom="353"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 of $6,469 on its consolidated balance sheet as of December 31, 2023, using the incremental borrowing rate of 6.5%.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Office lease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currently shares office space with Fortistar and reimburses Fortistar on a monthly basis at a predetermined rate. The Company determined that this is not a lease under ASC 842 as there is no exclusive right-of-use and the Company does not have the right to control the use of the office space.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determined that the three site leases and the one office lease are operating leases.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an underlying asset for the lease term and the related lease liability represents an obligation to make lease payments pursuant to the contractual terms of the lease agreement.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Based on the above guidance, the lease expense for the site leases is included as part of Cost of sales — RNG Fuel in its consolidated statement of operations for the years ended December 31, 2023 and 2022. The lease expense for the office lease is recorded as part Selling, general and administrative expenses in its consolidated statement of operations for the years ended December 31, 2023 and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Vehicle leases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leases approximately 79 vehicles in our FM3 and OPAL Fuel Station Services subsidiaries. The leases contain repurchase options at the end of the lease term and the sum total of the lease payments represents substantially the fair value of the asset.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 Disclosures Under ASC 842</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360"/>
          </w:cols>
          <w:pgMar w:left="1440" w:top="941" w:right="1440" w:bottom="353"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Right-of-use assets and Lease liabilities as of December 31, 2023 and December 31, 2022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9"/>
        </w:trPr>
        <w:tc>
          <w:tcPr>
            <w:tcW w:w="296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7"/>
                <w:szCs w:val="17"/>
                <w:color w:val="auto"/>
              </w:rPr>
            </w:pPr>
          </w:p>
        </w:tc>
        <w:tc>
          <w:tcPr>
            <w:tcW w:w="3460" w:type="dxa"/>
            <w:vAlign w:val="bottom"/>
            <w:tcBorders>
              <w:bottom w:val="single" w:sz="8" w:color="auto"/>
            </w:tcBorders>
          </w:tcPr>
          <w:p>
            <w:pPr>
              <w:ind w:left="740"/>
              <w:spacing w:after="0" w:line="200" w:lineRule="exact"/>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ind w:right="290"/>
              <w:spacing w:after="0" w:line="200"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ind w:right="290"/>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1"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37" w:lineRule="auto"/>
        <w:rPr>
          <w:sz w:val="20"/>
          <w:szCs w:val="20"/>
          <w:color w:val="auto"/>
        </w:rPr>
      </w:pPr>
      <w:r>
        <w:rPr>
          <w:rFonts w:ascii="Times New Roman" w:cs="Times New Roman" w:eastAsia="Times New Roman" w:hAnsi="Times New Roman"/>
          <w:sz w:val="20"/>
          <w:szCs w:val="20"/>
          <w:color w:val="auto"/>
        </w:rPr>
        <w:t>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leases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w:t>
      </w:r>
    </w:p>
    <w:p>
      <w:pPr>
        <w:spacing w:after="0" w:line="210" w:lineRule="auto"/>
        <w:rPr>
          <w:sz w:val="20"/>
          <w:szCs w:val="20"/>
          <w:color w:val="auto"/>
        </w:rPr>
      </w:pPr>
      <w:r>
        <w:rPr>
          <w:rFonts w:ascii="Times New Roman" w:cs="Times New Roman" w:eastAsia="Times New Roman" w:hAnsi="Times New Roman"/>
          <w:sz w:val="20"/>
          <w:szCs w:val="20"/>
          <w:color w:val="auto"/>
        </w:rPr>
        <w:t>Site leases . . . . . . . . . . . . . . . . . . . .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Office lease . . . . . . . . . . . . . . . . . . . .</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Finance leases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w:t>
      </w:r>
    </w:p>
    <w:p>
      <w:pPr>
        <w:spacing w:after="0" w:line="210" w:lineRule="auto"/>
        <w:rPr>
          <w:sz w:val="20"/>
          <w:szCs w:val="20"/>
          <w:color w:val="auto"/>
        </w:rPr>
      </w:pPr>
      <w:r>
        <w:rPr>
          <w:rFonts w:ascii="Times New Roman" w:cs="Times New Roman" w:eastAsia="Times New Roman" w:hAnsi="Times New Roman"/>
          <w:sz w:val="20"/>
          <w:szCs w:val="20"/>
          <w:color w:val="auto"/>
        </w:rPr>
        <w:t>Vehicle leases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Site leases . . . . . . . . . . . . . . . . . . . . .</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Total right-of-use assets . . . . . . .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w:t>
      </w:r>
    </w:p>
    <w:p>
      <w:pPr>
        <w:spacing w:after="0" w:line="221" w:lineRule="auto"/>
        <w:rPr>
          <w:sz w:val="20"/>
          <w:szCs w:val="20"/>
          <w:color w:val="auto"/>
        </w:rPr>
      </w:pPr>
      <w:r>
        <w:rPr>
          <w:rFonts w:ascii="Times New Roman" w:cs="Times New Roman" w:eastAsia="Times New Roman" w:hAnsi="Times New Roman"/>
          <w:sz w:val="19"/>
          <w:szCs w:val="19"/>
          <w:color w:val="auto"/>
        </w:rPr>
        <w:t>Sites leases – operating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 lease – operating . . . . . . . . . .</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Vehicle leases – finance . . . . . . . . . .</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Site leases – finance . . . . . . . . . . . . .</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Sites leases – operating . . . . . . . . . . .</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 lease – operating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Vehicle leases – finance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Site leases – finance . . . . . . . . . . . . .</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lease liabilities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64135</wp:posOffset>
                </wp:positionV>
                <wp:extent cx="558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5pt" to="44pt,5.0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Right-of-use assets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Right-of-use assets</w:t>
      </w:r>
    </w:p>
    <w:p>
      <w:pPr>
        <w:spacing w:after="0" w:line="200" w:lineRule="exact"/>
        <w:rPr>
          <w:sz w:val="20"/>
          <w:szCs w:val="20"/>
          <w:color w:val="auto"/>
        </w:rPr>
      </w:pPr>
    </w:p>
    <w:p>
      <w:pPr>
        <w:spacing w:after="0" w:line="297"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9"/>
          <w:szCs w:val="19"/>
          <w:color w:val="auto"/>
        </w:rPr>
        <w:t>Property, plant and equipment, net Property, plant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Operating lease liabilities – current portion Operating lease liabilities – current portion Accrued expenses and other current liabilities</w:t>
      </w:r>
    </w:p>
    <w:p>
      <w:pPr>
        <w:spacing w:after="0" w:line="16" w:lineRule="exact"/>
        <w:rPr>
          <w:sz w:val="20"/>
          <w:szCs w:val="20"/>
          <w:color w:val="auto"/>
        </w:rPr>
      </w:pPr>
    </w:p>
    <w:p>
      <w:pPr>
        <w:ind w:right="560"/>
        <w:spacing w:after="0" w:line="231" w:lineRule="auto"/>
        <w:rPr>
          <w:sz w:val="20"/>
          <w:szCs w:val="20"/>
          <w:color w:val="auto"/>
        </w:rPr>
      </w:pPr>
      <w:r>
        <w:rPr>
          <w:rFonts w:ascii="Times New Roman" w:cs="Times New Roman" w:eastAsia="Times New Roman" w:hAnsi="Times New Roman"/>
          <w:sz w:val="20"/>
          <w:szCs w:val="20"/>
          <w:color w:val="auto"/>
        </w:rPr>
        <w:t>Accrued expenses and other current liabilities</w:t>
      </w:r>
    </w:p>
    <w:p>
      <w:pPr>
        <w:spacing w:after="0" w:line="257"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20"/>
          <w:szCs w:val="20"/>
          <w:color w:val="auto"/>
        </w:rPr>
        <w:t>Operating lease liabilities – non-current portion</w:t>
      </w:r>
    </w:p>
    <w:p>
      <w:pPr>
        <w:spacing w:after="0" w:line="17"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20"/>
          <w:szCs w:val="20"/>
          <w:color w:val="auto"/>
        </w:rPr>
        <w:t>Operating lease liabilities – non-current portion</w:t>
      </w:r>
    </w:p>
    <w:p>
      <w:pPr>
        <w:spacing w:after="0" w:line="17" w:lineRule="exact"/>
        <w:rPr>
          <w:sz w:val="20"/>
          <w:szCs w:val="20"/>
          <w:color w:val="auto"/>
        </w:rPr>
      </w:pPr>
    </w:p>
    <w:p>
      <w:pPr>
        <w:ind w:right="1340"/>
        <w:spacing w:after="0" w:line="243" w:lineRule="auto"/>
        <w:rPr>
          <w:sz w:val="20"/>
          <w:szCs w:val="20"/>
          <w:color w:val="auto"/>
        </w:rPr>
      </w:pPr>
      <w:r>
        <w:rPr>
          <w:rFonts w:ascii="Times New Roman" w:cs="Times New Roman" w:eastAsia="Times New Roman" w:hAnsi="Times New Roman"/>
          <w:sz w:val="20"/>
          <w:szCs w:val="20"/>
          <w:color w:val="auto"/>
        </w:rPr>
        <w:t>Other long-term liabilities 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tabs>
          <w:tab w:leader="none" w:pos="560" w:val="left"/>
          <w:tab w:leader="none" w:pos="1280" w:val="left"/>
          <w:tab w:leader="none" w:pos="18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11,330</w:t>
        <w:tab/>
        <w:t>$</w:t>
      </w:r>
      <w:r>
        <w:rPr>
          <w:sz w:val="20"/>
          <w:szCs w:val="20"/>
          <w:color w:val="auto"/>
        </w:rPr>
        <w:tab/>
      </w:r>
      <w:r>
        <w:rPr>
          <w:rFonts w:ascii="Times New Roman" w:cs="Times New Roman" w:eastAsia="Times New Roman" w:hAnsi="Times New Roman"/>
          <w:sz w:val="19"/>
          <w:szCs w:val="19"/>
          <w:color w:val="auto"/>
        </w:rPr>
        <w:t>10,338</w:t>
      </w:r>
    </w:p>
    <w:p>
      <w:pPr>
        <w:spacing w:after="0" w:line="17" w:lineRule="exact"/>
        <w:rPr>
          <w:sz w:val="20"/>
          <w:szCs w:val="20"/>
          <w:color w:val="auto"/>
        </w:rPr>
      </w:pPr>
    </w:p>
    <w:p>
      <w:pPr>
        <w:ind w:left="1980" w:hanging="1155"/>
        <w:spacing w:after="0"/>
        <w:tabs>
          <w:tab w:leader="none" w:pos="198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1,406</w:t>
      </w:r>
    </w:p>
    <w:p>
      <w:pPr>
        <w:spacing w:after="0" w:line="14"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12,301</w:t>
      </w:r>
      <w:r>
        <w:rPr>
          <w:rFonts w:ascii="Times New Roman" w:cs="Times New Roman" w:eastAsia="Times New Roman" w:hAnsi="Times New Roman"/>
          <w:sz w:val="19"/>
          <w:szCs w:val="19"/>
          <w:b w:val="1"/>
          <w:bCs w:val="1"/>
          <w:color w:val="auto"/>
        </w:rPr>
        <w:t>11,744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-154305</wp:posOffset>
                </wp:positionV>
                <wp:extent cx="7112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1499pt" to="56.25pt,-12.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828675</wp:posOffset>
                </wp:positionH>
                <wp:positionV relativeFrom="paragraph">
                  <wp:posOffset>-154305</wp:posOffset>
                </wp:positionV>
                <wp:extent cx="7112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25pt,-12.1499pt" to="121.25pt,-12.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3810</wp:posOffset>
                </wp:positionV>
                <wp:extent cx="7112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0.3pt" to="56.25pt,0.3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828675</wp:posOffset>
                </wp:positionH>
                <wp:positionV relativeFrom="paragraph">
                  <wp:posOffset>3810</wp:posOffset>
                </wp:positionV>
                <wp:extent cx="7112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25pt,0.3pt" to="121.25pt,0.3pt" o:allowincell="f" strokecolor="#000000" strokeweight="0.5pt"/>
            </w:pict>
          </mc:Fallback>
        </mc:AlternateConten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w:t>
            </w:r>
          </w:p>
        </w:tc>
      </w:tr>
      <w:tr>
        <w:trPr>
          <w:trHeight w:val="232"/>
        </w:trPr>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6,468</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9,048</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1,236</w:t>
            </w:r>
          </w:p>
        </w:tc>
      </w:tr>
      <w:tr>
        <w:trPr>
          <w:trHeight w:val="220"/>
        </w:trPr>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21,349</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12,980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59"/>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40"/>
        </w:trPr>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r>
      <w:tr>
        <w:trPr>
          <w:trHeight w:val="460"/>
        </w:trPr>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r>
      <w:tr>
        <w:trPr>
          <w:trHeight w:val="452"/>
        </w:trPr>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2,036</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1,079</w:t>
            </w:r>
          </w:p>
        </w:tc>
      </w:tr>
      <w:tr>
        <w:trPr>
          <w:trHeight w:val="439"/>
        </w:trPr>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10,135</w:t>
            </w:r>
          </w:p>
        </w:tc>
      </w:tr>
      <w:tr>
        <w:trPr>
          <w:trHeight w:val="460"/>
        </w:trPr>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w:t>
            </w:r>
          </w:p>
        </w:tc>
      </w:tr>
      <w:tr>
        <w:trPr>
          <w:trHeight w:val="240"/>
        </w:trPr>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r>
      <w:tr>
        <w:trPr>
          <w:trHeight w:val="232"/>
        </w:trPr>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5,587</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19,212</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12,070</w:t>
            </w:r>
          </w:p>
        </w:tc>
      </w:tr>
      <w:tr>
        <w:trPr>
          <w:trHeight w:val="211"/>
        </w:trPr>
        <w:tc>
          <w:tcPr>
            <w:tcW w:w="340" w:type="dxa"/>
            <w:vAlign w:val="bottom"/>
          </w:tcPr>
          <w:p>
            <w:pPr>
              <w:jc w:val="right"/>
              <w:ind w:right="140"/>
              <w:spacing w:after="0" w:line="21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21,248</w:t>
            </w:r>
          </w:p>
        </w:tc>
        <w:tc>
          <w:tcPr>
            <w:tcW w:w="520" w:type="dxa"/>
            <w:vAlign w:val="bottom"/>
            <w:gridSpan w:val="2"/>
          </w:tcPr>
          <w:p>
            <w:pPr>
              <w:jc w:val="right"/>
              <w:ind w:right="140"/>
              <w:spacing w:after="0" w:line="211" w:lineRule="exact"/>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13,149</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ectPr>
          <w:pgSz w:w="12240" w:h="15840" w:orient="portrait"/>
          <w:cols w:equalWidth="0" w:num="3">
            <w:col w:w="2960" w:space="180"/>
            <w:col w:w="3440" w:space="200"/>
            <w:col w:w="2580"/>
          </w:cols>
          <w:pgMar w:left="1440" w:top="941" w:right="1440" w:bottom="353" w:gutter="0" w:footer="0" w:header="0"/>
          <w:type w:val="continuous"/>
        </w:sectPr>
      </w:pPr>
    </w:p>
    <w:p>
      <w:pPr>
        <w:ind w:left="480" w:hanging="480"/>
        <w:spacing w:after="0" w:line="245"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Finance lease right-of-use asset and corresponding lease liabilities represent the present value of lease payments for the remaining term of the lease. The discount rate used ranged from 3.59% to 8.44%.</w:t>
      </w:r>
    </w:p>
    <w:p>
      <w:pPr>
        <w:spacing w:after="0" w:line="17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presents components of the Company’s lease expense for the year ended December 31,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9"/>
                <w:szCs w:val="19"/>
                <w:color w:val="auto"/>
              </w:rPr>
            </w:pPr>
          </w:p>
        </w:tc>
        <w:tc>
          <w:tcPr>
            <w:tcW w:w="3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Location in Statement of Operations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6"/>
              </w:rPr>
              <w:t>Amount</w:t>
            </w:r>
            <w:r>
              <w:rPr>
                <w:rFonts w:ascii="Times New Roman" w:cs="Times New Roman" w:eastAsia="Times New Roman" w:hAnsi="Times New Roman"/>
                <w:sz w:val="20"/>
                <w:szCs w:val="20"/>
                <w:b w:val="1"/>
                <w:bCs w:val="1"/>
                <w:color w:val="auto"/>
                <w:w w:val="96"/>
                <w:vertAlign w:val="superscript"/>
              </w:rPr>
              <w:t>(1)</w:t>
            </w:r>
          </w:p>
        </w:tc>
      </w:tr>
      <w:tr>
        <w:trPr>
          <w:trHeight w:val="205"/>
        </w:trPr>
        <w:tc>
          <w:tcPr>
            <w:tcW w:w="4480" w:type="dxa"/>
            <w:vAlign w:val="bottom"/>
            <w:gridSpan w:val="2"/>
          </w:tcPr>
          <w:p>
            <w:pPr>
              <w:spacing w:after="0" w:line="205" w:lineRule="exact"/>
              <w:rPr>
                <w:sz w:val="20"/>
                <w:szCs w:val="20"/>
                <w:color w:val="auto"/>
              </w:rPr>
            </w:pPr>
            <w:r>
              <w:rPr>
                <w:rFonts w:ascii="Times New Roman" w:cs="Times New Roman" w:eastAsia="Times New Roman" w:hAnsi="Times New Roman"/>
                <w:sz w:val="20"/>
                <w:szCs w:val="20"/>
                <w:color w:val="auto"/>
                <w:w w:val="99"/>
              </w:rPr>
              <w:t>Operating lease expense for site leases . . . . . . . . . . . . . .</w:t>
            </w:r>
          </w:p>
        </w:tc>
        <w:tc>
          <w:tcPr>
            <w:tcW w:w="180" w:type="dxa"/>
            <w:vAlign w:val="bottom"/>
          </w:tcPr>
          <w:p>
            <w:pPr>
              <w:spacing w:after="0"/>
              <w:rPr>
                <w:sz w:val="17"/>
                <w:szCs w:val="17"/>
                <w:color w:val="auto"/>
              </w:rPr>
            </w:pPr>
          </w:p>
        </w:tc>
        <w:tc>
          <w:tcPr>
            <w:tcW w:w="32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Cost of sales – RNG Fuel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1,087</w:t>
            </w:r>
          </w:p>
        </w:tc>
      </w:tr>
      <w:tr>
        <w:trPr>
          <w:trHeight w:val="220"/>
        </w:trPr>
        <w:tc>
          <w:tcPr>
            <w:tcW w:w="44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Operating lease expense for office lease . . . . . . . . . . . . .</w:t>
            </w:r>
          </w:p>
        </w:tc>
        <w:tc>
          <w:tcPr>
            <w:tcW w:w="346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Selling, general, administrative expenses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484</w:t>
            </w:r>
          </w:p>
        </w:tc>
      </w:tr>
      <w:tr>
        <w:trPr>
          <w:trHeight w:val="220"/>
        </w:trPr>
        <w:tc>
          <w:tcPr>
            <w:tcW w:w="8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6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Depreciation, amortization and accretion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4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Amortization of right-of-use assets – finance leases . . .</w:t>
            </w:r>
          </w:p>
        </w:tc>
        <w:tc>
          <w:tcPr>
            <w:tcW w:w="346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expense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667</w:t>
            </w:r>
          </w:p>
        </w:tc>
      </w:tr>
      <w:tr>
        <w:trPr>
          <w:trHeight w:val="223"/>
        </w:trPr>
        <w:tc>
          <w:tcPr>
            <w:tcW w:w="44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Interest expense on lease liabilities – finance leases . . .</w:t>
            </w:r>
          </w:p>
        </w:tc>
        <w:tc>
          <w:tcPr>
            <w:tcW w:w="34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Interest and financing expense, net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105</w:t>
            </w:r>
          </w:p>
        </w:tc>
      </w:tr>
      <w:tr>
        <w:trPr>
          <w:trHeight w:val="192"/>
        </w:trPr>
        <w:tc>
          <w:tcPr>
            <w:tcW w:w="8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20"/>
                <w:szCs w:val="20"/>
                <w:color w:val="auto"/>
              </w:rPr>
              <w:t>2,343</w:t>
            </w:r>
          </w:p>
        </w:tc>
      </w:tr>
      <w:tr>
        <w:trPr>
          <w:trHeight w:val="20"/>
        </w:trPr>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75" w:lineRule="exact"/>
        <w:rPr>
          <w:sz w:val="20"/>
          <w:szCs w:val="20"/>
          <w:color w:val="auto"/>
        </w:rPr>
      </w:pPr>
    </w:p>
    <w:p>
      <w:pPr>
        <w:ind w:left="480" w:hanging="480"/>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material short term lease expense for the year ended December 31,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 . . . . . . . . . .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19.3 years</w:t>
            </w: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Financing leases . . . . . . . . . . . . . . . . . . . . . . . . . . . . . . . . . . . . . . . . . . . . . . . . . . . . . . . . . .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 years</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discount rate</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leases . . . . . . . . . . . . . . . . . . . . . . . . . . . . . . . . . . . . . . . . . . . . . . . . . . . . . . . . . . . . . . . . .</w:t>
            </w:r>
          </w:p>
        </w:tc>
        <w:tc>
          <w:tcPr>
            <w:tcW w:w="14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7.81%</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Financing leases . . . . . . . . . . . . . . . . . . . . . . . . . . . . . . . . . . . . . . . . . . . . . . . . . . . . . . . . . . . . . . . . .</w:t>
            </w:r>
          </w:p>
        </w:tc>
        <w:tc>
          <w:tcPr>
            <w:tcW w:w="14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6.60%</w:t>
            </w: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type w:val="continuous"/>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360"/>
          </w:cols>
          <w:pgMar w:left="1440" w:top="941" w:right="1440" w:bottom="353"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table below provides the total amount of lease payments on an undiscounted basis on our lease contracts as of 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Site leases</w:t>
            </w:r>
          </w:p>
        </w:tc>
        <w:tc>
          <w:tcPr>
            <w:tcW w:w="20" w:type="dxa"/>
            <w:vAlign w:val="bottom"/>
          </w:tcPr>
          <w:p>
            <w:pPr>
              <w:spacing w:after="0"/>
              <w:rPr>
                <w:sz w:val="17"/>
                <w:szCs w:val="17"/>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Office leases</w:t>
            </w:r>
          </w:p>
        </w:tc>
        <w:tc>
          <w:tcPr>
            <w:tcW w:w="2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Vehicle leases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Site leases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3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Finance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Finance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7"/>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 . . . . . . .</w:t>
            </w:r>
          </w:p>
        </w:tc>
        <w:tc>
          <w:tcPr>
            <w:tcW w:w="12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3,605</w:t>
            </w:r>
          </w:p>
        </w:tc>
      </w:tr>
      <w:tr>
        <w:trPr>
          <w:trHeight w:val="26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3,591</w:t>
            </w:r>
          </w:p>
        </w:tc>
      </w:tr>
      <w:tr>
        <w:trPr>
          <w:trHeight w:val="26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w:t>
            </w:r>
          </w:p>
        </w:tc>
      </w:tr>
      <w:tr>
        <w:trPr>
          <w:trHeight w:val="26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2,492</w:t>
            </w:r>
          </w:p>
        </w:tc>
      </w:tr>
      <w:tr>
        <w:trPr>
          <w:trHeight w:val="261"/>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2028 and beyond . . . . . . . . . . . . . . . . . . .</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23,516</w:t>
            </w:r>
          </w:p>
        </w:tc>
      </w:tr>
      <w:tr>
        <w:trPr>
          <w:trHeight w:val="240"/>
        </w:trPr>
        <w:tc>
          <w:tcPr>
            <w:tcW w:w="3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36,125</w:t>
            </w:r>
          </w:p>
        </w:tc>
      </w:tr>
      <w:tr>
        <w:trPr>
          <w:trHeight w:val="379"/>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liability . . . . . . . .</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21,248</w:t>
            </w:r>
          </w:p>
        </w:tc>
      </w:tr>
      <w:tr>
        <w:trPr>
          <w:trHeight w:val="40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current portion . . . . . .</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w:t>
            </w:r>
          </w:p>
        </w:tc>
      </w:tr>
      <w:tr>
        <w:trPr>
          <w:trHeight w:val="261"/>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non-current portion . .</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19,212</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21,248</w:t>
            </w:r>
          </w:p>
        </w:tc>
      </w:tr>
      <w:tr>
        <w:trPr>
          <w:trHeight w:val="237"/>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Discount based on incremental</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23"/>
        </w:trPr>
        <w:tc>
          <w:tcPr>
            <w:tcW w:w="3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borrowing rate . . . . . . . . . . . . . . . . . . .</w:t>
            </w: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12,359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14,877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Derivative Financial Instruments and Fair Value Measurements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August 2022, the Company entered into two interest rate swaps for the notional amount of $61,926 of the OPAL Term Loan II at a fixed interest rate of 2.47% to hedge the SOFR-based floating interest rate. On August 16, 2022, the Company entered into a swaption for a notional amount of $13,074 with fixed rate of 2.32% with a maturity date of May 31, 2023. The Company accounted for the swaption as an economic hedge and included the change in the fair market value in the consolidated statement of operations.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records the fair value of the interest rate swap as an asset or liability on its consolidated balance sheet. The effective portion of the swap is recorded in Accumulated other comprehensive income.</w:t>
      </w:r>
    </w:p>
    <w:p>
      <w:pPr>
        <w:spacing w:after="0" w:line="174"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On May 30, 2023, OPAL Intermediate Holdco 2, assigned to Paragon its rights and obligations under the OPAL Term Loan II. Concurrently, the Company terminated the two interest rate swaps outstanding under this loan and received $812 as settlement from the swap counterparty. Paragon entered into four interest rate swaps for a notional amount of $56,914 at a fixed interest rate of 3.52%. The Company terminated the swaption on the same date.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360"/>
          </w:cols>
          <w:pgMar w:left="1440" w:top="941" w:right="1440" w:bottom="353"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After the transaction, the Company recognized a gain of $812 in the consolidated statement of operations for the year ended December 31, 2023 as part of Change in fair value of derivative instruments. The Company received $136 as a settlement from the swaption counterparty and recognized $46 as loss on termination of the swaption as part of change in fair value of derivative instruments. Additionally, the Company recognized $(8) as its share of the Accumulated other comprehensive loss from Paragon and decreased its basis in equity method investment on its consolidated balance sheet as of December 31, 2023.</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interest rate swaps in place as of December 31, 2023 and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swap detail</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196"/>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
              <w:spacing w:after="0" w:line="195"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20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Trade date</w:t>
            </w:r>
          </w:p>
        </w:tc>
        <w:tc>
          <w:tcPr>
            <w:tcW w:w="180" w:type="dxa"/>
            <w:vAlign w:val="bottom"/>
          </w:tcPr>
          <w:p>
            <w:pPr>
              <w:spacing w:after="0"/>
              <w:rPr>
                <w:sz w:val="18"/>
                <w:szCs w:val="18"/>
                <w:color w:val="auto"/>
              </w:rPr>
            </w:pPr>
          </w:p>
        </w:tc>
        <w:tc>
          <w:tcPr>
            <w:tcW w:w="1260" w:type="dxa"/>
            <w:vAlign w:val="bottom"/>
            <w:tcBorders>
              <w:bottom w:val="single" w:sz="8" w:color="auto"/>
            </w:tcBorders>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Fixed rate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Start date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15, 2022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2.47%</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June 28, 2024</w:t>
            </w:r>
          </w:p>
        </w:tc>
        <w:tc>
          <w:tcPr>
            <w:tcW w:w="1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4, 2027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8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41,284</w:t>
            </w:r>
          </w:p>
        </w:tc>
      </w:tr>
      <w:tr>
        <w:trPr>
          <w:trHeight w:val="261"/>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15, 2022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2.47%</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June 28, 2024</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4, 2027</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20,642</w:t>
            </w:r>
          </w:p>
        </w:tc>
      </w:tr>
      <w:tr>
        <w:trPr>
          <w:trHeight w:val="240"/>
        </w:trPr>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8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61,926</w:t>
            </w:r>
          </w:p>
        </w:tc>
      </w:tr>
      <w:tr>
        <w:trPr>
          <w:trHeight w:val="20"/>
        </w:trPr>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location and amounts of derivatives fair values in the consolidated balance sheets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Location of Fair Value Recognized</w:t>
            </w:r>
          </w:p>
        </w:tc>
        <w:tc>
          <w:tcPr>
            <w:tcW w:w="0" w:type="dxa"/>
            <w:vAlign w:val="bottom"/>
          </w:tcPr>
          <w:p>
            <w:pPr>
              <w:spacing w:after="0"/>
              <w:rPr>
                <w:sz w:val="1"/>
                <w:szCs w:val="1"/>
                <w:color w:val="auto"/>
              </w:rPr>
            </w:pPr>
          </w:p>
        </w:tc>
      </w:tr>
      <w:tr>
        <w:trPr>
          <w:trHeight w:val="199"/>
        </w:trPr>
        <w:tc>
          <w:tcPr>
            <w:tcW w:w="3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line="200"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7"/>
                <w:szCs w:val="17"/>
                <w:color w:val="auto"/>
              </w:rPr>
            </w:pPr>
          </w:p>
        </w:tc>
        <w:tc>
          <w:tcPr>
            <w:tcW w:w="32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 Balance Sheet</w:t>
            </w:r>
          </w:p>
        </w:tc>
        <w:tc>
          <w:tcPr>
            <w:tcW w:w="0" w:type="dxa"/>
            <w:vAlign w:val="bottom"/>
          </w:tcPr>
          <w:p>
            <w:pPr>
              <w:spacing w:after="0"/>
              <w:rPr>
                <w:sz w:val="1"/>
                <w:szCs w:val="1"/>
                <w:color w:val="auto"/>
              </w:rPr>
            </w:pPr>
          </w:p>
        </w:tc>
      </w:tr>
      <w:tr>
        <w:trPr>
          <w:trHeight w:val="205"/>
        </w:trPr>
        <w:tc>
          <w:tcPr>
            <w:tcW w:w="34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Derivatives designated as economic</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hedges: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Derivative financial assets, current</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Current portion of swaption . . . . . . . . . .</w:t>
            </w:r>
          </w:p>
        </w:tc>
        <w:tc>
          <w:tcPr>
            <w:tcW w:w="24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ind w:left="68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2"/>
          </w:tcPr>
          <w:p>
            <w:pPr>
              <w:jc w:val="right"/>
              <w:ind w:right="45"/>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182</w:t>
            </w:r>
          </w:p>
        </w:tc>
        <w:tc>
          <w:tcPr>
            <w:tcW w:w="3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portion</w:t>
            </w:r>
          </w:p>
        </w:tc>
        <w:tc>
          <w:tcPr>
            <w:tcW w:w="0" w:type="dxa"/>
            <w:vAlign w:val="bottom"/>
          </w:tcPr>
          <w:p>
            <w:pPr>
              <w:spacing w:after="0"/>
              <w:rPr>
                <w:sz w:val="1"/>
                <w:szCs w:val="1"/>
                <w:color w:val="auto"/>
              </w:rPr>
            </w:pPr>
          </w:p>
        </w:tc>
      </w:tr>
      <w:tr>
        <w:trPr>
          <w:trHeight w:val="43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Derivatives designated as cash flow</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hedges: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Non current portion of the interest rate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Derivative financial assets, non-current</w:t>
            </w:r>
          </w:p>
        </w:tc>
        <w:tc>
          <w:tcPr>
            <w:tcW w:w="0" w:type="dxa"/>
            <w:vAlign w:val="bottom"/>
          </w:tcPr>
          <w:p>
            <w:pPr>
              <w:spacing w:after="0"/>
              <w:rPr>
                <w:sz w:val="1"/>
                <w:szCs w:val="1"/>
                <w:color w:val="auto"/>
              </w:rPr>
            </w:pPr>
          </w:p>
        </w:tc>
      </w:tr>
      <w:tr>
        <w:trPr>
          <w:trHeight w:val="223"/>
        </w:trPr>
        <w:tc>
          <w:tcPr>
            <w:tcW w:w="34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swaps . . . . . . . . . . . . . . . . . . . . . . . . . .</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954</w:t>
            </w:r>
          </w:p>
        </w:tc>
        <w:tc>
          <w:tcPr>
            <w:tcW w:w="3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portion</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40" w:type="dxa"/>
            <w:vAlign w:val="bottom"/>
            <w:tcBorders>
              <w:bottom w:val="single" w:sz="8" w:color="auto"/>
            </w:tcBorders>
          </w:tcPr>
          <w:p>
            <w:pPr>
              <w:jc w:val="right"/>
              <w:ind w:right="43"/>
              <w:spacing w:after="0" w:line="19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ind w:left="680"/>
              <w:spacing w:after="0" w:line="192" w:lineRule="exact"/>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16"/>
                <w:szCs w:val="16"/>
                <w:color w:val="auto"/>
              </w:rPr>
            </w:pPr>
          </w:p>
        </w:tc>
        <w:tc>
          <w:tcPr>
            <w:tcW w:w="240" w:type="dxa"/>
            <w:vAlign w:val="bottom"/>
            <w:tcBorders>
              <w:bottom w:val="single" w:sz="8" w:color="auto"/>
            </w:tcBorders>
          </w:tcPr>
          <w:p>
            <w:pPr>
              <w:jc w:val="right"/>
              <w:ind w:right="45"/>
              <w:spacing w:after="0" w:line="19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20"/>
                <w:szCs w:val="20"/>
                <w:color w:val="auto"/>
              </w:rPr>
              <w:t>1,136</w:t>
            </w:r>
          </w:p>
        </w:tc>
        <w:tc>
          <w:tcPr>
            <w:tcW w:w="1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effect of interest rate swaps on the consolidated statement of operations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(Loss) Gain Recognized in</w:t>
            </w:r>
          </w:p>
        </w:tc>
      </w:tr>
      <w:tr>
        <w:trPr>
          <w:trHeight w:val="199"/>
        </w:trPr>
        <w:tc>
          <w:tcPr>
            <w:tcW w:w="3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left="65"/>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Operations from Derivatives</w:t>
            </w:r>
          </w:p>
        </w:tc>
      </w:tr>
      <w:tr>
        <w:trPr>
          <w:trHeight w:val="186"/>
        </w:trPr>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85"/>
              <w:spacing w:after="0" w:line="186"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8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5"/>
        </w:trPr>
        <w:tc>
          <w:tcPr>
            <w:tcW w:w="3420" w:type="dxa"/>
            <w:vAlign w:val="bottom"/>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 . . . . . . . . . . . . . . . . .Interestrateswaps</w:t>
            </w:r>
          </w:p>
        </w:tc>
        <w:tc>
          <w:tcPr>
            <w:tcW w:w="220" w:type="dxa"/>
            <w:vAlign w:val="bottom"/>
            <w:tcBorders>
              <w:top w:val="single" w:sz="8" w:color="auto"/>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ind w:right="5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992</w:t>
            </w: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20"/>
        </w:trPr>
        <w:tc>
          <w:tcPr>
            <w:tcW w:w="34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99"/>
              </w:rPr>
              <w:t>Swaption . . . . . . . . . . . . . . . . . . . . . . . . .</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182</w:t>
            </w:r>
          </w:p>
        </w:tc>
        <w:tc>
          <w:tcPr>
            <w:tcW w:w="3220" w:type="dxa"/>
            <w:vAlign w:val="bottom"/>
          </w:tcPr>
          <w:p>
            <w:pPr>
              <w:spacing w:after="0"/>
              <w:rPr>
                <w:sz w:val="19"/>
                <w:szCs w:val="19"/>
                <w:color w:val="auto"/>
              </w:rPr>
            </w:pPr>
          </w:p>
        </w:tc>
      </w:tr>
      <w:tr>
        <w:trPr>
          <w:trHeight w:val="220"/>
        </w:trPr>
        <w:tc>
          <w:tcPr>
            <w:tcW w:w="3420" w:type="dxa"/>
            <w:vAlign w:val="bottom"/>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99"/>
              </w:rPr>
              <w:t>Net periodic settlements – interest rate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52"/>
        </w:trPr>
        <w:tc>
          <w:tcPr>
            <w:tcW w:w="3420" w:type="dxa"/>
            <w:vAlign w:val="bottom"/>
          </w:tcPr>
          <w:p>
            <w:pPr>
              <w:jc w:val="right"/>
              <w:ind w:right="60"/>
              <w:spacing w:after="0" w:line="252" w:lineRule="exact"/>
              <w:rPr>
                <w:sz w:val="20"/>
                <w:szCs w:val="20"/>
                <w:color w:val="auto"/>
              </w:rPr>
            </w:pPr>
            <w:r>
              <w:rPr>
                <w:rFonts w:ascii="Times New Roman" w:cs="Times New Roman" w:eastAsia="Times New Roman" w:hAnsi="Times New Roman"/>
                <w:sz w:val="20"/>
                <w:szCs w:val="20"/>
                <w:color w:val="auto"/>
              </w:rPr>
              <w:t>swaps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w:t>
            </w:r>
          </w:p>
        </w:tc>
        <w:tc>
          <w:tcPr>
            <w:tcW w:w="220" w:type="dxa"/>
            <w:vAlign w:val="bottom"/>
          </w:tcPr>
          <w:p>
            <w:pPr>
              <w:spacing w:after="0"/>
              <w:rPr>
                <w:sz w:val="21"/>
                <w:szCs w:val="21"/>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1,146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96"/>
              </w:rPr>
              <w:t>(676)</w:t>
            </w:r>
          </w:p>
        </w:tc>
        <w:tc>
          <w:tcPr>
            <w:tcW w:w="3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2171700</wp:posOffset>
                </wp:positionH>
                <wp:positionV relativeFrom="paragraph">
                  <wp:posOffset>-13335</wp:posOffset>
                </wp:positionV>
                <wp:extent cx="7112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1.0499pt" to="227pt,-1.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-13335</wp:posOffset>
                </wp:positionV>
                <wp:extent cx="7112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1.0499pt" to="292pt,-1.0499pt" o:allowincell="f" strokecolor="#000000" strokeweight="0.5pt"/>
            </w:pict>
          </mc:Fallback>
        </mc:AlternateContent>
      </w:r>
    </w:p>
    <w:p>
      <w:pPr>
        <w:ind w:left="6020"/>
        <w:spacing w:after="0" w:line="199" w:lineRule="auto"/>
        <w:rPr>
          <w:sz w:val="20"/>
          <w:szCs w:val="20"/>
          <w:color w:val="auto"/>
        </w:rPr>
      </w:pPr>
      <w:r>
        <w:rPr>
          <w:rFonts w:ascii="Times New Roman" w:cs="Times New Roman" w:eastAsia="Times New Roman" w:hAnsi="Times New Roman"/>
          <w:sz w:val="20"/>
          <w:szCs w:val="20"/>
          <w:color w:val="auto"/>
        </w:rPr>
        <w:t>Change in fair value of derivative</w:t>
      </w:r>
    </w:p>
    <w:p>
      <w:pPr>
        <w:ind w:left="4100" w:hanging="680"/>
        <w:spacing w:after="0" w:line="230" w:lineRule="auto"/>
        <w:tabs>
          <w:tab w:leader="none" w:pos="41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1,100  $498  instruments, net</w:t>
      </w:r>
    </w:p>
    <w:p>
      <w:pPr>
        <w:spacing w:after="0" w:line="175" w:lineRule="exact"/>
        <w:rPr>
          <w:rFonts w:ascii="Times New Roman" w:cs="Times New Roman" w:eastAsia="Times New Roman" w:hAnsi="Times New Roman"/>
          <w:sz w:val="20"/>
          <w:szCs w:val="20"/>
          <w:color w:val="auto"/>
        </w:rPr>
      </w:pPr>
    </w:p>
    <w:p>
      <w:pPr>
        <w:ind w:left="480" w:hanging="480"/>
        <w:spacing w:after="0" w:line="245"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$334 reclassification into earnings from our equity method investments and $812 reclassification on the gain on termination of interest rate swaps on May 30, 2023.</w:t>
      </w:r>
    </w:p>
    <w:p>
      <w:pPr>
        <w:spacing w:after="0" w:line="17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may be exposed to credit risk on any of the derivative financial instruments that are in 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-579755</wp:posOffset>
                </wp:positionV>
                <wp:extent cx="5588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6499pt" to="44pt,-45.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2171700</wp:posOffset>
                </wp:positionH>
                <wp:positionV relativeFrom="paragraph">
                  <wp:posOffset>-636905</wp:posOffset>
                </wp:positionV>
                <wp:extent cx="7112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50.1499pt" to="227pt,-50.1499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2171700</wp:posOffset>
                </wp:positionH>
                <wp:positionV relativeFrom="paragraph">
                  <wp:posOffset>-623570</wp:posOffset>
                </wp:positionV>
                <wp:extent cx="7112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49.0999pt" to="227pt,-49.0999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-636905</wp:posOffset>
                </wp:positionV>
                <wp:extent cx="7112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50.1499pt" to="292pt,-50.1499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-623570</wp:posOffset>
                </wp:positionV>
                <wp:extent cx="7112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49.0999pt" to="292pt,-49.0999pt" o:allowincell="f" strokecolor="#000000" strokeweight="0.499pt"/>
            </w:pict>
          </mc:Fallback>
        </mc:AlternateContent>
      </w:r>
    </w:p>
    <w:p>
      <w:pPr>
        <w:jc w:val="both"/>
        <w:spacing w:after="0" w:line="249" w:lineRule="auto"/>
        <w:rPr>
          <w:sz w:val="20"/>
          <w:szCs w:val="20"/>
          <w:color w:val="auto"/>
        </w:rPr>
      </w:pPr>
      <w:r>
        <w:rPr>
          <w:rFonts w:ascii="Times New Roman" w:cs="Times New Roman" w:eastAsia="Times New Roman" w:hAnsi="Times New Roman"/>
          <w:sz w:val="20"/>
          <w:szCs w:val="20"/>
          <w:color w:val="auto"/>
        </w:rPr>
        <w:t>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9360"/>
          </w:cols>
          <w:pgMar w:left="1440" w:top="941" w:right="1440" w:bottom="353"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fair value of interest rate swaps on the Company’s consolidated balance sheets and the effect of netting arrangements and collateral on its financial position:</w:t>
      </w:r>
    </w:p>
    <w:p>
      <w:pPr>
        <w:spacing w:after="0" w:line="179" w:lineRule="exact"/>
        <w:rPr>
          <w:sz w:val="20"/>
          <w:szCs w:val="20"/>
          <w:color w:val="auto"/>
        </w:rPr>
      </w:pPr>
    </w:p>
    <w:tbl>
      <w:tblPr>
        <w:tblLayout w:type="fixed"/>
        <w:tblInd w:w="460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r>
      <w:tr>
        <w:trPr>
          <w:trHeight w:val="200"/>
        </w:trPr>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of Assets/</w:t>
            </w:r>
          </w:p>
        </w:tc>
      </w:tr>
      <w:tr>
        <w:trPr>
          <w:trHeight w:val="200"/>
        </w:trPr>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of Recognized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1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0"/>
        </w:trPr>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Offset in the</w:t>
            </w:r>
          </w:p>
        </w:tc>
        <w:tc>
          <w:tcPr>
            <w:tcW w:w="1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in the</w:t>
            </w:r>
          </w:p>
        </w:tc>
      </w:tr>
      <w:tr>
        <w:trPr>
          <w:trHeight w:val="210"/>
        </w:trPr>
        <w:tc>
          <w:tcPr>
            <w:tcW w:w="14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r>
    </w:tbl>
    <w:p>
      <w:pPr>
        <w:spacing w:after="0" w:line="18"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rPr>
          <w:sz w:val="20"/>
          <w:szCs w:val="20"/>
          <w:color w:val="auto"/>
        </w:rPr>
      </w:pPr>
      <w:r>
        <w:rPr>
          <w:rFonts w:ascii="Times New Roman" w:cs="Times New Roman" w:eastAsia="Times New Roman" w:hAnsi="Times New Roman"/>
          <w:sz w:val="20"/>
          <w:szCs w:val="20"/>
          <w:b w:val="1"/>
          <w:bCs w:val="1"/>
          <w:color w:val="auto"/>
        </w:rPr>
        <w:t>Balance, December 31, 2023:</w:t>
      </w:r>
    </w:p>
    <w:p>
      <w:pPr>
        <w:spacing w:after="0" w:line="37" w:lineRule="exact"/>
        <w:rPr>
          <w:sz w:val="20"/>
          <w:szCs w:val="20"/>
          <w:color w:val="auto"/>
        </w:rPr>
      </w:pPr>
    </w:p>
    <w:p>
      <w:pPr>
        <w:ind w:left="200" w:right="400"/>
        <w:spacing w:after="0" w:line="264" w:lineRule="auto"/>
        <w:rPr>
          <w:sz w:val="20"/>
          <w:szCs w:val="20"/>
          <w:color w:val="auto"/>
        </w:rPr>
      </w:pPr>
      <w:r>
        <w:rPr>
          <w:rFonts w:ascii="Times New Roman" w:cs="Times New Roman" w:eastAsia="Times New Roman" w:hAnsi="Times New Roman"/>
          <w:sz w:val="20"/>
          <w:szCs w:val="20"/>
          <w:color w:val="auto"/>
        </w:rPr>
        <w:t>Interest rate swap asset . . . . . . . . . . . . . . . . . . . . . . . . $ Swaption asset . . . . . . . . . . . . . . . . . . . . . . . . . . . . . . .</w:t>
      </w:r>
    </w:p>
    <w:p>
      <w:pPr>
        <w:spacing w:after="0" w:line="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w:t>
            </w:r>
          </w:p>
        </w:tc>
      </w:tr>
      <w:tr>
        <w:trPr>
          <w:trHeight w:val="261"/>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0"/>
                <w:szCs w:val="20"/>
                <w:color w:val="auto"/>
                <w:w w:val="89"/>
              </w:rPr>
              <w:t>—</w:t>
            </w:r>
          </w:p>
        </w:tc>
      </w:tr>
      <w:tr>
        <w:trPr>
          <w:trHeight w:val="24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-774065</wp:posOffset>
                </wp:positionH>
                <wp:positionV relativeFrom="paragraph">
                  <wp:posOffset>-180340</wp:posOffset>
                </wp:positionV>
                <wp:extent cx="90424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2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499pt,-14.1999pt" to="10.25pt,-14.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-774065</wp:posOffset>
                </wp:positionH>
                <wp:positionV relativeFrom="paragraph">
                  <wp:posOffset>-15875</wp:posOffset>
                </wp:positionV>
                <wp:extent cx="9042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24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499pt,-1.2499pt" to="10.25pt,-1.2499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-774065</wp:posOffset>
                </wp:positionH>
                <wp:positionV relativeFrom="paragraph">
                  <wp:posOffset>-2540</wp:posOffset>
                </wp:positionV>
                <wp:extent cx="9042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24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499pt,-0.1999pt" to="10.25pt,-0.1999pt" o:allowincell="f" strokecolor="#000000" strokeweight="0.499pt"/>
            </w:pict>
          </mc:Fallback>
        </mc:AlternateContent>
      </w:r>
    </w:p>
    <w:p>
      <w:pPr>
        <w:spacing w:after="0" w:line="1" w:lineRule="exact"/>
        <w:rPr>
          <w:sz w:val="20"/>
          <w:szCs w:val="20"/>
          <w:color w:val="auto"/>
        </w:rPr>
      </w:pPr>
    </w:p>
    <w:p>
      <w:pPr>
        <w:sectPr>
          <w:pgSz w:w="12240" w:h="15840" w:orient="portrait"/>
          <w:cols w:equalWidth="0" w:num="2">
            <w:col w:w="5100" w:space="720"/>
            <w:col w:w="3540"/>
          </w:cols>
          <w:pgMar w:left="1440" w:top="941" w:right="1440" w:bottom="353"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Balance, December 31, 2022:</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0"/>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 asset . . . . . . . . . . . . . . . . . . . . . . . .</w:t>
            </w: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r>
      <w:tr>
        <w:trPr>
          <w:trHeight w:val="261"/>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Swaption asset . . . . . . . . . . . . . . . . . . . . . . . . . . . . . . .</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40"/>
        </w:trPr>
        <w:tc>
          <w:tcPr>
            <w:tcW w:w="4600" w:type="dxa"/>
            <w:vAlign w:val="bottom"/>
          </w:tcPr>
          <w:p>
            <w:pPr>
              <w:spacing w:after="0"/>
              <w:rPr>
                <w:sz w:val="20"/>
                <w:szCs w:val="20"/>
                <w:color w:val="auto"/>
              </w:rPr>
            </w:pP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w:t>
            </w:r>
          </w:p>
        </w:tc>
      </w:tr>
      <w:tr>
        <w:trPr>
          <w:trHeight w:val="20"/>
        </w:trPr>
        <w:tc>
          <w:tcPr>
            <w:tcW w:w="4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collateral balances with counterparties outstanding as of the period-end dates.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swap contracts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The Company will continue to assess its normal purchase and normal sale election on a quarterly basis.</w:t>
      </w:r>
    </w:p>
    <w:p>
      <w:pPr>
        <w:spacing w:after="0" w:line="171"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entered into a new commodity swap with NextEra in November 2022 for a period of two years at a contract price of $81.50 per MWh.</w:t>
      </w: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9360"/>
          </w:cols>
          <w:pgMar w:left="1440" w:top="941" w:right="1440" w:bottom="353"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In November 2023, the Company entered into an electricity supply agreement with a utility provider for purchase of electricity to be used at one of our RNG facilities for a period of two years with a monthly notional quantity ranging between 1,875 and 2,145 Kilo watt hour and with fixed contract price $0.0599 per Kwh. The forward contract is expected to be settled by physical delivery of electricity on a monthly basis. The Company elected the normal purchase normal sale exclusion and will not apply fair value accounting under ASC 815, </w:t>
      </w:r>
      <w:r>
        <w:rPr>
          <w:rFonts w:ascii="Times New Roman" w:cs="Times New Roman" w:eastAsia="Times New Roman" w:hAnsi="Times New Roman"/>
          <w:sz w:val="19"/>
          <w:szCs w:val="19"/>
          <w:i w:val="1"/>
          <w:iCs w:val="1"/>
          <w:color w:val="auto"/>
        </w:rPr>
        <w:t>Derivatives and hedging</w:t>
      </w:r>
      <w:r>
        <w:rPr>
          <w:rFonts w:ascii="Times New Roman" w:cs="Times New Roman" w:eastAsia="Times New Roman" w:hAnsi="Times New Roman"/>
          <w:sz w:val="19"/>
          <w:szCs w:val="19"/>
          <w:color w:val="auto"/>
        </w:rPr>
        <w:t>. The Company will continue to assess its normal purchase and normal sale election on a quarterly basis.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commodity swaps in place as of December 31, 2023 and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00"/>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Quantity per</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Contract Price</w:t>
            </w:r>
          </w:p>
        </w:tc>
      </w:tr>
      <w:tr>
        <w:trPr>
          <w:trHeight w:val="210"/>
        </w:trPr>
        <w:tc>
          <w:tcPr>
            <w:tcW w:w="29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Trade Date</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Period From</w:t>
            </w:r>
          </w:p>
        </w:tc>
        <w:tc>
          <w:tcPr>
            <w:tcW w:w="180" w:type="dxa"/>
            <w:vAlign w:val="bottom"/>
          </w:tcPr>
          <w:p>
            <w:pPr>
              <w:spacing w:after="0"/>
              <w:rPr>
                <w:sz w:val="18"/>
                <w:szCs w:val="18"/>
                <w:color w:val="auto"/>
              </w:rPr>
            </w:pPr>
          </w:p>
        </w:tc>
        <w:tc>
          <w:tcPr>
            <w:tcW w:w="17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4"/>
              </w:rPr>
              <w:t>Period To</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Year (“MWh”)</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rPr>
              <w:t>(per MWh)</w:t>
            </w:r>
          </w:p>
        </w:tc>
      </w:tr>
      <w:tr>
        <w:trPr>
          <w:trHeight w:val="247"/>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w w:val="98"/>
              </w:rPr>
              <w:t>October 17, 2022 . . . . . . . . . . . . . . . .</w:t>
            </w:r>
          </w:p>
        </w:tc>
        <w:tc>
          <w:tcPr>
            <w:tcW w:w="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 2023</w:t>
            </w:r>
          </w:p>
        </w:tc>
        <w:tc>
          <w:tcPr>
            <w:tcW w:w="1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December 31,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70,176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68.50</w:t>
            </w:r>
          </w:p>
        </w:tc>
      </w:tr>
      <w:tr>
        <w:trPr>
          <w:trHeight w:val="26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w w:val="98"/>
              </w:rPr>
              <w:t>October 17, 2022 . . . . . . . . . . . . . . . .</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 2023</w:t>
            </w:r>
          </w:p>
        </w:tc>
        <w:tc>
          <w:tcPr>
            <w:tcW w:w="1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December 31,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65.50</w:t>
            </w:r>
          </w:p>
        </w:tc>
      </w:tr>
      <w:tr>
        <w:trPr>
          <w:trHeight w:val="26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w w:val="98"/>
              </w:rPr>
              <w:t>November 17, 2022 . . . . . . . . . . . . . .</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 2023</w:t>
            </w:r>
          </w:p>
        </w:tc>
        <w:tc>
          <w:tcPr>
            <w:tcW w:w="1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December 31,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81.50</w:t>
            </w:r>
          </w:p>
        </w:tc>
      </w:tr>
    </w:tbl>
    <w:p>
      <w:pPr>
        <w:spacing w:after="0" w:line="15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commodity swaps on the consolidated statements of operations for the years ended December 31,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38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instruments</w:t>
            </w:r>
          </w:p>
        </w:tc>
        <w:tc>
          <w:tcPr>
            <w:tcW w:w="180" w:type="dxa"/>
            <w:vAlign w:val="bottom"/>
          </w:tcPr>
          <w:p>
            <w:pPr>
              <w:spacing w:after="0"/>
              <w:rPr>
                <w:sz w:val="18"/>
                <w:szCs w:val="18"/>
                <w:color w:val="auto"/>
              </w:rPr>
            </w:pPr>
          </w:p>
        </w:tc>
        <w:tc>
          <w:tcPr>
            <w:tcW w:w="25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rPr>
              <w:t>Location of (loss) gain recognized</w:t>
            </w:r>
          </w:p>
        </w:tc>
        <w:tc>
          <w:tcPr>
            <w:tcW w:w="180" w:type="dxa"/>
            <w:vAlign w:val="bottom"/>
          </w:tcPr>
          <w:p>
            <w:pPr>
              <w:spacing w:after="0"/>
              <w:rPr>
                <w:sz w:val="18"/>
                <w:szCs w:val="18"/>
                <w:color w:val="auto"/>
              </w:rPr>
            </w:pPr>
          </w:p>
        </w:tc>
        <w:tc>
          <w:tcPr>
            <w:tcW w:w="250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ind w:left="40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18"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rPr>
          <w:sz w:val="20"/>
          <w:szCs w:val="20"/>
          <w:color w:val="auto"/>
        </w:rPr>
      </w:pPr>
      <w:r>
        <w:rPr>
          <w:rFonts w:ascii="Times New Roman" w:cs="Times New Roman" w:eastAsia="Times New Roman" w:hAnsi="Times New Roman"/>
          <w:sz w:val="20"/>
          <w:szCs w:val="20"/>
          <w:color w:val="auto"/>
        </w:rPr>
        <w:t>Commodity swaps – realized gain (loss)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Commodity swaps – unrealized gain (loss) . . .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realized and unrealized gain (loss)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Revenues – Renewable power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 Renewable power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 Renewable power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(1,757)</w:t>
            </w:r>
          </w:p>
        </w:tc>
      </w:tr>
      <w:tr>
        <w:trPr>
          <w:trHeight w:val="261"/>
        </w:trPr>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(512)</w:t>
            </w:r>
          </w:p>
        </w:tc>
      </w:tr>
      <w:tr>
        <w:trPr>
          <w:trHeight w:val="20"/>
        </w:trPr>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2,602</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(2,269)</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sectPr>
          <w:pgSz w:w="12240" w:h="15840" w:orient="portrait"/>
          <w:cols w:equalWidth="0" w:num="3">
            <w:col w:w="3860" w:space="140"/>
            <w:col w:w="2360" w:space="400"/>
            <w:col w:w="2600"/>
          </w:cols>
          <w:pgMar w:left="1440" w:top="941" w:right="1440" w:bottom="353" w:gutter="0" w:footer="0" w:header="0"/>
          <w:type w:val="continuous"/>
        </w:sect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derivative assets and liabilities related to commodity swaps as of December 31, 2023 and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3420" w:type="dxa"/>
            <w:vAlign w:val="bottom"/>
          </w:tcPr>
          <w:p>
            <w:pPr>
              <w:spacing w:after="0"/>
              <w:rPr>
                <w:sz w:val="16"/>
                <w:szCs w:val="16"/>
                <w:color w:val="auto"/>
              </w:rPr>
            </w:pPr>
          </w:p>
        </w:tc>
        <w:tc>
          <w:tcPr>
            <w:tcW w:w="11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6"/>
                <w:szCs w:val="16"/>
                <w:color w:val="auto"/>
              </w:rPr>
            </w:pPr>
          </w:p>
        </w:tc>
        <w:tc>
          <w:tcPr>
            <w:tcW w:w="11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40" w:type="dxa"/>
            <w:vAlign w:val="bottom"/>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b w:val="1"/>
                <w:bCs w:val="1"/>
                <w:color w:val="auto"/>
                <w:w w:val="98"/>
              </w:rPr>
              <w:t>Location of Fair value recognized</w:t>
            </w:r>
          </w:p>
        </w:tc>
      </w:tr>
      <w:tr>
        <w:trPr>
          <w:trHeight w:val="199"/>
        </w:trPr>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85"/>
              <w:spacing w:after="0" w:line="200"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283"/>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 Balance Sheet</w:t>
            </w:r>
          </w:p>
        </w:tc>
      </w:tr>
      <w:tr>
        <w:trPr>
          <w:trHeight w:val="225"/>
        </w:trPr>
        <w:tc>
          <w:tcPr>
            <w:tcW w:w="34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Derivatives designated as economic</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4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hedges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unrealized gain on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34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w:t>
            </w:r>
          </w:p>
        </w:tc>
        <w:tc>
          <w:tcPr>
            <w:tcW w:w="240" w:type="dxa"/>
            <w:vAlign w:val="bottom"/>
          </w:tcPr>
          <w:p>
            <w:pPr>
              <w:jc w:val="right"/>
              <w:ind w:right="45"/>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633</w:t>
            </w:r>
          </w:p>
        </w:tc>
        <w:tc>
          <w:tcPr>
            <w:tcW w:w="520" w:type="dxa"/>
            <w:vAlign w:val="bottom"/>
            <w:gridSpan w:val="2"/>
          </w:tcPr>
          <w:p>
            <w:pPr>
              <w:jc w:val="right"/>
              <w:ind w:right="1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0"/>
                <w:szCs w:val="20"/>
                <w:color w:val="auto"/>
                <w:w w:val="99"/>
              </w:rPr>
              <w:t>Derivative financial asset, current portion</w:t>
            </w: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unrealized loss on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Derivative financial liability, current</w:t>
            </w:r>
          </w:p>
        </w:tc>
      </w:tr>
      <w:tr>
        <w:trPr>
          <w:trHeight w:val="223"/>
        </w:trPr>
        <w:tc>
          <w:tcPr>
            <w:tcW w:w="34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w:t>
            </w: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(130)</w:t>
            </w:r>
          </w:p>
        </w:tc>
        <w:tc>
          <w:tcPr>
            <w:tcW w:w="60" w:type="dxa"/>
            <w:vAlign w:val="bottom"/>
          </w:tcPr>
          <w:p>
            <w:pPr>
              <w:spacing w:after="0"/>
              <w:rPr>
                <w:sz w:val="19"/>
                <w:szCs w:val="19"/>
                <w:color w:val="auto"/>
              </w:rPr>
            </w:pPr>
          </w:p>
        </w:tc>
        <w:tc>
          <w:tcPr>
            <w:tcW w:w="33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portion</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derivative liabilities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On July 21, 2022, the Company recorded derivative liabilities for the outstanding public warrants and private warrants, put option to Meteora, the Sponsor Earnout Awards and the OPAL Earnout Awards. The private and public warrants were exchanged into Class A common stock in the four quarter of 2022. The put option with Meteora expired in January 2023. Please see Note 2. </w:t>
      </w:r>
      <w:r>
        <w:rPr>
          <w:rFonts w:ascii="Times New Roman" w:cs="Times New Roman" w:eastAsia="Times New Roman" w:hAnsi="Times New Roman"/>
          <w:sz w:val="19"/>
          <w:szCs w:val="19"/>
          <w:i w:val="1"/>
          <w:iCs w:val="1"/>
          <w:color w:val="auto"/>
        </w:rPr>
        <w:t>Summary of Significant Accounting Policies</w:t>
      </w:r>
      <w:r>
        <w:rPr>
          <w:rFonts w:ascii="Times New Roman" w:cs="Times New Roman" w:eastAsia="Times New Roman" w:hAnsi="Times New Roman"/>
          <w:sz w:val="19"/>
          <w:szCs w:val="19"/>
          <w:color w:val="auto"/>
        </w:rPr>
        <w:t xml:space="preserve"> for additional information. The change in fair value on these derivative instruments is recorded as change in fair value of derivative instruments, net in the consolidated statement of operations for the years ended December 31, 2023 and 2022.</w:t>
      </w: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9360"/>
          </w:cols>
          <w:pgMar w:left="1440" w:top="941" w:right="1440" w:bottom="353"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change in fair value of other derivative liabilities on the consolidated statements of operations for the years ended December 31,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99"/>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6"/>
          </w:tcPr>
          <w:p>
            <w:pPr>
              <w:jc w:val="right"/>
              <w:ind w:right="80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3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Location of (Loss) Gain Recognized in</w:t>
            </w:r>
          </w:p>
        </w:tc>
      </w:tr>
      <w:tr>
        <w:trPr>
          <w:trHeight w:val="186"/>
        </w:trPr>
        <w:tc>
          <w:tcPr>
            <w:tcW w:w="324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Derivative liability</w:t>
            </w: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3"/>
              <w:spacing w:after="0" w:line="186"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81"/>
              <w:spacing w:after="0" w:line="186"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tcBorders>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Operations from Derivatives</w:t>
            </w:r>
          </w:p>
        </w:tc>
      </w:tr>
      <w:tr>
        <w:trPr>
          <w:trHeight w:val="225"/>
        </w:trPr>
        <w:tc>
          <w:tcPr>
            <w:tcW w:w="32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Contingent liability payable to</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23"/>
        </w:trPr>
        <w:tc>
          <w:tcPr>
            <w:tcW w:w="32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7"/>
              </w:rPr>
              <w:t>non-controlling interest . . . . . . . . . . . .</w:t>
            </w:r>
          </w:p>
        </w:tc>
        <w:tc>
          <w:tcPr>
            <w:tcW w:w="4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4,365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60"/>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Put option to Meteora . . . . . . . . . . . . . . .</w:t>
            </w:r>
          </w:p>
        </w:tc>
        <w:tc>
          <w:tcPr>
            <w:tcW w:w="2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260"/>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Sponsor Earnout Awards . . . . . . . . . . . . .</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260"/>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OPAL Earnout Awards . . . . . . . . . . . . . .</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260"/>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Public and Private Warrants . . . . . . . . . .</w:t>
            </w:r>
          </w:p>
        </w:tc>
        <w:tc>
          <w:tcPr>
            <w:tcW w:w="2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(9,027)</w:t>
            </w:r>
          </w:p>
        </w:tc>
        <w:tc>
          <w:tcPr>
            <w:tcW w:w="6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Change in fair value of derivative</w:t>
            </w:r>
          </w:p>
        </w:tc>
      </w:tr>
      <w:tr>
        <w:trPr>
          <w:trHeight w:val="215"/>
        </w:trPr>
        <w:tc>
          <w:tcPr>
            <w:tcW w:w="3240" w:type="dxa"/>
            <w:vAlign w:val="bottom"/>
          </w:tcPr>
          <w:p>
            <w:pPr>
              <w:spacing w:after="0"/>
              <w:rPr>
                <w:sz w:val="18"/>
                <w:szCs w:val="18"/>
                <w:color w:val="auto"/>
              </w:rPr>
            </w:pPr>
          </w:p>
        </w:tc>
        <w:tc>
          <w:tcPr>
            <w:tcW w:w="40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6,579</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32,583</w:t>
            </w:r>
          </w:p>
        </w:tc>
        <w:tc>
          <w:tcPr>
            <w:tcW w:w="120" w:type="dxa"/>
            <w:vAlign w:val="bottom"/>
          </w:tcPr>
          <w:p>
            <w:pPr>
              <w:spacing w:after="0"/>
              <w:rPr>
                <w:sz w:val="18"/>
                <w:szCs w:val="18"/>
                <w:color w:val="auto"/>
              </w:rPr>
            </w:pPr>
          </w:p>
        </w:tc>
        <w:tc>
          <w:tcPr>
            <w:tcW w:w="3280" w:type="dxa"/>
            <w:vAlign w:val="bottom"/>
            <w:gridSpan w:val="2"/>
          </w:tcPr>
          <w:p>
            <w:pPr>
              <w:ind w:left="60"/>
              <w:spacing w:after="0" w:line="215" w:lineRule="exact"/>
              <w:rPr>
                <w:sz w:val="20"/>
                <w:szCs w:val="20"/>
                <w:color w:val="auto"/>
              </w:rPr>
            </w:pPr>
            <w:r>
              <w:rPr>
                <w:rFonts w:ascii="Times New Roman" w:cs="Times New Roman" w:eastAsia="Times New Roman" w:hAnsi="Times New Roman"/>
                <w:sz w:val="20"/>
                <w:szCs w:val="20"/>
                <w:color w:val="auto"/>
              </w:rPr>
              <w:t>instruments, net</w:t>
            </w:r>
          </w:p>
        </w:tc>
      </w:tr>
      <w:tr>
        <w:trPr>
          <w:trHeight w:val="20"/>
        </w:trPr>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carrying value of the Company’s long-term debt of $196,542 and $88,312 as of December 31, 2023 and December 31, 2022, respectively, represents the total amount to be repaid if the debt has to be discharged in full and therefore approximates its fair value.</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The Company follows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regarding fair value measurements which establishes a three-tier fair value hierarchy and prioritizes the inputs used in valuation techniques that measure fair value. These tiers include: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 — defined as observable inputs such as quoted prices for identical instruments in active markets;</w:t>
      </w:r>
    </w:p>
    <w:p>
      <w:pPr>
        <w:spacing w:after="0" w:line="177" w:lineRule="exact"/>
        <w:rPr>
          <w:sz w:val="20"/>
          <w:szCs w:val="20"/>
          <w:color w:val="auto"/>
        </w:rPr>
      </w:pPr>
    </w:p>
    <w:p>
      <w:pPr>
        <w:jc w:val="both"/>
        <w:ind w:left="1380" w:hanging="899"/>
        <w:spacing w:after="0" w:line="246" w:lineRule="auto"/>
        <w:rPr>
          <w:sz w:val="20"/>
          <w:szCs w:val="20"/>
          <w:color w:val="auto"/>
        </w:rPr>
      </w:pPr>
      <w:r>
        <w:rPr>
          <w:rFonts w:ascii="Times New Roman" w:cs="Times New Roman" w:eastAsia="Times New Roman" w:hAnsi="Times New Roman"/>
          <w:sz w:val="20"/>
          <w:szCs w:val="20"/>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73" w:lineRule="exact"/>
        <w:rPr>
          <w:sz w:val="20"/>
          <w:szCs w:val="20"/>
          <w:color w:val="auto"/>
        </w:rPr>
      </w:pPr>
    </w:p>
    <w:p>
      <w:pPr>
        <w:jc w:val="both"/>
        <w:ind w:left="1380" w:hanging="899"/>
        <w:spacing w:after="0" w:line="243" w:lineRule="auto"/>
        <w:rPr>
          <w:sz w:val="20"/>
          <w:szCs w:val="20"/>
          <w:color w:val="auto"/>
        </w:rPr>
      </w:pPr>
      <w:r>
        <w:rPr>
          <w:rFonts w:ascii="Times New Roman" w:cs="Times New Roman" w:eastAsia="Times New Roman" w:hAnsi="Times New Roman"/>
          <w:sz w:val="20"/>
          <w:szCs w:val="20"/>
          <w:color w:val="auto"/>
        </w:rPr>
        <w:t>Level 3 — defined as unobservable inputs in which little or no market data exists, therefore requiring an entity to develop its own assumptions.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9360"/>
          </w:cols>
          <w:pgMar w:left="1440" w:top="941" w:right="1440" w:bottom="353"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accounted for the Convertible Note Payable at fair value at each reporting period. As of December 31, 2023, the Convertible Note Payable was repaid in full. As of December 31, 2022, the Company recorded the Convertible Note Payable at par plus accrued interest as it is payable on demand by either party and therefore represents fair value.</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Sponsor Earnout Awards as of December 31, 2023 resulted in a gain of $1,890 due to decrease in stock price which was determined using a Monte Carlo valuation model with a distribution of potential outcomes on a daily basis over the five year post-close period. Assumptions used in the valuation are as follows:</w:t>
      </w:r>
    </w:p>
    <w:p>
      <w:pPr>
        <w:spacing w:after="0" w:line="166" w:lineRule="exact"/>
        <w:rPr>
          <w:sz w:val="20"/>
          <w:szCs w:val="20"/>
          <w:color w:val="auto"/>
        </w:rPr>
      </w:pPr>
    </w:p>
    <w:p>
      <w:pPr>
        <w:ind w:left="960" w:hanging="480"/>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stock price — The Company’s closing stock price of $5.52 as of December 31, 2023;</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 — 55% based on historical and implied volatilities of selected industry peers deemed to be comparable to our business corresponding to the expected term of the awards;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4.0% based on the U.S. Treasury yield curve in effect at the time of issuance for zero-coupon U.S. Treasury notes with maturities corresponding to the expected 3.5 year term of the earnout period;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yield — zero.</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OPAL Earnout Awards as of December 31, 2023 was determined using a Monte Carlo valuation model with a distribution of potential outcomes for stock price and EBITDA over the 2-year period commencing on January 1, 2023 and ending on December 31, 2024.</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change in fair value of the OPAL Earnout Awards for the year ended December 31, 2023 resulted in a gain of $5,000 due to decrease in the EBITDA projections over the remaining 1-year period. Assumptions used in the valuation are as follows:</w:t>
      </w:r>
    </w:p>
    <w:p>
      <w:pPr>
        <w:spacing w:after="0" w:line="166" w:lineRule="exact"/>
        <w:rPr>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stock price — The Company’s closing stock price of $5.52 as of December 31, 2023;</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Weighted average cost of capital — 16% based on an average of historical volatilities of selected industry peers deemed to be comparable to our business.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 — 40% based on historical and implied volatilities of selected industry peers deemed to be comparable to our business corresponding to the expected term of the awards;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4.8% based on the U.S. Treasury yield curve in effect at the time of issuance for zero-coupon U.S. Treasury notes with maturities corresponding to the expected 1.0 year term of the earnout period;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yield — zero.</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9360"/>
          </w:cols>
          <w:pgMar w:left="1440" w:top="941" w:right="1440" w:bottom="353"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Company’s assets and liabilities that are measured at fair value on a recurring basis include the following as of December 31, 2023 and December 31, 2022, set forth by level, within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0"/>
                <w:szCs w:val="20"/>
                <w:color w:val="auto"/>
              </w:rPr>
            </w:pPr>
          </w:p>
        </w:tc>
        <w:tc>
          <w:tcPr>
            <w:tcW w:w="1000" w:type="dxa"/>
            <w:vAlign w:val="bottom"/>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Liabilities: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Asset retirement obligation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6,728</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w:t>
            </w:r>
          </w:p>
        </w:tc>
        <w:tc>
          <w:tcPr>
            <w:tcW w:w="0" w:type="dxa"/>
            <w:vAlign w:val="bottom"/>
          </w:tcPr>
          <w:p>
            <w:pPr>
              <w:spacing w:after="0"/>
              <w:rPr>
                <w:sz w:val="1"/>
                <w:szCs w:val="1"/>
                <w:color w:val="auto"/>
              </w:rPr>
            </w:pPr>
          </w:p>
        </w:tc>
      </w:tr>
      <w:tr>
        <w:trPr>
          <w:trHeight w:val="260"/>
        </w:trPr>
        <w:tc>
          <w:tcPr>
            <w:tcW w:w="3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Earnout liabilities . . . . . . .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0" w:type="dxa"/>
            <w:vAlign w:val="bottom"/>
          </w:tcPr>
          <w:p>
            <w:pPr>
              <w:spacing w:after="0"/>
              <w:rPr>
                <w:sz w:val="1"/>
                <w:szCs w:val="1"/>
                <w:color w:val="auto"/>
              </w:rPr>
            </w:pPr>
          </w:p>
        </w:tc>
      </w:tr>
      <w:tr>
        <w:trPr>
          <w:trHeight w:val="260"/>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Cash and cash equivalents and</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460"/>
              <w:spacing w:after="0" w:line="220" w:lineRule="exact"/>
              <w:rPr>
                <w:sz w:val="20"/>
                <w:szCs w:val="20"/>
                <w:color w:val="auto"/>
              </w:rPr>
            </w:pPr>
            <w:r>
              <w:rPr>
                <w:rFonts w:ascii="Times New Roman" w:cs="Times New Roman" w:eastAsia="Times New Roman" w:hAnsi="Times New Roman"/>
                <w:sz w:val="20"/>
                <w:szCs w:val="20"/>
                <w:color w:val="auto"/>
              </w:rPr>
              <w:t>restricted cash – current and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660" w:type="dxa"/>
            <w:vAlign w:val="bottom"/>
          </w:tcPr>
          <w:p>
            <w:pPr>
              <w:ind w:left="460"/>
              <w:spacing w:after="0" w:line="259" w:lineRule="exact"/>
              <w:rPr>
                <w:sz w:val="20"/>
                <w:szCs w:val="20"/>
                <w:color w:val="auto"/>
              </w:rPr>
            </w:pPr>
            <w:r>
              <w:rPr>
                <w:rFonts w:ascii="Times New Roman" w:cs="Times New Roman" w:eastAsia="Times New Roman" w:hAnsi="Times New Roman"/>
                <w:sz w:val="20"/>
                <w:szCs w:val="20"/>
                <w:color w:val="auto"/>
              </w:rPr>
              <w:t>non-current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w:t>
            </w:r>
          </w:p>
        </w:tc>
        <w:tc>
          <w:tcPr>
            <w:tcW w:w="220" w:type="dxa"/>
            <w:vAlign w:val="bottom"/>
          </w:tcPr>
          <w:p>
            <w:pPr>
              <w:spacing w:after="0"/>
              <w:rPr>
                <w:sz w:val="22"/>
                <w:szCs w:val="22"/>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47,242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47,242</w:t>
            </w:r>
          </w:p>
        </w:tc>
        <w:tc>
          <w:tcPr>
            <w:tcW w:w="0" w:type="dxa"/>
            <w:vAlign w:val="bottom"/>
          </w:tcPr>
          <w:p>
            <w:pPr>
              <w:spacing w:after="0"/>
              <w:rPr>
                <w:sz w:val="1"/>
                <w:szCs w:val="1"/>
                <w:color w:val="auto"/>
              </w:rPr>
            </w:pPr>
          </w:p>
        </w:tc>
      </w:tr>
      <w:tr>
        <w:trPr>
          <w:trHeight w:val="223"/>
        </w:trPr>
        <w:tc>
          <w:tcPr>
            <w:tcW w:w="366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Short term investments . . . . . . . . . . . . . .</w:t>
            </w: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9,875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9,875</w:t>
            </w:r>
          </w:p>
        </w:tc>
        <w:tc>
          <w:tcPr>
            <w:tcW w:w="0" w:type="dxa"/>
            <w:vAlign w:val="bottom"/>
          </w:tcPr>
          <w:p>
            <w:pPr>
              <w:spacing w:after="0"/>
              <w:rPr>
                <w:sz w:val="1"/>
                <w:szCs w:val="1"/>
                <w:color w:val="auto"/>
              </w:rPr>
            </w:pPr>
          </w:p>
        </w:tc>
      </w:tr>
      <w:tr>
        <w:trPr>
          <w:trHeight w:val="260"/>
        </w:trPr>
        <w:tc>
          <w:tcPr>
            <w:tcW w:w="3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Commodity swap contracts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0" w:type="dxa"/>
            <w:vAlign w:val="bottom"/>
          </w:tcPr>
          <w:p>
            <w:pPr>
              <w:spacing w:after="0"/>
              <w:rPr>
                <w:sz w:val="1"/>
                <w:szCs w:val="1"/>
                <w:color w:val="auto"/>
              </w:rPr>
            </w:pPr>
          </w:p>
        </w:tc>
      </w:tr>
      <w:tr>
        <w:trPr>
          <w:trHeight w:val="489"/>
        </w:trPr>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6,256</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6,256</w:t>
            </w: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Convertible Note Payable .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Put option with Meteora . .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Earnout liabilities . . . . . . .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0" w:type="dxa"/>
            <w:vAlign w:val="bottom"/>
          </w:tcPr>
          <w:p>
            <w:pPr>
              <w:spacing w:after="0"/>
              <w:rPr>
                <w:sz w:val="1"/>
                <w:szCs w:val="1"/>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and</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restricted cash – current and</w:t>
            </w: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77,221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77,221</w:t>
            </w:r>
          </w:p>
        </w:tc>
        <w:tc>
          <w:tcPr>
            <w:tcW w:w="0" w:type="dxa"/>
            <w:vAlign w:val="bottom"/>
          </w:tcPr>
          <w:p>
            <w:pPr>
              <w:spacing w:after="0"/>
              <w:rPr>
                <w:sz w:val="1"/>
                <w:szCs w:val="1"/>
                <w:color w:val="auto"/>
              </w:rPr>
            </w:pPr>
          </w:p>
        </w:tc>
      </w:tr>
      <w:tr>
        <w:trPr>
          <w:trHeight w:val="260"/>
        </w:trPr>
        <w:tc>
          <w:tcPr>
            <w:tcW w:w="3660" w:type="dxa"/>
            <w:vAlign w:val="bottom"/>
          </w:tcPr>
          <w:p>
            <w:pPr>
              <w:ind w:left="400"/>
              <w:spacing w:after="0" w:line="259" w:lineRule="exact"/>
              <w:rPr>
                <w:sz w:val="20"/>
                <w:szCs w:val="20"/>
                <w:color w:val="auto"/>
              </w:rPr>
            </w:pPr>
            <w:r>
              <w:rPr>
                <w:rFonts w:ascii="Times New Roman" w:cs="Times New Roman" w:eastAsia="Times New Roman" w:hAnsi="Times New Roman"/>
                <w:sz w:val="20"/>
                <w:szCs w:val="20"/>
                <w:color w:val="auto"/>
              </w:rPr>
              <w:t>non-current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w:t>
            </w: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Short term investments . . . . . . . . . . . . . .</w:t>
            </w: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64,976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64,976</w:t>
            </w: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Swaption . . . . . . . . . . . . . .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182</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 . . . . . . . . . . . . . . . . . .</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balances in money market accounts of $31,965 and $6,769, respectively as of December 31, 2023 and 2022.</w:t>
      </w:r>
    </w:p>
    <w:p>
      <w:pPr>
        <w:spacing w:after="0" w:line="18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 summary of changes in the fair values of the Company’s Level 3 instruments, attributable to asset retirement obligations, for the year ended December 31, 2023 is included in Note 2. </w:t>
      </w:r>
      <w:r>
        <w:rPr>
          <w:rFonts w:ascii="Times New Roman" w:cs="Times New Roman" w:eastAsia="Times New Roman" w:hAnsi="Times New Roman"/>
          <w:sz w:val="20"/>
          <w:szCs w:val="20"/>
          <w:i w:val="1"/>
          <w:iCs w:val="1"/>
          <w:color w:val="auto"/>
        </w:rPr>
        <w:t>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Policies</w:t>
      </w:r>
      <w:r>
        <w:rPr>
          <w:rFonts w:ascii="Times New Roman" w:cs="Times New Roman" w:eastAsia="Times New Roman" w:hAnsi="Times New Roman"/>
          <w:sz w:val="20"/>
          <w:szCs w:val="20"/>
          <w:color w:val="auto"/>
        </w:rPr>
        <w:t>.</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9360"/>
          </w:cols>
          <w:pgMar w:left="1440" w:top="941" w:right="1440" w:bottom="353" w:gutter="0" w:footer="0" w:header="0"/>
          <w:type w:val="continuous"/>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Related Parties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Related parties are represented by Fortistar and other affiliates, subsidiaries and entities under common control with Fortistar or NextEra.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 of non-controlling interests to Related Parties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$2,590 and $2,526 for the years ended December 31, 2023 and 2022, respectively. Please see Note 13. </w:t>
      </w:r>
      <w:r>
        <w:rPr>
          <w:rFonts w:ascii="Times New Roman" w:cs="Times New Roman" w:eastAsia="Times New Roman" w:hAnsi="Times New Roman"/>
          <w:sz w:val="20"/>
          <w:szCs w:val="20"/>
          <w:i w:val="1"/>
          <w:iCs w:val="1"/>
          <w:color w:val="auto"/>
        </w:rPr>
        <w:t>Redeemable non-controlling interests, Redeemable preferred non-controlling interests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Stockholders’ Equity, </w:t>
      </w:r>
      <w:r>
        <w:rPr>
          <w:rFonts w:ascii="Times New Roman" w:cs="Times New Roman" w:eastAsia="Times New Roman" w:hAnsi="Times New Roman"/>
          <w:sz w:val="20"/>
          <w:szCs w:val="20"/>
          <w:color w:val="auto"/>
        </w:rPr>
        <w:t>for additional information. As of December 31, 2023 and 2022, there was accrued preferred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 payable of $604 and $2,526,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Redeemable preferred non-controlling interests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 of $8,421 and $5,406 for the years ended December 31, 2023 and 2022 respectively. As of December 31, 2023 and 2022, there was accrued preferred dividend payable of $2,013 and $5,406, respectively. Please see Note 13. </w:t>
      </w:r>
      <w:r>
        <w:rPr>
          <w:rFonts w:ascii="Times New Roman" w:cs="Times New Roman" w:eastAsia="Times New Roman" w:hAnsi="Times New Roman"/>
          <w:sz w:val="20"/>
          <w:szCs w:val="20"/>
          <w:i w:val="1"/>
          <w:iCs w:val="1"/>
          <w:color w:val="auto"/>
        </w:rPr>
        <w:t>Redeemable non-controlling interests, Redeemable preferred non-controlling interests and Stockholders’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Equity, </w:t>
      </w:r>
      <w:r>
        <w:rPr>
          <w:rFonts w:ascii="Times New Roman" w:cs="Times New Roman" w:eastAsia="Times New Roman" w:hAnsi="Times New Roman"/>
          <w:sz w:val="20"/>
          <w:szCs w:val="20"/>
          <w:color w:val="auto"/>
        </w:rPr>
        <w:t>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and sale agreement for environmental attributes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years ended December 31, 2023 and 2022, the Company earned net revenues after discount and fees of $84,537 and $76,920, respectively under this contract which was recorded as part of Revenues — RNG fuel and Fuel Station Services. Please see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for additional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Commodity swap contracts under ISDA and REC sales contracts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entered into an ISDA agreement with NextEra in November 2019. Pursuant to the agreement, the Company entered into commodity swap contracts on a periodic basis. As of December 31, 2023 and 2022, there were three commodity swap contracts outstanding. The Company records the realized and unrealized gain (loss) on these commodity swap contracts as part of Revenues — Renewable Power. Please see Note 9. </w:t>
      </w:r>
      <w:r>
        <w:rPr>
          <w:rFonts w:ascii="Times New Roman" w:cs="Times New Roman" w:eastAsia="Times New Roman" w:hAnsi="Times New Roman"/>
          <w:sz w:val="20"/>
          <w:szCs w:val="20"/>
          <w:i w:val="1"/>
          <w:iCs w:val="1"/>
          <w:color w:val="auto"/>
        </w:rPr>
        <w:t>Derivative Instruments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Fair Value Measurements </w:t>
      </w:r>
      <w:r>
        <w:rPr>
          <w:rFonts w:ascii="Times New Roman" w:cs="Times New Roman" w:eastAsia="Times New Roman" w:hAnsi="Times New Roman"/>
          <w:sz w:val="20"/>
          <w:szCs w:val="20"/>
          <w:color w:val="auto"/>
        </w:rPr>
        <w:t>for additional information. Additionally, the Company has contracts to sell RECs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capacity to NextEra on multiple Renewable Power facilities at market price. The Company recorded $6,614 and $5,495 as revenues earned under these contracts.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of investments from Related Parties</w:t>
      </w:r>
    </w:p>
    <w:p>
      <w:pPr>
        <w:spacing w:after="0" w:line="177" w:lineRule="exact"/>
        <w:rPr>
          <w:sz w:val="20"/>
          <w:szCs w:val="20"/>
          <w:color w:val="auto"/>
        </w:rPr>
      </w:pPr>
    </w:p>
    <w:p>
      <w:pPr>
        <w:jc w:val="both"/>
        <w:ind w:right="20" w:firstLine="480"/>
        <w:spacing w:after="0" w:line="265" w:lineRule="auto"/>
        <w:rPr>
          <w:sz w:val="20"/>
          <w:szCs w:val="20"/>
          <w:color w:val="auto"/>
        </w:rPr>
      </w:pPr>
      <w:r>
        <w:rPr>
          <w:rFonts w:ascii="Times New Roman" w:cs="Times New Roman" w:eastAsia="Times New Roman" w:hAnsi="Times New Roman"/>
          <w:sz w:val="19"/>
          <w:szCs w:val="19"/>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w:t>
      </w:r>
    </w:p>
    <w:p>
      <w:pPr>
        <w:sectPr>
          <w:pgSz w:w="12240" w:h="15840" w:orient="portrait"/>
          <w:cols w:equalWidth="0" w:num="1">
            <w:col w:w="9380"/>
          </w:cols>
          <w:pgMar w:left="1440" w:top="941"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9380"/>
          </w:cols>
          <w:pgMar w:left="1440" w:top="941" w:right="1420" w:bottom="353"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an affiliate under common control. The Company accounts for its 20% equity investment in GREP under the equity method. The Company recorded $(1,212) and $2,302 as its share of net (loss) income for the years ended December 31, 2023 and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contracts with Related Parties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Company’s wholly owned subsidiary, OPAL Fuel Station Services contracted with Pine Bend in December 2020, Noble Road in March 2021, Emerald in December 2021 to provide the same services. Additionally, OPAL Fuel Station Services provides the same services to all wholly-owned subsidiaries of the Company. The revenues earned from these entities are fully eliminated in the consolidated financial statements.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and Emerald in the third quarter of 2023. For the years ended December 31, 2023 and 2022, the Company earned environmental processing fees of $2,615 and $709, net of inter segment elimination under this agreement which are included in Fuel Station Services revenues in the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 agreements with Related Parties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with an auto renewal option on an annual basis, unless either party chooses to terminate with a written notice of 180 days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2023 and 2022, there have been no material services provided by the Company’s employees to Fortistar.</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October 5, 2023, Ms. Ann Anthony gave notice of her intention to resign as Chief Financial Officer (“CFO”) of the Company. On October 10, 2023, the board of directors of the Company appointed Mr. Scott Contino as Interim CFO. Mr.Contino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$50,000, on a cumulative basis. For the year ended December 31, 2023, the Company paid $128 which is included in Selling, general and administrative expenses in the consolidated statement of operations.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9360"/>
          </w:cols>
          <w:pgMar w:left="1440" w:top="942" w:right="1440" w:bottom="353"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various fees recorded under the agreements described above which are included in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682"/>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Staffing and management services . . . . . . . . . . . .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2,154</w:t>
            </w:r>
          </w:p>
        </w:tc>
      </w:tr>
      <w:tr>
        <w:trPr>
          <w:trHeight w:val="26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Rent – fixed compensation . . . . . . . . . . . . . . . . . . . . . . . . . . . . . . . . . . . . . . . . . . .</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r>
      <w:tr>
        <w:trPr>
          <w:trHeight w:val="261"/>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IT services . . . . . . . . . . . . . . . . . . . . . . . . . . . . . . . . . . . . . . . . . . . . . . . . . . . . . . . .</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2,954</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w:t>
            </w:r>
          </w:p>
        </w:tc>
      </w:tr>
      <w:tr>
        <w:trPr>
          <w:trHeight w:val="24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4,963</w:t>
            </w: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various balances for related parties included in our consolidated balance sheets as of December 31, 2023 and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6"/>
        </w:trPr>
        <w:tc>
          <w:tcPr>
            <w:tcW w:w="3620" w:type="dxa"/>
            <w:vAlign w:val="bottom"/>
          </w:tcPr>
          <w:p>
            <w:pPr>
              <w:spacing w:after="0"/>
              <w:rPr>
                <w:sz w:val="17"/>
                <w:szCs w:val="17"/>
                <w:color w:val="auto"/>
              </w:rPr>
            </w:pPr>
          </w:p>
        </w:tc>
        <w:tc>
          <w:tcPr>
            <w:tcW w:w="2820" w:type="dxa"/>
            <w:vAlign w:val="bottom"/>
            <w:tcBorders>
              <w:bottom w:val="single" w:sz="8" w:color="auto"/>
            </w:tcBorders>
          </w:tcPr>
          <w:p>
            <w:pPr>
              <w:ind w:left="420"/>
              <w:spacing w:after="0" w:line="198" w:lineRule="exact"/>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48"/>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Trade AR – NextEra . . . . . . . . . . . . . . . . . .</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related party</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18,696</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12,421</w:t>
            </w:r>
          </w:p>
        </w:tc>
      </w:tr>
      <w:tr>
        <w:trPr>
          <w:trHeight w:val="24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Payables to equity method investment</w:t>
            </w:r>
          </w:p>
        </w:tc>
        <w:tc>
          <w:tcPr>
            <w:tcW w:w="2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3"/>
        </w:trPr>
        <w:tc>
          <w:tcPr>
            <w:tcW w:w="3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entities . . . . . . . . . . . . . . . . . . . . . . . . . . .</w:t>
            </w:r>
          </w:p>
        </w:tc>
        <w:tc>
          <w:tcPr>
            <w:tcW w:w="28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Accounts payable, related party</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5,692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5,030</w:t>
            </w:r>
          </w:p>
        </w:tc>
      </w:tr>
      <w:tr>
        <w:trPr>
          <w:trHeight w:val="26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NextEra . . . . . . . . . . . . . . . . . . . . . . . . . . . .</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related party</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Staffing and management services –</w:t>
            </w:r>
          </w:p>
        </w:tc>
        <w:tc>
          <w:tcPr>
            <w:tcW w:w="2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3"/>
        </w:trPr>
        <w:tc>
          <w:tcPr>
            <w:tcW w:w="3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Fortistar . . . . . . . . . . . . . . . . . . . . . . . . . .</w:t>
            </w:r>
          </w:p>
        </w:tc>
        <w:tc>
          <w:tcPr>
            <w:tcW w:w="28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Accounts payable, related party</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677</w:t>
            </w:r>
          </w:p>
        </w:tc>
      </w:tr>
      <w:tr>
        <w:trPr>
          <w:trHeight w:val="26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IT services – Costar . . . . . . . . . . . . . . . . . .</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related party</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41"/>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 related party . . . . . . . . . .</w:t>
            </w:r>
          </w:p>
        </w:tc>
        <w:tc>
          <w:tcPr>
            <w:tcW w:w="282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6,376</w:t>
            </w:r>
          </w:p>
        </w:tc>
      </w:tr>
      <w:tr>
        <w:trPr>
          <w:trHeight w:val="20"/>
        </w:trPr>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Reportable Segments and Geographic Information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is organized into four operating segments based on the characteristics of its renewable power generation, dispensing portfolio, and the nature of other products and services. During the first quarter of 2023, the Company changed its internal reporting to its Chief Operating Decision Makers to change the composition of revenues included in our reportable segments. The internal reporting was changed to provide more visibility into our RNG fuel production and operations and to align fuel dispensing revenues with construction and service of fuel dispensing stations. Additionally, the Company changed its internal reporting to report revenues from RECs and ISCC Carbon Credits from RNG Fuel to Renewable Power segment during the third quarter of 2023. This is primarily to reflect a strategic business change to identify all revenues earned from environmental attributes generated from Renewable Power facilities in the same segment.</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Therefore, the Company reclassified the revenues and the corresponding cost of sales for CNG tolling business which were previously presented as part of Revenues — RNG Fuel and Cost of sales — RNG Fuel to Revenues — Fuel station services and Cost of sales — Fuel station services, respectively. The Company reclassified revenues earned from sale of RECs and ISCC Carbon Credits from Revenues — RNG Fuel to Revenues — Renewable Power. The Company also adjusted the revenues and cost of sales for the prior year period presented for comparison purposes.</w:t>
      </w:r>
    </w:p>
    <w:p>
      <w:pPr>
        <w:spacing w:after="0" w:line="15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and 2022, the Company classified revenues from fuel dispensing business of $64,504 and $48,175, respectively, as part of Revenues — Fuel station services.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years ended December 31, 2023 and 2022, the Company classified revenues from the sale of environmental attributes generated from Renewable Power facilities of $20,124 and $5,498, respectively, as part of Revenues — Renewable Power.</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F-48</w:t>
      </w:r>
    </w:p>
    <w:p>
      <w:pPr>
        <w:sectPr>
          <w:pgSz w:w="12240" w:h="15840" w:orient="portrait"/>
          <w:cols w:equalWidth="0" w:num="1">
            <w:col w:w="9360"/>
          </w:cols>
          <w:pgMar w:left="1440" w:top="942" w:right="1440" w:bottom="353"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and 2022, the Company classified cost of sales related to the fuel dispensing business of $51,032 and $37,331, respectively as part of Cost of sales — Fuel station services.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71" w:lineRule="exact"/>
        <w:rPr>
          <w:sz w:val="20"/>
          <w:szCs w:val="20"/>
          <w:color w:val="auto"/>
        </w:rPr>
      </w:pPr>
    </w:p>
    <w:p>
      <w:pPr>
        <w:ind w:left="960" w:hanging="480"/>
        <w:spacing w:after="0" w:line="244" w:lineRule="auto"/>
        <w:tabs>
          <w:tab w:leader="none" w:pos="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relates to all RNG supply directly related to the generation and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brown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and construction — RNG facilities in which long term gas right contracts have been, or are in the process of being ratified and the construction of RNG generation facilities.</w:t>
      </w:r>
    </w:p>
    <w:p>
      <w:pPr>
        <w:spacing w:after="0" w:line="174"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supply operating facilities — This includes the generation, extraction, and sale of RNG — plus associated RINs and LCFSs from landfills.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2023 and 2022, the Company has accounted for its interests in Pine Bend, Reynolds Noble Road, GREP, Paragon and SJI under the equity method of accounting and the results of operations of Beacon, New River, Polk County, Cottonwood, Central Valley, Prince William and Sunoma were consolidated in its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period between May 30, 2023 and December 31, 2023.</w:t>
      </w:r>
    </w:p>
    <w:p>
      <w:pPr>
        <w:spacing w:after="0" w:line="17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2023, Central Valley, Prince William, Polk County, Cottonwood and Sapphire are not operational. Sunoma became operational in December 2021, Noble Road in January 2022, New River in April 2022 and Pine Bend in September 2022. Emerald began commercial operations in the third quarter of 2023.</w:t>
      </w:r>
    </w:p>
    <w:p>
      <w:pPr>
        <w:spacing w:after="0" w:line="171" w:lineRule="exact"/>
        <w:rPr>
          <w:sz w:val="20"/>
          <w:szCs w:val="20"/>
          <w:color w:val="auto"/>
        </w:rPr>
      </w:pPr>
    </w:p>
    <w:p>
      <w:pPr>
        <w:jc w:val="both"/>
        <w:ind w:left="960" w:hanging="480"/>
        <w:spacing w:after="0" w:line="247" w:lineRule="auto"/>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Through its Fuel Station Services segment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20"/>
          <w:szCs w:val="20"/>
          <w:color w:val="auto"/>
        </w:rPr>
        <w:t>he Company provides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maintenance services to third-party owners of vehicle Fueling Stations and performs fuel dispensing activities including generation and minting of environmental credits. This segment includes:</w:t>
      </w:r>
    </w:p>
    <w:p>
      <w:pPr>
        <w:spacing w:after="0" w:line="171"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sites and a manufacturing division that builds Compact Fueling Systems and Defueling systems.</w:t>
      </w:r>
    </w:p>
    <w:p>
      <w:pPr>
        <w:spacing w:after="0" w:line="174"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Party CNG Construction of Fueling Stations — design/build and serve as general contractor for typically Guarantee Maximum Price or fixed priced contracts for customers usually lasting less than one year.</w:t>
      </w:r>
    </w:p>
    <w:p>
      <w:pPr>
        <w:spacing w:after="0" w:line="172" w:lineRule="exact"/>
        <w:rPr>
          <w:rFonts w:ascii="Times New Roman" w:cs="Times New Roman" w:eastAsia="Times New Roman" w:hAnsi="Times New Roman"/>
          <w:sz w:val="20"/>
          <w:szCs w:val="20"/>
          <w:color w:val="auto"/>
        </w:rPr>
      </w:pPr>
    </w:p>
    <w:p>
      <w:pPr>
        <w:jc w:val="both"/>
        <w:ind w:left="1440" w:hanging="480"/>
        <w:spacing w:after="0" w:line="248"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47" w:lineRule="auto"/>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Portfolio. </w:t>
      </w:r>
      <w:r>
        <w:rPr>
          <w:rFonts w:ascii="Times New Roman" w:cs="Times New Roman" w:eastAsia="Times New Roman" w:hAnsi="Times New Roman"/>
          <w:sz w:val="20"/>
          <w:szCs w:val="20"/>
          <w:color w:val="auto"/>
        </w:rPr>
        <w:t>The Renewable Power portfolio segment generates renewable power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associated environmental credits through methane-rich landfills which is then sold to public utilities throughout the United States. The Renewable Power portfolio operates primarily in Southern California.</w:t>
      </w:r>
    </w:p>
    <w:p>
      <w:pPr>
        <w:spacing w:after="0" w:line="169" w:lineRule="exact"/>
        <w:rPr>
          <w:rFonts w:ascii="Times New Roman" w:cs="Times New Roman" w:eastAsia="Times New Roman" w:hAnsi="Times New Roman"/>
          <w:sz w:val="20"/>
          <w:szCs w:val="20"/>
          <w:color w:val="auto"/>
        </w:rPr>
      </w:pPr>
    </w:p>
    <w:p>
      <w:pPr>
        <w:ind w:left="960" w:hanging="480"/>
        <w:spacing w:after="0" w:line="244" w:lineRule="auto"/>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w:t>
      </w:r>
      <w:r>
        <w:rPr>
          <w:rFonts w:ascii="Times New Roman" w:cs="Times New Roman" w:eastAsia="Times New Roman" w:hAnsi="Times New Roman"/>
          <w:sz w:val="20"/>
          <w:szCs w:val="20"/>
          <w:color w:val="auto"/>
        </w:rPr>
        <w:t>This segment consists of activities managed and maintained at the Company corporate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primarily including but not limited to:</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accounting, finance, sales activities such as: payroll, stock compensation expense, travel and other related costs.</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professional fees (audit, tax, legal etc.).</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F-49</w:t>
      </w:r>
    </w:p>
    <w:p>
      <w:pPr>
        <w:sectPr>
          <w:pgSz w:w="12240" w:h="15840" w:orient="portrait"/>
          <w:cols w:equalWidth="0" w:num="1">
            <w:col w:w="9360"/>
          </w:cols>
          <w:pgMar w:left="1440" w:top="941" w:right="1440" w:bottom="353"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r>
      <w:tr>
        <w:trPr>
          <w:trHeight w:val="248"/>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54,804</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47,210</w:t>
            </w:r>
          </w:p>
        </w:tc>
        <w:tc>
          <w:tcPr>
            <w:tcW w:w="60" w:type="dxa"/>
            <w:vAlign w:val="bottom"/>
          </w:tcPr>
          <w:p>
            <w:pPr>
              <w:spacing w:after="0"/>
              <w:rPr>
                <w:sz w:val="22"/>
                <w:szCs w:val="22"/>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141,903</w:t>
            </w:r>
          </w:p>
        </w:tc>
        <w:tc>
          <w:tcPr>
            <w:tcW w:w="60" w:type="dxa"/>
            <w:vAlign w:val="bottom"/>
          </w:tcPr>
          <w:p>
            <w:pPr>
              <w:spacing w:after="0"/>
              <w:rPr>
                <w:sz w:val="22"/>
                <w:szCs w:val="22"/>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149,408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117,735</w:t>
            </w:r>
          </w:p>
        </w:tc>
        <w:tc>
          <w:tcPr>
            <w:tcW w:w="60" w:type="dxa"/>
            <w:vAlign w:val="bottom"/>
          </w:tcPr>
          <w:p>
            <w:pPr>
              <w:spacing w:after="0"/>
              <w:rPr>
                <w:sz w:val="22"/>
                <w:szCs w:val="22"/>
                <w:color w:val="auto"/>
              </w:rPr>
            </w:pPr>
          </w:p>
        </w:tc>
      </w:tr>
      <w:tr>
        <w:trPr>
          <w:trHeight w:val="297"/>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Other</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r>
      <w:tr>
        <w:trPr>
          <w:trHeight w:val="223"/>
        </w:trPr>
        <w:tc>
          <w:tcPr>
            <w:tcW w:w="6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Intersegment . .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(14,396)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(13,435)</w:t>
            </w:r>
          </w:p>
        </w:tc>
      </w:tr>
      <w:tr>
        <w:trPr>
          <w:trHeight w:val="261"/>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(50,074)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(58,013)</w:t>
            </w:r>
          </w:p>
        </w:tc>
      </w:tr>
      <w:tr>
        <w:trPr>
          <w:trHeight w:val="240"/>
        </w:trPr>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revenues of management fee revenues earned from operations and management of unconsolidated entities and Fortistar Contracting LLC.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3"/>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r>
      <w:tr>
        <w:trPr>
          <w:trHeight w:val="248"/>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Financing Expense, Net: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(5,261)</w:t>
            </w: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(9,324)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w:t>
            </w: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Corporate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w:t>
            </w:r>
          </w:p>
        </w:tc>
      </w:tr>
      <w:tr>
        <w:trPr>
          <w:trHeight w:val="261"/>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0"/>
        </w:trPr>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(9,306)</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(6,640)</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8"/>
        </w:trPr>
        <w:tc>
          <w:tcPr>
            <w:tcW w:w="8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3"/>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r>
      <w:tr>
        <w:trPr>
          <w:trHeight w:val="248"/>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Amortization, and Accretion:</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5,567</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5,696</w:t>
            </w:r>
          </w:p>
        </w:tc>
        <w:tc>
          <w:tcPr>
            <w:tcW w:w="60" w:type="dxa"/>
            <w:vAlign w:val="bottom"/>
          </w:tcPr>
          <w:p>
            <w:pPr>
              <w:spacing w:after="0"/>
              <w:rPr>
                <w:sz w:val="22"/>
                <w:szCs w:val="22"/>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8,542</w:t>
            </w:r>
          </w:p>
        </w:tc>
        <w:tc>
          <w:tcPr>
            <w:tcW w:w="60" w:type="dxa"/>
            <w:vAlign w:val="bottom"/>
          </w:tcPr>
          <w:p>
            <w:pPr>
              <w:spacing w:after="0"/>
              <w:rPr>
                <w:sz w:val="22"/>
                <w:szCs w:val="22"/>
                <w:color w:val="auto"/>
              </w:rPr>
            </w:pPr>
          </w:p>
        </w:tc>
      </w:tr>
      <w:tr>
        <w:trPr>
          <w:trHeight w:val="26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60" w:type="dxa"/>
            <w:vAlign w:val="bottom"/>
          </w:tcPr>
          <w:p>
            <w:pPr>
              <w:spacing w:after="0"/>
              <w:rPr>
                <w:sz w:val="22"/>
                <w:szCs w:val="22"/>
                <w:color w:val="auto"/>
              </w:rPr>
            </w:pPr>
          </w:p>
        </w:tc>
      </w:tr>
      <w:tr>
        <w:trPr>
          <w:trHeight w:val="297"/>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Other</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r>
      <w:tr>
        <w:trPr>
          <w:trHeight w:val="224"/>
        </w:trPr>
        <w:tc>
          <w:tcPr>
            <w:tcW w:w="6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(2,502)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(2,073)</w:t>
            </w:r>
          </w:p>
        </w:tc>
      </w:tr>
      <w:tr>
        <w:trPr>
          <w:trHeight w:val="240"/>
        </w:trPr>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14,565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amortization of intangible assets and depreciation expense not allocated to any segment.</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F-50</w:t>
      </w:r>
    </w:p>
    <w:p>
      <w:pPr>
        <w:sectPr>
          <w:pgSz w:w="12240" w:h="15840" w:orient="portrait"/>
          <w:cols w:equalWidth="0" w:num="1">
            <w:col w:w="9360"/>
          </w:cols>
          <w:pgMar w:left="1440" w:top="941" w:right="1440" w:bottom="353"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4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12,472</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4,681</w:t>
            </w:r>
          </w:p>
        </w:tc>
        <w:tc>
          <w:tcPr>
            <w:tcW w:w="60" w:type="dxa"/>
            <w:vAlign w:val="bottom"/>
          </w:tcPr>
          <w:p>
            <w:pPr>
              <w:spacing w:after="0"/>
              <w:rPr>
                <w:sz w:val="22"/>
                <w:szCs w:val="22"/>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26,330</w:t>
            </w:r>
          </w:p>
        </w:tc>
        <w:tc>
          <w:tcPr>
            <w:tcW w:w="60" w:type="dxa"/>
            <w:vAlign w:val="bottom"/>
          </w:tcPr>
          <w:p>
            <w:pPr>
              <w:spacing w:after="0"/>
              <w:rPr>
                <w:sz w:val="22"/>
                <w:szCs w:val="22"/>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17,908</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18,245</w:t>
            </w:r>
          </w:p>
        </w:tc>
        <w:tc>
          <w:tcPr>
            <w:tcW w:w="60" w:type="dxa"/>
            <w:vAlign w:val="bottom"/>
          </w:tcPr>
          <w:p>
            <w:pPr>
              <w:spacing w:after="0"/>
              <w:rPr>
                <w:sz w:val="22"/>
                <w:szCs w:val="22"/>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74,441</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(22,461)</w:t>
            </w:r>
          </w:p>
        </w:tc>
      </w:tr>
      <w:tr>
        <w:trPr>
          <w:trHeight w:val="261"/>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5,525</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60" w:type="dxa"/>
            <w:vAlign w:val="bottom"/>
          </w:tcPr>
          <w:p>
            <w:pPr>
              <w:spacing w:after="0"/>
              <w:rPr>
                <w:sz w:val="22"/>
                <w:szCs w:val="22"/>
                <w:color w:val="auto"/>
              </w:rPr>
            </w:pPr>
          </w:p>
        </w:tc>
      </w:tr>
      <w:tr>
        <w:trPr>
          <w:trHeight w:val="240"/>
        </w:trPr>
        <w:tc>
          <w:tcPr>
            <w:tcW w:w="6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8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8"/>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4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Purchases of Property, Plant, and Equipment: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60" w:type="dxa"/>
            <w:vAlign w:val="bottom"/>
          </w:tcPr>
          <w:p>
            <w:pPr>
              <w:spacing w:after="0"/>
              <w:rPr>
                <w:sz w:val="22"/>
                <w:szCs w:val="22"/>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17,182</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7,565</w:t>
            </w:r>
          </w:p>
        </w:tc>
        <w:tc>
          <w:tcPr>
            <w:tcW w:w="60" w:type="dxa"/>
            <w:vAlign w:val="bottom"/>
          </w:tcPr>
          <w:p>
            <w:pPr>
              <w:spacing w:after="0"/>
              <w:rPr>
                <w:sz w:val="22"/>
                <w:szCs w:val="22"/>
                <w:color w:val="auto"/>
              </w:rPr>
            </w:pPr>
          </w:p>
        </w:tc>
      </w:tr>
      <w:tr>
        <w:trPr>
          <w:trHeight w:val="261"/>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96,692</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121,844</w:t>
            </w:r>
          </w:p>
        </w:tc>
        <w:tc>
          <w:tcPr>
            <w:tcW w:w="60" w:type="dxa"/>
            <w:vAlign w:val="bottom"/>
          </w:tcPr>
          <w:p>
            <w:pPr>
              <w:spacing w:after="0"/>
              <w:rPr>
                <w:sz w:val="22"/>
                <w:szCs w:val="22"/>
                <w:color w:val="auto"/>
              </w:rPr>
            </w:pPr>
          </w:p>
        </w:tc>
      </w:tr>
      <w:tr>
        <w:trPr>
          <w:trHeight w:val="240"/>
        </w:trPr>
        <w:tc>
          <w:tcPr>
            <w:tcW w:w="644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113,874</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131,410</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1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December 31,</w:t>
      </w:r>
    </w:p>
    <w:p>
      <w:pPr>
        <w:jc w:val="center"/>
        <w:ind w:left="6640"/>
        <w:spacing w:after="0" w:line="231" w:lineRule="auto"/>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8001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390pt,1.1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p>
      <w:pPr>
        <w:jc w:val="center"/>
        <w:ind w:right="220"/>
        <w:spacing w:after="0" w:line="231" w:lineRule="auto"/>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-62865</wp:posOffset>
                </wp:positionH>
                <wp:positionV relativeFrom="paragraph">
                  <wp:posOffset>14605</wp:posOffset>
                </wp:positionV>
                <wp:extent cx="79946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99pt,1.15pt" to="58pt,1.15pt" o:allowincell="f" strokecolor="#000000" strokeweight="0.5pt"/>
            </w:pict>
          </mc:Fallback>
        </mc:AlternateContent>
      </w:r>
    </w:p>
    <w:p>
      <w:pPr>
        <w:spacing w:after="0" w:line="47" w:lineRule="exact"/>
        <w:rPr>
          <w:sz w:val="20"/>
          <w:szCs w:val="20"/>
          <w:color w:val="auto"/>
        </w:rPr>
      </w:pPr>
    </w:p>
    <w:p>
      <w:pPr>
        <w:sectPr>
          <w:pgSz w:w="12240" w:h="15840" w:orient="portrait"/>
          <w:cols w:equalWidth="0" w:num="2">
            <w:col w:w="7700" w:space="380"/>
            <w:col w:w="1280"/>
          </w:cols>
          <w:pgMar w:left="1440" w:top="941" w:right="1440" w:bottom="353"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37,479</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43,468</w:t>
            </w: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342,176</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376,933</w:t>
            </w: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152,625</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90,486</w:t>
            </w: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other . . . . . . . . . . . . . . . . . . . . . . . . . . . . . . . . . . . . . . . . . . . .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15,230</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82,204</w:t>
            </w:r>
          </w:p>
        </w:tc>
      </w:tr>
      <w:tr>
        <w:trPr>
          <w:trHeight w:val="261"/>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207,099</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51,765</w:t>
            </w:r>
          </w:p>
        </w:tc>
      </w:tr>
      <w:tr>
        <w:trPr>
          <w:trHeight w:val="240"/>
        </w:trPr>
        <w:tc>
          <w:tcPr>
            <w:tcW w:w="644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754,609</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644,856</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Geographic Information: The Company’s assets and revenue generating activities are domiciled in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Variable Interest Entities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F-51</w:t>
      </w:r>
    </w:p>
    <w:p>
      <w:pPr>
        <w:sectPr>
          <w:pgSz w:w="12240" w:h="15840" w:orient="portrait"/>
          <w:cols w:equalWidth="0" w:num="1">
            <w:col w:w="9360"/>
          </w:cols>
          <w:pgMar w:left="1440" w:top="941" w:right="1440" w:bottom="353"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Variable Interest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the Company held equity interests in seven VIEs — Sunoma, GREP, Emerald, Sapphire, Paragon, SJI Joint Venture (RNG Atlantic and RNG Burlington) and Central Valley. On May 30, 2023, the Company together with a third-party environmental solutions company formed Paragon. The Company owns 50% of ownership interest in Paragon. Concurrent with the formation of Paragon, the Company contributed its 50% ownership interests in Emerald and Sapphire to Paragon.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Upon the execution of the above the transaction, the Company reassessed its equity interests in Emerald and Sapphire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and determined that the Company does not have a controlling financial interest in Paragon under ASC 810 because the governance of the joint venture is driven by an independent board jointly controlled by the joint venture partner and OPAL equally and there are substantive participating rights held by the joint venture partner in the significant activities of Paragon.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Based on the above analysis, the Company determined that it should account for its ownership interests in Paragon under the equity method of accounting pursuant to ASC 323, </w:t>
      </w:r>
      <w:r>
        <w:rPr>
          <w:rFonts w:ascii="Times New Roman" w:cs="Times New Roman" w:eastAsia="Times New Roman" w:hAnsi="Times New Roman"/>
          <w:sz w:val="20"/>
          <w:szCs w:val="20"/>
          <w:i w:val="1"/>
          <w:iCs w:val="1"/>
          <w:color w:val="auto"/>
        </w:rPr>
        <w:t>Investments Equity Method and Joint Ventures</w:t>
      </w:r>
      <w:r>
        <w:rPr>
          <w:rFonts w:ascii="Times New Roman" w:cs="Times New Roman" w:eastAsia="Times New Roman" w:hAnsi="Times New Roman"/>
          <w:sz w:val="20"/>
          <w:szCs w:val="20"/>
          <w:color w:val="auto"/>
        </w:rPr>
        <w:t>, prospectively, as the Company has the ability to exercise significant influence, but not control over the joint venture company.</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Prior to May 30, 2023, the Company consolidated these two entities in accordance with the variable interest entity model guidance under ASC 810, Consolidation.</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September 14, 2023, OPAL L2G, a wholly-owned indirect subsidiary of the Company, entered into the Agreement with SJI LRNG, a wholly-owned indirect subsidiary of SJI, establishing the terms and conditions of governance and operation of the SJI Joint Venture. The purpose of the SJI Joint Venture, which is owned 50/50 by OPAL L2G and SJI LRNG, is to develop, construct, own and operate Facilities to produce RNG using biogas generated by certain landfills.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Upon the execution of the above transaction, the Company reassessed its equity interests in the SJI Joint Venture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December 31, 2023, the Company contributed $2,115 towards RNG Atlantic.</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GREP, Paragon and SJI were presented as equity method investments and the remaining two VIEs Sunoma and Central Valley are consolidated by the Company.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At December 31, 2022, GREP has been presented as an equity method investment and the remaining four VIEs Sunoma, Emerald, Sapphire, and Central Valley are consolidated by the Company.</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2023 and 2022.</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73" w:lineRule="exact"/>
        <w:rPr>
          <w:sz w:val="20"/>
          <w:szCs w:val="20"/>
          <w:color w:val="auto"/>
        </w:rPr>
      </w:pPr>
    </w:p>
    <w:p>
      <w:pPr>
        <w:jc w:val="both"/>
        <w:ind w:left="960" w:hanging="480"/>
        <w:spacing w:after="0" w:line="246" w:lineRule="auto"/>
        <w:tabs>
          <w:tab w:leader="none" w:pos="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as a managing member, has the power to order the activities that significantly impact the economic performance of the two entities including establishment of strategic, operating, and capital decisions for each of these entities; and</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the obligation to absorb the potential losses for the right to receive potential benefits, which could be significant to the VIE;</w:t>
      </w:r>
    </w:p>
    <w:p>
      <w:pPr>
        <w:sectPr>
          <w:pgSz w:w="12240" w:h="15840" w:orient="portrait"/>
          <w:cols w:equalWidth="0" w:num="1">
            <w:col w:w="9360"/>
          </w:cols>
          <w:pgMar w:left="1440" w:top="941" w:right="1440" w:bottom="353"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F-52</w:t>
      </w:r>
    </w:p>
    <w:p>
      <w:pPr>
        <w:sectPr>
          <w:pgSz w:w="12240" w:h="15840" w:orient="portrait"/>
          <w:cols w:equalWidth="0" w:num="1">
            <w:col w:w="9360"/>
          </w:cols>
          <w:pgMar w:left="1440" w:top="941" w:right="1440" w:bottom="353"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Variable Interest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major consolidated balance sheet items for consolidated VIEs as of December 31, 2023 and 2022. The information below is presented on an aggregate basis based on similar risk and reward characteristics and the nature of our involvement with the VIEs, such as:</w:t>
      </w:r>
    </w:p>
    <w:p>
      <w:pPr>
        <w:spacing w:after="0" w:line="166" w:lineRule="exact"/>
        <w:rPr>
          <w:sz w:val="20"/>
          <w:szCs w:val="20"/>
          <w:color w:val="auto"/>
        </w:rPr>
      </w:pPr>
    </w:p>
    <w:p>
      <w:pPr>
        <w:ind w:left="960" w:hanging="480"/>
        <w:spacing w:after="0"/>
        <w:tabs>
          <w:tab w:leader="none" w:pos="9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VIEs are RNG facilities and they are reported under the RNG Fuel Supply segment;</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our interest in these entities is primarily equity based and therefore carry similar risk and reward characteristics;</w:t>
      </w:r>
    </w:p>
    <w:p>
      <w:pPr>
        <w:spacing w:after="0" w:line="174"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amount of assets that can only be used to settle obligations of the VIEs are parenthesized in the consolidated balance sheets and are included in the asset totals listed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Restricted cash – current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6,971</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20,858</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73,140</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Restricted cash, non-current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2,923</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.Totalassets......................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33,206</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96,921</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capital expenses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7,821</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Sunoma Loan – current portion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14,176</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Sunoma loan, net of debt issuance costs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21,712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long-term liabilities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.Totalliabilities....................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35,888</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Stockholders’ equity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34,588</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Non-redeemable non-controlling interests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26,445</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equity . . . . .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61,033</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Total Liabilities and Equity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33,206</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96,921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F-53</w:t>
      </w:r>
    </w:p>
    <w:p>
      <w:pPr>
        <w:sectPr>
          <w:pgSz w:w="12240" w:h="15840" w:orient="portrait"/>
          <w:cols w:equalWidth="0" w:num="1">
            <w:col w:w="9360"/>
          </w:cols>
          <w:pgMar w:left="1440" w:top="941" w:right="1440" w:bottom="353" w:gutter="0" w:footer="0" w:header="0"/>
          <w:type w:val="continuous"/>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1" w:lineRule="exact"/>
        <w:rPr>
          <w:sz w:val="20"/>
          <w:szCs w:val="20"/>
          <w:color w:val="auto"/>
        </w:rPr>
      </w:pPr>
    </w:p>
    <w:p>
      <w:pPr>
        <w:spacing w:after="0" w:line="244" w:lineRule="auto"/>
        <w:tabs>
          <w:tab w:leader="none" w:pos="315"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Redeemable non-controlling interests, Redeemable preferred non-controlling interests and Stockholders’ Equity</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2023, there are (i) 29,701,146 shares of Class A common stock issued and outstanding,</w:t>
      </w:r>
    </w:p>
    <w:p>
      <w:pPr>
        <w:spacing w:after="0" w:line="17" w:lineRule="exact"/>
        <w:rPr>
          <w:sz w:val="20"/>
          <w:szCs w:val="20"/>
          <w:color w:val="auto"/>
        </w:rPr>
      </w:pPr>
    </w:p>
    <w:p>
      <w:pPr>
        <w:jc w:val="both"/>
        <w:ind w:right="20"/>
        <w:spacing w:after="0" w:line="248" w:lineRule="auto"/>
        <w:tabs>
          <w:tab w:leader="none" w:pos="31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144,399,037 shares of New OPAL Class D common stock issued and outstanding, (iii) no shares of Class B common stock, par value $0.0001 per share, of (“Class B common stock”) issued and outstanding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172"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During the first quarter of 2023, Meteora exercised the put option pursuant to the terms of the Forward Purchase Contract. The Company repurchased 1,635,783 shares at a price of $10.02 per share. The Company recorded $11,614 representing the fair value of the treasury stock as part of stockholders’ deficit and $4,777 as an offset to the derivative financial liability, current on its consolidated balance sheet as of December 31, 2023.</w:t>
      </w:r>
    </w:p>
    <w:p>
      <w:pPr>
        <w:spacing w:after="0" w:line="16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In March 2023, the Company issued 49,633 shares to certain warrant holders as consideration for their prior agreement to tender all warrants held by the warrant holders in the Company’s voluntary exchange offer which closed on December 22, 2022. The Company recorded $338 representing the fair value of the shares issued based on the closing price on March 30, 2023 as part of Loss on warrant exchange on its consolidated statement of operations for the year ended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Program</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OPAL Fuels Inc. (the “Company”) entered into an At Market Issuance Sales Agreement (the “ATM Program”)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 Pursuant to the terms and conditions of the agreement, the Agents will use commercially reasonable efforts consistent with their normal trading and sales practices and applicable state and federal laws, rules and regulations to sell the Company’s Class A common stock from time to time, based upon the Company’s instructions (including any price, time or size limits or other customary parameters or conditions the Company imposes). The Company is not obligated to make any sales of common stock under the Sales Agreement.</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Unless earlier terminated as provided below, the Sales Agreement will automatically terminate upon the issuance and sale of all of the Class A common stock subject to the Sales Agreement. The Sales Agreement may also be terminated by the Company or the Agents at any time upon two days’ notice to the other party, or by the Agents at any time in certain circumstances, including the occurrence of a material adverse change in the Company. 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spacing w:after="0" w:line="170"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Under the ATM Program, the Company issued 90,103 shares of Class A common stock in December 2023 at prices ranging between $5.52 and $5.85 and received net proceeds of $366.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preferred non-controlling interests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On November 29, 2021, as part of an Exchange Agreement, the Company issued 300,000 Series A-1 preferred units to Hillman in return for Hillman’s non-controlling interest in four RNG project subsidiaries.</w:t>
      </w:r>
    </w:p>
    <w:p>
      <w:pPr>
        <w:spacing w:after="0" w:line="174"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w:t>
      </w:r>
    </w:p>
    <w:p>
      <w:pPr>
        <w:sectPr>
          <w:pgSz w:w="12240" w:h="15840" w:orient="portrait"/>
          <w:cols w:equalWidth="0" w:num="1">
            <w:col w:w="9380"/>
          </w:cols>
          <w:pgMar w:left="1440" w:top="941"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F-54</w:t>
      </w:r>
    </w:p>
    <w:p>
      <w:pPr>
        <w:sectPr>
          <w:pgSz w:w="12240" w:h="15840" w:orient="portrait"/>
          <w:cols w:equalWidth="0" w:num="1">
            <w:col w:w="9380"/>
          </w:cols>
          <w:pgMar w:left="1440" w:top="941" w:right="1420" w:bottom="353" w:gutter="0" w:footer="0" w:header="0"/>
          <w:type w:val="continuous"/>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line="244" w:lineRule="auto"/>
        <w:tabs>
          <w:tab w:leader="none" w:pos="315"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Upon completion of the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During the third quarter of 2023, the Company repaid all outstanding paid-in-kind preferred dividends at that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changes in the redeemable preferred non-controlling interests which represent Series A and Series A-1 preferred units outstanding at OPAL Fuels level from December 31, 2022 to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3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22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620" w:type="dxa"/>
            <w:vAlign w:val="bottom"/>
          </w:tcPr>
          <w:p>
            <w:pPr>
              <w:spacing w:after="0"/>
              <w:rPr>
                <w:sz w:val="18"/>
                <w:szCs w:val="18"/>
                <w:color w:val="auto"/>
              </w:rPr>
            </w:pPr>
          </w:p>
        </w:tc>
        <w:tc>
          <w:tcPr>
            <w:tcW w:w="2320" w:type="dxa"/>
            <w:vAlign w:val="bottom"/>
            <w:gridSpan w:val="6"/>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preferred units</w:t>
            </w:r>
          </w:p>
        </w:tc>
        <w:tc>
          <w:tcPr>
            <w:tcW w:w="2260" w:type="dxa"/>
            <w:vAlign w:val="bottom"/>
            <w:gridSpan w:val="5"/>
          </w:tcPr>
          <w:p>
            <w:pPr>
              <w:jc w:val="right"/>
              <w:ind w:right="620"/>
              <w:spacing w:after="0" w:line="201" w:lineRule="exact"/>
              <w:rPr>
                <w:sz w:val="20"/>
                <w:szCs w:val="20"/>
                <w:color w:val="auto"/>
              </w:rPr>
            </w:pPr>
            <w:r>
              <w:rPr>
                <w:rFonts w:ascii="Times New Roman" w:cs="Times New Roman" w:eastAsia="Times New Roman" w:hAnsi="Times New Roman"/>
                <w:sz w:val="18"/>
                <w:szCs w:val="18"/>
                <w:b w:val="1"/>
                <w:bCs w:val="1"/>
                <w:color w:val="auto"/>
              </w:rPr>
              <w:t>preferred units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36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18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8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18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8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3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December 31, 2022 </w:t>
            </w:r>
            <w:r>
              <w:rPr>
                <w:rFonts w:ascii="Times New Roman" w:cs="Times New Roman" w:eastAsia="Times New Roman" w:hAnsi="Times New Roman"/>
                <w:sz w:val="20"/>
                <w:szCs w:val="20"/>
                <w:color w:val="auto"/>
              </w:rPr>
              <w:t>.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105,406</w:t>
            </w:r>
          </w:p>
        </w:tc>
        <w:tc>
          <w:tcPr>
            <w:tcW w:w="1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138,142</w:t>
            </w:r>
          </w:p>
        </w:tc>
        <w:tc>
          <w:tcPr>
            <w:tcW w:w="60" w:type="dxa"/>
            <w:vAlign w:val="bottom"/>
          </w:tcPr>
          <w:p>
            <w:pPr>
              <w:spacing w:after="0"/>
              <w:rPr>
                <w:sz w:val="21"/>
                <w:szCs w:val="21"/>
                <w:color w:val="auto"/>
              </w:rPr>
            </w:pP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Paid-in-kind dividends attributable to</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3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OPAL Fuels . . . . . . . . . . . . . . . . . . . . . . .</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9,219</w:t>
            </w:r>
          </w:p>
        </w:tc>
        <w:tc>
          <w:tcPr>
            <w:tcW w:w="60" w:type="dxa"/>
            <w:vAlign w:val="bottom"/>
          </w:tcPr>
          <w:p>
            <w:pPr>
              <w:spacing w:after="0"/>
              <w:rPr>
                <w:sz w:val="19"/>
                <w:szCs w:val="19"/>
                <w:color w:val="auto"/>
              </w:rPr>
            </w:pP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Paid-in kind dividends attributable to</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3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Class A common stockholders . . . . . . . .</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1,792</w:t>
            </w:r>
          </w:p>
        </w:tc>
        <w:tc>
          <w:tcPr>
            <w:tcW w:w="60" w:type="dxa"/>
            <w:vAlign w:val="bottom"/>
          </w:tcPr>
          <w:p>
            <w:pPr>
              <w:spacing w:after="0"/>
              <w:rPr>
                <w:sz w:val="19"/>
                <w:szCs w:val="19"/>
                <w:color w:val="auto"/>
              </w:rPr>
            </w:pP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Repayment of paid-in-kind preferred</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3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dividends . . . . . . . . . . . . . . . . . . . . . . . . .</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(4,722)</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(11,814)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(16,536)</w:t>
            </w:r>
          </w:p>
        </w:tc>
      </w:tr>
      <w:tr>
        <w:trPr>
          <w:trHeight w:val="241"/>
        </w:trPr>
        <w:tc>
          <w:tcPr>
            <w:tcW w:w="3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December 31, 2023 </w:t>
            </w:r>
            <w:r>
              <w:rPr>
                <w:rFonts w:ascii="Times New Roman" w:cs="Times New Roman" w:eastAsia="Times New Roman" w:hAnsi="Times New Roman"/>
                <w:sz w:val="20"/>
                <w:szCs w:val="20"/>
                <w:color w:val="auto"/>
              </w:rPr>
              <w:t>. . . . . . . . . . .</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30,604</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102,013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132,617</w:t>
            </w:r>
          </w:p>
        </w:tc>
        <w:tc>
          <w:tcPr>
            <w:tcW w:w="6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of Redeemable Preferred Units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Series A and Series A-1 preferred units (together the “Preferred Units”) are subject to substantially the same terms and features which are listed below:</w:t>
      </w:r>
    </w:p>
    <w:p>
      <w:pPr>
        <w:spacing w:after="0" w:line="13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dispositions of assets and (iv) major acquisitions of assets outside of the Company’s primary business.</w:t>
      </w:r>
    </w:p>
    <w:p>
      <w:pPr>
        <w:spacing w:after="0" w:line="12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The annual dividend rate increases to 12% if certain events of defaults occur. Additionally, the dividend rate increases by 2% for each unrelated uncured event of default up to a maximum of 20%.</w:t>
      </w:r>
    </w:p>
    <w:p>
      <w:pPr>
        <w:spacing w:after="0" w:line="130"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29"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Redemption: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w:t>
      </w:r>
    </w:p>
    <w:p>
      <w:pPr>
        <w:spacing w:after="0" w:line="13" w:lineRule="exact"/>
        <w:rPr>
          <w:sz w:val="20"/>
          <w:szCs w:val="20"/>
          <w:color w:val="auto"/>
        </w:rPr>
      </w:pPr>
    </w:p>
    <w:p>
      <w:pPr>
        <w:jc w:val="both"/>
        <w:ind w:right="20"/>
        <w:spacing w:after="0" w:line="246" w:lineRule="auto"/>
        <w:tabs>
          <w:tab w:leader="none" w:pos="25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w:t>
      </w:r>
    </w:p>
    <w:p>
      <w:pPr>
        <w:sectPr>
          <w:pgSz w:w="12240" w:h="15840" w:orient="portrait"/>
          <w:cols w:equalWidth="0" w:num="1">
            <w:col w:w="9380"/>
          </w:cols>
          <w:pgMar w:left="1440" w:top="941" w:right="1420" w:bottom="353" w:gutter="0" w:footer="0" w:header="0"/>
        </w:sect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F-55</w:t>
      </w:r>
    </w:p>
    <w:p>
      <w:pPr>
        <w:sectPr>
          <w:pgSz w:w="12240" w:h="15840" w:orient="portrait"/>
          <w:cols w:equalWidth="0" w:num="1">
            <w:col w:w="9380"/>
          </w:cols>
          <w:pgMar w:left="1440" w:top="941" w:right="1420" w:bottom="353" w:gutter="0" w:footer="0" w:header="0"/>
          <w:type w:val="continuous"/>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line="244" w:lineRule="auto"/>
        <w:tabs>
          <w:tab w:leader="none" w:pos="315"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redemption option becomes exercisable as this is the date on which both the Company and the Holder may redeem the Preferred Units. The maturity date may be as early as November 29, 2025 but shall not occur later than June 30, 2026.</w:t>
      </w:r>
    </w:p>
    <w:p>
      <w:pPr>
        <w:spacing w:after="0" w:line="133"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20"/>
          <w:szCs w:val="20"/>
          <w:color w:val="auto"/>
        </w:rPr>
        <w:t>Conversion: Holders may elect to convert Preferred Units into common units in the event that the Company fails to redeem the Preferred Units under an optional redemption. The annual dividend rate shall increase to 12% and will further increase to 14% after one year, and thereafter by 2% every 90 days up to a maximum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the number of Preferred Units, multiplied by $100, plus accrued and unpaid cash dividends, divided by the conversion price. The conversion price is equal to the value of the Company’s common units determined as follows, and reduced by (i) a 20% discount if conversion occurs during the first year of delayed redemption, (ii) a 25% discount during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20"/>
          <w:szCs w:val="20"/>
          <w:color w:val="auto"/>
        </w:rPr>
        <w:t xml:space="preserve"> year, and (iii) a 30% discount thereafter:</w:t>
      </w:r>
    </w:p>
    <w:p>
      <w:pPr>
        <w:spacing w:after="0" w:line="200" w:lineRule="exact"/>
        <w:rPr>
          <w:sz w:val="20"/>
          <w:szCs w:val="20"/>
          <w:color w:val="auto"/>
        </w:rPr>
      </w:pPr>
    </w:p>
    <w:p>
      <w:pPr>
        <w:spacing w:after="0" w:line="205" w:lineRule="exact"/>
        <w:rPr>
          <w:sz w:val="20"/>
          <w:szCs w:val="20"/>
          <w:color w:val="auto"/>
        </w:rPr>
      </w:pPr>
    </w:p>
    <w:p>
      <w:pPr>
        <w:ind w:left="960" w:hanging="480"/>
        <w:spacing w:after="0"/>
        <w:tabs>
          <w:tab w:leader="none" w:pos="9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20-day volume-weighted average price (“VWAP”) of the Company’s common shares.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the estimated proceeds to be received by the Holder of a common unit if the net assets of the Company were sold at fair market value and distributed.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Upon consummation of the Business Combination, OPAL Fuels and its members caused the existing Limited Liability Company Agreement to be amended and restated. In connection therewith, all of the common units of OPAL Fuels issued and outstanding immediately prior to the Business Combination were re-classified into 144,399,037 Class B Units. Each Class B Unit is paired with a single non-economic share of Class D common stock issued by the Company. Each pair of Class B Unit and a single share of Class D common stock is exchangeable to either a single share of Class A common stock or a single share of Class C common stock at the holder’s option. Upon an exchange for Class A common stock, the Company has the option to redeem shares for cash at their market value.</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Redeemable non-controlling interests have been presented as mezzanine equity in the consolidated statements of change in Redeemable non-controlling interests, Redeemable preferred non-controlling interests and stockholders’ (deficit) equity. At each balance sheet date, the Redeemable non-controlling interests are adjusted up to their redemption value if necessary, with an offset in Stockholders’ equity. As of December 31, 2023, the Company recorded $(312,396) to adjust the carrying value to their redemption value based on a five-day VWAP of $5.56 per share.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Net Income Per Share</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basic income per share of Class A common stock is computed by dividing the net income attributable to Class A common stockholders by the weighted average number of Class A common stock outstanding during the period. The basic income per share for year ended December 31, 2023 does not include 1,635,783 shares in treasury, 763,908 shares issued and outstanding but are contingent on achieving earnout targets. In the first quarter of 2023, the put option was exercised and 197,258 shares of Class A common stock were cancelled.</w:t>
      </w:r>
    </w:p>
    <w:p>
      <w:pPr>
        <w:spacing w:after="0" w:line="172"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diluted income per share of Class A common stock for the year ended December 31, 2023 does not include Redeemable preferred non-controlling interests because the substantive contingency for conversion has not been met as of December 31, 2023. It does not include 144,399,037 OPAL Fuels Class B units representing Redeemable non-controlling interest as its impact is anti-dilutive. It does not include 716,650 Sponsor Earnout Awards and 10,000,000 OPAL Earnout Awards as their target share price and adjusted EBITDA contingencies have not been met as of December 31, 2023. The outstanding stock options issued under the 2022 Plan are not included as their impact is antidilutive. The outstanding performance units under the 2022 Plan are not included as the performance conditions have not been met as of December 31, 2023.</w:t>
      </w:r>
    </w:p>
    <w:p>
      <w:pPr>
        <w:sectPr>
          <w:pgSz w:w="12240" w:h="15840" w:orient="portrait"/>
          <w:cols w:equalWidth="0" w:num="1">
            <w:col w:w="9380"/>
          </w:cols>
          <w:pgMar w:left="1440" w:top="941" w:right="1420" w:bottom="353" w:gutter="0" w:footer="0" w:header="0"/>
        </w:sect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F-56</w:t>
      </w:r>
    </w:p>
    <w:p>
      <w:pPr>
        <w:sectPr>
          <w:pgSz w:w="12240" w:h="15840" w:orient="portrait"/>
          <w:cols w:equalWidth="0" w:num="1">
            <w:col w:w="9380"/>
          </w:cols>
          <w:pgMar w:left="1440" w:top="941" w:right="1420" w:bottom="353"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 Net Income Per Share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net loss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right"/>
              <w:ind w:right="8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2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Class A common stockholders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change in fair value of the put option on the forward purchase agreement.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.DilutedNetlossattributabletoClassAcommonstockholders..............</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18,936</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common stock – basic . . . . . . . .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27,148,538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25,774,312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Restricted Stock Units . . . . . . . . . . . . . . . . . . . . . . . . . . . . . . .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345,478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Effect of the dilutive put option on the forward purchase agreement . . . . . . . . . . .</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273,883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common stock – diluted . . . . . . .</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27,494,016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26,062,398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of Class A common stock</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Our federal and state income tax returns are subject to examination by federal and state tax authorities. Our 2022 and 2023 tax years remain open for all purposes of examination by the IRS and the state tax authorities. We do not anticipate that the outcome of any federal or state audit will have a significant impact on our financial position or results of operations.</w:t>
      </w:r>
    </w:p>
    <w:p>
      <w:pPr>
        <w:spacing w:after="0" w:line="16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and 2022, the Company recognized federal and state income tax expense of $0 and $0, respectively.</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effective tax rate was 0% for the years ended December 31, 2023 and 2022. The difference between the Company’s effective tax rate for the year ended December 31, 2023, and the U.S. statutory tax rate of 21% was primarily due to a full valuation allowance recorded on the Company’s net U.S. and State deferred tax assets, income (loss) from pass-through entities not attributable to Class A common stock and state and local taxes.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F-57</w:t>
      </w:r>
    </w:p>
    <w:p>
      <w:pPr>
        <w:sectPr>
          <w:pgSz w:w="12240" w:h="15840" w:orient="portrait"/>
          <w:cols w:equalWidth="0" w:num="1">
            <w:col w:w="9360"/>
          </w:cols>
          <w:pgMar w:left="1440" w:top="941" w:right="1440" w:bottom="353"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 Income Taxes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3"/>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Expected income tax at statutory rate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26,639</w:t>
            </w:r>
          </w:p>
        </w:tc>
        <w:tc>
          <w:tcPr>
            <w:tcW w:w="12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 . . . . . . .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Gain on deconsolidation of entities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(25,803)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Earnings attributable to non-controlling interest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(6,172)</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 .Totaltaxexpense–continuingoperations............................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The components of the deferred tax assets and liabilities are as follows:</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3"/>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partnership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25,133</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163j interest limitation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Federal NOL carryforward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State NOL carryforward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for deferred tax assets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(27,691)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(30,517)</w:t>
            </w: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 . . . . . . . . . . . . . . . . . . . . . . . . .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income tax asset or liability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2023, the Company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2023. For purposes of determining pre-tax income/(loss) for the pre Business Combination period, the Company relied on the historical financial statements of Opal Fuels, LLC as this is the best information to represent the historic pre-tax income/(loss) of Opal Fuels Inc. The Company is not forecasting significant ordinary income or capital gain to realize the Company’s deferred tax assets.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Omnibus Equity Incentive Plan</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F-58</w:t>
      </w:r>
    </w:p>
    <w:p>
      <w:pPr>
        <w:sectPr>
          <w:pgSz w:w="12240" w:h="15840" w:orient="portrait"/>
          <w:cols w:equalWidth="0" w:num="1">
            <w:col w:w="9360"/>
          </w:cols>
          <w:pgMar w:left="1440" w:top="941" w:right="1440" w:bottom="353" w:gutter="0" w:footer="0" w:header="0"/>
          <w:type w:val="continuous"/>
        </w:sectPr>
      </w:pPr>
    </w:p>
    <w:bookmarkStart w:id="142" w:name="page143"/>
    <w:bookmarkEnd w:id="14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 xml:space="preserve">16. Stock-based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180" w:right="60"/>
        <w:spacing w:after="0" w:line="248" w:lineRule="auto"/>
        <w:rPr>
          <w:sz w:val="20"/>
          <w:szCs w:val="20"/>
          <w:color w:val="auto"/>
        </w:rPr>
      </w:pPr>
      <w:r>
        <w:rPr>
          <w:rFonts w:ascii="Times New Roman" w:cs="Times New Roman" w:eastAsia="Times New Roman" w:hAnsi="Times New Roman"/>
          <w:sz w:val="20"/>
          <w:szCs w:val="20"/>
          <w:color w:val="auto"/>
        </w:rPr>
        <w:t>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172" w:lineRule="exact"/>
        <w:rPr>
          <w:sz w:val="20"/>
          <w:szCs w:val="20"/>
          <w:color w:val="auto"/>
        </w:rPr>
      </w:pPr>
    </w:p>
    <w:p>
      <w:pPr>
        <w:jc w:val="both"/>
        <w:ind w:left="180" w:right="60" w:firstLine="480"/>
        <w:spacing w:after="0" w:line="249" w:lineRule="auto"/>
        <w:rPr>
          <w:sz w:val="20"/>
          <w:szCs w:val="20"/>
          <w:color w:val="auto"/>
        </w:rPr>
      </w:pPr>
      <w:r>
        <w:rPr>
          <w:rFonts w:ascii="Times New Roman" w:cs="Times New Roman" w:eastAsia="Times New Roman" w:hAnsi="Times New Roman"/>
          <w:sz w:val="20"/>
          <w:szCs w:val="20"/>
          <w:color w:val="auto"/>
        </w:rPr>
        <w:t>On March 31, 2023, the Company issued 196,961 stock options, 888,831 restricted stock units and 274,617 performance units to certain employees of the Company. The fair value of the stock options was determined to be $5.26 based on Black Scholes model based on the share price of $6.97, exercise price of $6.97, expiration of 10 years, annual risk free interest rate of 4.04% and volatility of 65%. The performance units were contingent upon Company achieving certain Adjusted EBITDA and production targets. The grant date fair value of these awards was estimated using the closing share price of the Company’s stock on the date of the grant and the compensation cost related to these awards is recognized based on the relative satisfaction of the performance condition as of the reporting date. Additionally, the Company issued 135,583 restricted stock units to the board of directors. The total fair value of the equity awards was $6,955.</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summary of the equity awards under the 2022 Plan for the year ended December 31, 2023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22"/>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2"/>
              <w:spacing w:after="0" w:line="200" w:lineRule="exact"/>
              <w:rPr>
                <w:sz w:val="20"/>
                <w:szCs w:val="20"/>
                <w:color w:val="auto"/>
              </w:rPr>
            </w:pPr>
            <w:r>
              <w:rPr>
                <w:rFonts w:ascii="Times New Roman" w:cs="Times New Roman" w:eastAsia="Times New Roman" w:hAnsi="Times New Roman"/>
                <w:sz w:val="18"/>
                <w:szCs w:val="18"/>
                <w:b w:val="1"/>
                <w:bCs w:val="1"/>
                <w:color w:val="auto"/>
                <w:w w:val="97"/>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per restricted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1240" w:type="dxa"/>
            <w:vAlign w:val="bottom"/>
            <w:gridSpan w:val="2"/>
          </w:tcPr>
          <w:p>
            <w:pPr>
              <w:jc w:val="right"/>
              <w:ind w:right="280"/>
              <w:spacing w:after="0" w:line="200"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2"/>
              <w:spacing w:after="0" w:line="200" w:lineRule="exact"/>
              <w:rPr>
                <w:sz w:val="20"/>
                <w:szCs w:val="20"/>
                <w:color w:val="auto"/>
              </w:rPr>
            </w:pPr>
            <w:r>
              <w:rPr>
                <w:rFonts w:ascii="Times New Roman" w:cs="Times New Roman" w:eastAsia="Times New Roman" w:hAnsi="Times New Roman"/>
                <w:sz w:val="18"/>
                <w:szCs w:val="18"/>
                <w:b w:val="1"/>
                <w:bCs w:val="1"/>
                <w:color w:val="auto"/>
              </w:rPr>
              <w:t>unit 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Pr>
          <w:p>
            <w:pPr>
              <w:spacing w:after="0"/>
              <w:rPr>
                <w:sz w:val="17"/>
                <w:szCs w:val="17"/>
                <w:color w:val="auto"/>
              </w:rPr>
            </w:pPr>
          </w:p>
        </w:tc>
        <w:tc>
          <w:tcPr>
            <w:tcW w:w="1240" w:type="dxa"/>
            <w:vAlign w:val="bottom"/>
            <w:gridSpan w:val="2"/>
          </w:tcPr>
          <w:p>
            <w:pPr>
              <w:jc w:val="right"/>
              <w:ind w:right="260"/>
              <w:spacing w:after="0" w:line="200" w:lineRule="exact"/>
              <w:rPr>
                <w:sz w:val="20"/>
                <w:szCs w:val="20"/>
                <w:color w:val="auto"/>
              </w:rPr>
            </w:pPr>
            <w:r>
              <w:rPr>
                <w:rFonts w:ascii="Times New Roman" w:cs="Times New Roman" w:eastAsia="Times New Roman" w:hAnsi="Times New Roman"/>
                <w:sz w:val="18"/>
                <w:szCs w:val="18"/>
                <w:b w:val="1"/>
                <w:bCs w:val="1"/>
                <w:color w:val="auto"/>
              </w:rPr>
              <w:t>stock units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2"/>
              <w:spacing w:after="0" w:line="20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3"/>
              <w:spacing w:after="0" w:line="200"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960" w:type="dxa"/>
            <w:vAlign w:val="bottom"/>
          </w:tcPr>
          <w:p>
            <w:pPr>
              <w:ind w:left="460"/>
              <w:spacing w:after="0" w:line="200" w:lineRule="exact"/>
              <w:rPr>
                <w:sz w:val="20"/>
                <w:szCs w:val="20"/>
                <w:color w:val="auto"/>
              </w:rPr>
            </w:pPr>
            <w:r>
              <w:rPr>
                <w:rFonts w:ascii="Times New Roman" w:cs="Times New Roman" w:eastAsia="Times New Roman" w:hAnsi="Times New Roman"/>
                <w:sz w:val="18"/>
                <w:szCs w:val="18"/>
                <w:b w:val="1"/>
                <w:bCs w:val="1"/>
                <w:color w:val="auto"/>
              </w:rPr>
              <w:t>Vesting terms</w:t>
            </w:r>
          </w:p>
        </w:tc>
        <w:tc>
          <w:tcPr>
            <w:tcW w:w="0" w:type="dxa"/>
            <w:vAlign w:val="bottom"/>
          </w:tcPr>
          <w:p>
            <w:pPr>
              <w:spacing w:after="0"/>
              <w:rPr>
                <w:sz w:val="1"/>
                <w:szCs w:val="1"/>
                <w:color w:val="auto"/>
              </w:rPr>
            </w:pPr>
          </w:p>
        </w:tc>
      </w:tr>
      <w:tr>
        <w:trPr>
          <w:trHeight w:val="205"/>
        </w:trPr>
        <w:tc>
          <w:tcPr>
            <w:tcW w:w="38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Restricted Stock Units:</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Unvested restricted stock units outstanding</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100% vesting on</w:t>
            </w:r>
          </w:p>
        </w:tc>
        <w:tc>
          <w:tcPr>
            <w:tcW w:w="0" w:type="dxa"/>
            <w:vAlign w:val="bottom"/>
          </w:tcPr>
          <w:p>
            <w:pPr>
              <w:spacing w:after="0"/>
              <w:rPr>
                <w:sz w:val="1"/>
                <w:szCs w:val="1"/>
                <w:color w:val="auto"/>
              </w:rPr>
            </w:pPr>
          </w:p>
        </w:tc>
      </w:tr>
      <w:tr>
        <w:trPr>
          <w:trHeight w:val="220"/>
        </w:trPr>
        <w:tc>
          <w:tcPr>
            <w:tcW w:w="38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as of December 31, 2022 . . . . . . . . . . . . . .</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422,349</w:t>
            </w:r>
          </w:p>
        </w:tc>
        <w:tc>
          <w:tcPr>
            <w:tcW w:w="120" w:type="dxa"/>
            <w:vAlign w:val="bottom"/>
          </w:tcPr>
          <w:p>
            <w:pPr>
              <w:spacing w:after="0"/>
              <w:rPr>
                <w:sz w:val="19"/>
                <w:szCs w:val="19"/>
                <w:color w:val="auto"/>
              </w:rPr>
            </w:pPr>
          </w:p>
        </w:tc>
        <w:tc>
          <w:tcPr>
            <w:tcW w:w="2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October 3, 2023</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8"/>
              </w:rPr>
              <w:t>Three equal installments</w:t>
            </w: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Granted in March 2023 . . . . . . . . . . . . . . . . . .</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1,024,414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vesting over 3 years</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100% vesting on</w:t>
            </w: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Granted in June 2023 . . . . . . . . . . . . . . . . . . .</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13,933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June 28, 2024</w:t>
            </w: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Vested during 2023 . . . . . . . . . . . . . . . . . . . . .</w:t>
            </w:r>
          </w:p>
        </w:tc>
        <w:tc>
          <w:tcPr>
            <w:tcW w:w="124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(280,928)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Withheld for settlement of taxes . . . . . . . . . . .</w:t>
            </w:r>
          </w:p>
        </w:tc>
        <w:tc>
          <w:tcPr>
            <w:tcW w:w="124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(123,397)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Forfeitures during 2023 . . . . . . . . . . . . . . . . . .</w:t>
            </w:r>
          </w:p>
        </w:tc>
        <w:tc>
          <w:tcPr>
            <w:tcW w:w="124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(106,435)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Unvested restricted stock units outstanding</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at December 31, 2023 . . . . . . . . . . . . . . . . .</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949,936</w:t>
            </w:r>
          </w:p>
        </w:tc>
        <w:tc>
          <w:tcPr>
            <w:tcW w:w="120" w:type="dxa"/>
            <w:vAlign w:val="bottom"/>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6.98</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6,627</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40" w:type="dxa"/>
            <w:vAlign w:val="bottom"/>
          </w:tcPr>
          <w:p>
            <w:pPr>
              <w:spacing w:after="0" w:line="197" w:lineRule="exact"/>
              <w:rPr>
                <w:sz w:val="20"/>
                <w:szCs w:val="20"/>
                <w:color w:val="auto"/>
              </w:rPr>
            </w:pPr>
            <w:r>
              <w:rPr>
                <w:rFonts w:ascii="Times New Roman" w:cs="Times New Roman" w:eastAsia="Times New Roman" w:hAnsi="Times New Roman"/>
                <w:sz w:val="20"/>
                <w:szCs w:val="20"/>
                <w:color w:val="auto"/>
              </w:rPr>
              <w:t>Stock Options:</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Unvested awards as of December 31, 2022 . .</w:t>
            </w:r>
          </w:p>
        </w:tc>
        <w:tc>
          <w:tcPr>
            <w:tcW w:w="12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w w:val="98"/>
              </w:rPr>
              <w:t>Three equal installments</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Granted in March 2023 . . . . . . . . . . . . . . . . . .</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196,961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vesting over 3 years</w:t>
            </w:r>
          </w:p>
        </w:tc>
        <w:tc>
          <w:tcPr>
            <w:tcW w:w="0" w:type="dxa"/>
            <w:vAlign w:val="bottom"/>
          </w:tcPr>
          <w:p>
            <w:pPr>
              <w:spacing w:after="0"/>
              <w:rPr>
                <w:sz w:val="1"/>
                <w:szCs w:val="1"/>
                <w:color w:val="auto"/>
              </w:rPr>
            </w:pPr>
          </w:p>
        </w:tc>
      </w:tr>
      <w:tr>
        <w:trPr>
          <w:trHeight w:val="215"/>
        </w:trPr>
        <w:tc>
          <w:tcPr>
            <w:tcW w:w="384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Forfeitures during 2023 . . . . . . . . . . . . . . . . . .</w:t>
            </w:r>
          </w:p>
        </w:tc>
        <w:tc>
          <w:tcPr>
            <w:tcW w:w="124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(21,071)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Unvested Stock Options at December 31,</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175,890</w:t>
            </w:r>
          </w:p>
        </w:tc>
        <w:tc>
          <w:tcPr>
            <w:tcW w:w="12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180" w:type="dxa"/>
            <w:vAlign w:val="bottom"/>
            <w:vMerge w:val="restart"/>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2023. . . . . . . . . . . . . . . . . . . . . . . . . . . . . . .</w:t>
            </w: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40" w:type="dxa"/>
            <w:vAlign w:val="bottom"/>
          </w:tcPr>
          <w:p>
            <w:pPr>
              <w:spacing w:after="0" w:line="197" w:lineRule="exact"/>
              <w:rPr>
                <w:sz w:val="20"/>
                <w:szCs w:val="20"/>
                <w:color w:val="auto"/>
              </w:rPr>
            </w:pPr>
            <w:r>
              <w:rPr>
                <w:rFonts w:ascii="Times New Roman" w:cs="Times New Roman" w:eastAsia="Times New Roman" w:hAnsi="Times New Roman"/>
                <w:sz w:val="20"/>
                <w:szCs w:val="20"/>
                <w:color w:val="auto"/>
              </w:rPr>
              <w:t>Performance Stock Units: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Unvested awards as of December 31, 2022 . .</w:t>
            </w:r>
          </w:p>
        </w:tc>
        <w:tc>
          <w:tcPr>
            <w:tcW w:w="12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100% vesting on</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Granted in March 2023 . . . . . . . . . . . . . . . . . .</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274,617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Vested during 2023 . . . . . . . . . . . . . . . . . . . . .</w:t>
            </w:r>
          </w:p>
        </w:tc>
        <w:tc>
          <w:tcPr>
            <w:tcW w:w="124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Shares withheld for settlement of taxes . . . . .</w:t>
            </w:r>
          </w:p>
        </w:tc>
        <w:tc>
          <w:tcPr>
            <w:tcW w:w="124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Forfeitures . . . . . . . . . . . . . . . . . . . . . . . . . . . .</w:t>
            </w:r>
          </w:p>
        </w:tc>
        <w:tc>
          <w:tcPr>
            <w:tcW w:w="124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(34,823)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Performance Stock Units outstanding as of</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December 31, 2023 . . . . . . . . . . . . . . . . . . .</w:t>
            </w:r>
          </w:p>
        </w:tc>
        <w:tc>
          <w:tcPr>
            <w:tcW w:w="1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239,680</w:t>
            </w:r>
          </w:p>
        </w:tc>
        <w:tc>
          <w:tcPr>
            <w:tcW w:w="120" w:type="dxa"/>
            <w:vAlign w:val="bottom"/>
          </w:tcPr>
          <w:p>
            <w:pPr>
              <w:spacing w:after="0"/>
              <w:rPr>
                <w:sz w:val="18"/>
                <w:szCs w:val="18"/>
                <w:color w:val="auto"/>
              </w:rPr>
            </w:pPr>
          </w:p>
        </w:tc>
        <w:tc>
          <w:tcPr>
            <w:tcW w:w="2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6.97</w:t>
            </w:r>
          </w:p>
        </w:tc>
        <w:tc>
          <w:tcPr>
            <w:tcW w:w="2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1,671</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Total unvested awards outstanding as of</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December 31, 2023 . . . . . . . . . . . . . . . . . . .</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1,365,506</w:t>
            </w:r>
          </w:p>
        </w:tc>
        <w:tc>
          <w:tcPr>
            <w:tcW w:w="120" w:type="dxa"/>
            <w:vAlign w:val="bottom"/>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6.75</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9,223</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00"/>
          </w:cols>
          <w:pgMar w:left="1260" w:top="941" w:right="1380" w:bottom="35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F-59</w:t>
      </w:r>
    </w:p>
    <w:p>
      <w:pPr>
        <w:sectPr>
          <w:pgSz w:w="12240" w:h="15840" w:orient="portrait"/>
          <w:cols w:equalWidth="0" w:num="1">
            <w:col w:w="9600"/>
          </w:cols>
          <w:pgMar w:left="1260" w:top="941" w:right="1380" w:bottom="353"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 Stock-based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Parent Equity Awards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 – 37% in the four wholly-owned subsidiaries. These Profit Interests vest ratably over a period of five years from the grant date.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new residual equity interest grants during the year ended December 31, 2023.</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86% of the Profit Interests issued vested and there were 14% of Profit Interests unvested. There were no forfeitures during the year ended December 31, 2023.</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2022, 66% of the Profit Interests issued vested and there were 34% of Profit Interests unvested.</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stock-based compensation expense for the above stock awards under the 2022 Plan as well as Parent Equity Awards is included in the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440" w:type="dxa"/>
            <w:vAlign w:val="bottom"/>
          </w:tcPr>
          <w:p>
            <w:pPr>
              <w:spacing w:after="0"/>
              <w:rPr>
                <w:sz w:val="18"/>
                <w:szCs w:val="18"/>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2022 Plan . . . . . . . . . . .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5,264</w:t>
            </w:r>
          </w:p>
        </w:tc>
        <w:tc>
          <w:tcPr>
            <w:tcW w:w="100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Parent Equity Awards .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1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w:t>
            </w:r>
          </w:p>
        </w:tc>
      </w:tr>
      <w:tr>
        <w:trPr>
          <w:trHeight w:val="240"/>
        </w:trPr>
        <w:tc>
          <w:tcPr>
            <w:tcW w:w="6440" w:type="dxa"/>
            <w:vAlign w:val="bottom"/>
          </w:tcPr>
          <w:p>
            <w:pPr>
              <w:spacing w:after="0"/>
              <w:rPr>
                <w:sz w:val="20"/>
                <w:szCs w:val="20"/>
                <w:color w:val="auto"/>
              </w:rPr>
            </w:pP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5,903</w:t>
            </w:r>
          </w:p>
        </w:tc>
        <w:tc>
          <w:tcPr>
            <w:tcW w:w="100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1,469</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Stock-based compensation expense related to unvested awards yet to be recognized as of December 31, 2023 totaled $6,308 and is expected to be recognized, on a weighted average basis, over 2.3 years.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future compensation to be recognized for the Parent Equity Awards as of December 31, 2023 is $453 and will be recognized the remaining vesting period which ranges from one to two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and December 31, 2022, the Company was required to maintain nine standby letters of credit totaling $13,750 and $2,292,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Options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73"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ectPr>
          <w:pgSz w:w="12240" w:h="15840" w:orient="portrait"/>
          <w:cols w:equalWidth="0" w:num="1">
            <w:col w:w="9360"/>
          </w:cols>
          <w:pgMar w:left="1440" w:top="941" w:right="1440" w:bottom="353"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F-60</w:t>
      </w:r>
    </w:p>
    <w:p>
      <w:pPr>
        <w:sectPr>
          <w:pgSz w:w="12240" w:h="15840" w:orient="portrait"/>
          <w:cols w:equalWidth="0" w:num="1">
            <w:col w:w="9360"/>
          </w:cols>
          <w:pgMar w:left="1440" w:top="941" w:right="1440" w:bottom="353"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 Commitments and Contingencies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On May 30, 2023, OPAL Intermediate Holdco 2 assigned to Paragon its rights and obligations under the OPAL Term Loan II.</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Set forth below is information related to the Company’s material pending legal proceedings as of the date of this report, other than ordinary routine litigation incidental to the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Central Valley Project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September 2021, an indirect subsidiary of the Company, MD Digester, LLC, entered into a fixed-price Engineering, Procurement and Construction Contract (an “EPC Contract”) with VEC Partners, Inc. d/b/a CEI Builders (“Contractor”) for the design and construction of a turn-key renewable natural gas production facility using dairy cow manure as feedstock. In December 2021, a second indirect subsidiary of the Company, VS Digester, LLC entered into a nearly identical EPC Contract with Contractor for the design and construction of a second facility in connection with the same project.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Contractor has submitted a series of change order requests seeking to increase the EPC Contract price under each contract by approximately $14 million (i.e., approximately $28 million in total), primarily due to modifications to Contractor’s design drawings that are required to meet its contracted performance guaranties and a termination (for default) of one of Contractor’s major equipment manufacturers. The Company disputes substantially all of the change order requests.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Contractor is required to select an arbitrator who will in concert with the Company’s selected arbitrator nominate a Chair for the AAA, three-person arbitration panel. As a result of the procedural status of these matters, no discovery has occurred. The EPC Agreement provides that Contractor is obligated to continue working during the course of the litigation and related arbitration proceedings. Contractor’s performance under both of the EPC Contracts is fully bonded by licensed sureties.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Despite informal settlement discussions with Contractor, the parties have not been able as of yet to resolve the claims. The Company believes its claims against Contractor have substantial merit, and intends to prosecute its claims vigorously. However, due to the incipient stage of the litigation and related arbitration, its ongoing status, and the uncertainties involved in all litigation and arbitration, the Company does not believe it is feasible at this time to assess the likely outcome of the litigation and related arbitration, the timing of its resolution, or its ultimate impact on the Central Valley projects or the Company’s business, financial condition or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Subsequent Events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March 5, 2024, Paragon RNG LLC, a joint venture between OPAL Fuels Inc. and a third-party environmental solutions company (“Paragon”), as the Borrower, certain indirect subsidiaries of the Borrower as guarantors (the “Guarantors”), the lenders party thereto and Bank of Montreal as the administrative agent (the “Administrative Agent”) entered into the First Amendment to Amended and Restated Credit and Guaranty Agreement (the “Credit Agreement Amendment”), and Paragon, the Administrative Agent and Wilmington Trust, National Association as collateral and depositary agent entered into the First Amendment to Depositary Agreement (the “Depositary Agreement Amendment”), with respect to the Amended and Restated Credit and Guaranty Agreement (the “Credit Agreement”) and Depositary Agreement (the “Depositary Agreement”) entered into on May 30, 2023.</w:t>
      </w:r>
    </w:p>
    <w:p>
      <w:pPr>
        <w:sectPr>
          <w:pgSz w:w="12240" w:h="15840" w:orient="portrait"/>
          <w:cols w:equalWidth="0" w:num="1">
            <w:col w:w="9360"/>
          </w:cols>
          <w:pgMar w:left="1440" w:top="941" w:right="1440" w:bottom="353"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F-61</w:t>
      </w:r>
    </w:p>
    <w:p>
      <w:pPr>
        <w:sectPr>
          <w:pgSz w:w="12240" w:h="15840" w:orient="portrait"/>
          <w:cols w:equalWidth="0" w:num="1">
            <w:col w:w="9360"/>
          </w:cols>
          <w:pgMar w:left="1440" w:top="941" w:right="1440" w:bottom="353"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 Subsequent Events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Credit Agreement Amendment reclassifies the debt service reserve facility (the “DSR Facility”) under the Credit Agreement as a revolving loan facility of up to a maximum aggregate principal amount of $10.0 million (the “Revolving Loan Facility”) on substantially the same terms as the DSR Facility, with the proceeds of the Revolving Loan Facility to be used primarily to satisfy the balance to be maintained in the debt service reserve account. The Credit Agreement Amendment extends the outside date (the “Conversion Date”) for completion of construction of the Emerald RNG LLC (“Emerald”) and Sapphire RNG LLC (“Sapphire”) projects from June 30, 2024 to December 1, 2024, and requires the Borrower, prior to the Conversion Date, to maintain a debt service coverage ratio with respect to the Emerald project (the “Pre-Term Conversion Debt Service Coverage Ratio”) of not less than 1.2:1.0, as tested on a trailing four fiscal quarters basis as of the last day of each fiscal quarter commencing as of the effective date of the Credit Agreement Amendment. Availability under the Credit Agreement’s delayed term loan facility (the “DDTL Facility”) has been reduced from a maximum aggregate principal amount of $85.0 million to approximately $81.0 million to account for DDTL Facility borrowings under the Credit Agreement to date, and with certain exceptions, the DDTL Facility borrowings are no longer available for project costs related to the Emerald project.</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Credit Agreement Amendment and the Depositary Agreement Amendment together require prepayments of principal in the amount of $2.0 million each on the last business day of each fiscal quarter in 2024, and to the extent funds are available on such dates, additional prepayments in the amounts of $2.5 million, $6.0 million, $10.0 million and $15.0 million (each a “Target Aggregate Special Principal Prepayment Amount”), respectively, in each case net of the prepayments already paid as of such date since January 1, 2024. As a condition precedent to making certain restricted payments, all mandatory prepayments made in 2024, in the aggregate, must meet or exceed the Target Aggregate Special Principal Prepayment Amount for such fiscal quarter, and the Pre-Term Conversion Debt Service Coverage Ratio must be greater than or equal to 1.4:1.0 as of the last day of the fiscal quarter immediately preceding the proposed date of such restricted payment.</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Credit Agreement Amendment and the Depositary Agreement Amendment are subject to a $150,000 amendment fee paid at closing of such amendments.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12, 2024, Fortistar, through its subsidiary OPAL Holdco, converted 71.5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Fortistar converted such shares in order that the Company’s Class A common stock would become eligible for inclusion in certain stock market indices, on which many broad-based mutual funds and exchange-traded index funds are based. There can be no assurance that the Company’s Class A common stock will be included in any stock market index as a result of the share conversion, or that if the Company’s Class A common stock is included in any such index, that the price per share of the Company’s Class A common stock will be positively affected.</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Post this exchange, Fortistar holds 72,899,037 shares of Class D common stock and 71,500,000 shares of Class B common stock.</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F-62</w:t>
      </w:r>
    </w:p>
    <w:p>
      <w:pPr>
        <w:sectPr>
          <w:pgSz w:w="12240" w:h="15840" w:orient="portrait"/>
          <w:cols w:equalWidth="0" w:num="1">
            <w:col w:w="9360"/>
          </w:cols>
          <w:pgMar w:left="1440" w:top="941" w:right="1440" w:bottom="353"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PMingLiU" w:cs="PMingLiU" w:eastAsia="PMingLiU" w:hAnsi="PMingLiU"/>
          <w:sz w:val="24"/>
          <w:szCs w:val="24"/>
          <w:b w:val="1"/>
          <w:bCs w:val="1"/>
          <w:color w:val="3B2390"/>
        </w:rPr>
        <w:t>&amp;RUSRUDWH2I¿FH</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09"/>
        </w:rPr>
        <w:t>One North Lexington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09"/>
        </w:rPr>
        <w:t>Suite 1450</w:t>
      </w:r>
    </w:p>
    <w:p>
      <w:pPr>
        <w:spacing w:after="0" w:line="241" w:lineRule="auto"/>
        <w:rPr>
          <w:sz w:val="20"/>
          <w:szCs w:val="20"/>
          <w:color w:val="auto"/>
        </w:rPr>
      </w:pPr>
      <w:r>
        <w:rPr>
          <w:rFonts w:ascii="Times New Roman" w:cs="Times New Roman" w:eastAsia="Times New Roman" w:hAnsi="Times New Roman"/>
          <w:sz w:val="18"/>
          <w:szCs w:val="18"/>
          <w:color w:val="000009"/>
        </w:rPr>
        <w:t xml:space="preserve">White Plains, NY 10601 </w:t>
      </w:r>
      <w:r>
        <w:rPr>
          <w:rFonts w:ascii="PMingLiU" w:cs="PMingLiU" w:eastAsia="PMingLiU" w:hAnsi="PMingLiU"/>
          <w:sz w:val="18"/>
          <w:szCs w:val="18"/>
          <w:b w:val="1"/>
          <w:bCs w:val="1"/>
          <w:color w:val="FFFFFF"/>
        </w:rPr>
        <w:t>ZZZ23$/)XHOVFRP</w:t>
      </w:r>
      <w:r>
        <w:rPr>
          <w:rFonts w:ascii="Times New Roman" w:cs="Times New Roman" w:eastAsia="Times New Roman" w:hAnsi="Times New Roman"/>
          <w:sz w:val="18"/>
          <w:szCs w:val="18"/>
          <w:color w:val="000009"/>
        </w:rPr>
        <w:t xml:space="preserve"> (914) 705-4000</w:t>
      </w:r>
    </w:p>
    <w:sectPr>
      <w:pgSz w:w="12240" w:h="15840" w:orient="portrait"/>
      <w:cols w:equalWidth="0" w:num="1">
        <w:col w:w="10920"/>
      </w:cols>
      <w:pgMar w:left="720" w:top="1440" w:right="600" w:bottom="2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lowerRoman"/>
      <w:start w:val="2"/>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lowerRoman"/>
      <w:start w:val="3"/>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lvl w:ilvl="1">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lowerLetter"/>
      <w:start w:val="1"/>
    </w:lvl>
  </w:abstractNum>
  <w:abstractNum w:abstractNumId="31">
    <w:nsid w:val="70C6A529"/>
    <w:multiLevelType w:val="hybridMultilevel"/>
    <w:lvl w:ilvl="0">
      <w:lvlJc w:val="left"/>
      <w:lvlText w:val="(%1)"/>
      <w:numFmt w:val="lowerLetter"/>
      <w:start w:val="1"/>
    </w:lvl>
    <w:lvl w:ilvl="1">
      <w:lvlJc w:val="left"/>
      <w:lvlText w:val="%2."/>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quot;"/>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4"/>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8"/>
    </w:lvl>
  </w:abstractNum>
  <w:abstractNum w:abstractNumId="51">
    <w:nsid w:val="77AE35EB"/>
    <w:multiLevelType w:val="hybridMultilevel"/>
    <w:lvl w:ilvl="0">
      <w:lvlJc w:val="left"/>
      <w:lvlText w:val="\emdash "/>
      <w:numFmt w:val="bullet"/>
      <w:start w:val="1"/>
    </w:lvl>
  </w:abstractNum>
  <w:abstractNum w:abstractNumId="52">
    <w:nsid w:val="579BE4F1"/>
    <w:multiLevelType w:val="hybridMultilevel"/>
    <w:lvl w:ilvl="0">
      <w:lvlJc w:val="left"/>
      <w:lvlText w:val="%1."/>
      <w:numFmt w:val="decimal"/>
      <w:start w:val="8"/>
    </w:lvl>
  </w:abstractNum>
  <w:abstractNum w:abstractNumId="53">
    <w:nsid w:val="310C50B3"/>
    <w:multiLevelType w:val="hybridMultilevel"/>
    <w:lvl w:ilvl="0">
      <w:lvlJc w:val="left"/>
      <w:lvlText w:val="%1."/>
      <w:numFmt w:val="decimal"/>
      <w:start w:val="8"/>
    </w:lvl>
  </w:abstractNum>
  <w:abstractNum w:abstractNumId="54">
    <w:nsid w:val="5FF87E05"/>
    <w:multiLevelType w:val="hybridMultilevel"/>
    <w:lvl w:ilvl="0">
      <w:lvlJc w:val="left"/>
      <w:lvlText w:val="%1"/>
      <w:numFmt w:val="decimal"/>
      <w:start w:val="97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8"/>
    </w:lvl>
  </w:abstractNum>
  <w:abstractNum w:abstractNumId="58">
    <w:nsid w:val="4AD084E9"/>
    <w:multiLevelType w:val="hybridMultilevel"/>
    <w:lvl w:ilvl="0">
      <w:lvlJc w:val="left"/>
      <w:lvlText w:val="(%1)"/>
      <w:numFmt w:val="decimal"/>
    </w:lvl>
    <w:lvl w:ilvl="1">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
      <w:numFmt w:val="bullet"/>
      <w:start w:val="1"/>
    </w:lvl>
    <w:lvl w:ilvl="1">
      <w:lvlJc w:val="left"/>
      <w:lvlText w:val="•"/>
      <w:numFmt w:val="bullet"/>
      <w:start w:val="1"/>
    </w:lvl>
  </w:abstractNum>
  <w:abstractNum w:abstractNumId="63">
    <w:nsid w:val="6590700B"/>
    <w:multiLevelType w:val="hybridMultilevel"/>
    <w:lvl w:ilvl="0">
      <w:lvlJc w:val="left"/>
      <w:lvlText w:val="•"/>
      <w:numFmt w:val="bullet"/>
      <w:start w:val="1"/>
    </w:lvl>
    <w:lvl w:ilvl="1">
      <w:lvlJc w:val="left"/>
      <w:lvlText w:val="•"/>
      <w:numFmt w:val="bullet"/>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1."/>
      <w:numFmt w:val="decimal"/>
      <w:start w:val="13"/>
    </w:lvl>
  </w:abstractNum>
  <w:abstractNum w:abstractNumId="69">
    <w:nsid w:val="42C296BD"/>
    <w:multiLevelType w:val="hybridMultilevel"/>
    <w:lvl w:ilvl="0">
      <w:lvlJc w:val="left"/>
      <w:lvlText w:val="(%1)"/>
      <w:numFmt w:val="lowerRoman"/>
      <w:start w:val="2"/>
    </w:lvl>
  </w:abstractNum>
  <w:abstractNum w:abstractNumId="70">
    <w:nsid w:val="168E121F"/>
    <w:multiLevelType w:val="hybridMultilevel"/>
    <w:lvl w:ilvl="0">
      <w:lvlJc w:val="left"/>
      <w:lvlText w:val="%1."/>
      <w:numFmt w:val="decimal"/>
      <w:start w:val="13"/>
    </w:lvl>
  </w:abstractNum>
  <w:abstractNum w:abstractNumId="71">
    <w:nsid w:val="1EBA5D23"/>
    <w:multiLevelType w:val="hybridMultilevel"/>
    <w:lvl w:ilvl="0">
      <w:lvlJc w:val="left"/>
      <w:lvlText w:val="(%1)"/>
      <w:numFmt w:val="lowerRoman"/>
      <w:start w:val="1"/>
    </w:lvl>
  </w:abstractNum>
  <w:abstractNum w:abstractNumId="72">
    <w:nsid w:val="661E3F1E"/>
    <w:multiLevelType w:val="hybridMultilevel"/>
    <w:lvl w:ilvl="0">
      <w:lvlJc w:val="left"/>
      <w:lvlText w:val="%1."/>
      <w:numFmt w:val="decimal"/>
      <w:start w:val="13"/>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2024-04-22T07:11:35Z</dcterms:created>
  <dcterms:modified xsi:type="dcterms:W3CDTF">2024-04-22T07:11:35Z</dcterms:modified>
</cp:coreProperties>
</file>