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OPAL Fuels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Charles E. Sieving, Esq., EVP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NextEra Energy, Inc., 700 Universe Boulevard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Juno Beach, FL, 33408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561-694-4000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NEXTERA ENERGY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FLORIDA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8, 10, 11: Reflects 2,158,547 shares of Class A common stock, par value $0.0001 per share ("Class A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Stock"), owned by Mendocino Capital, LLC, a wholly owned subsidiary of NextEra Energy, Inc., a publicly traded</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company with its common stock listed on the New York Stock Exchange under the symbol "NEE". Item 13: The</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percentage used herein and in the rest of this Schedule 13D is calculated based upon 28,996,177 shares of the Issuer's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Class A Common Stock outstanding as of November 7, 2025, as disclosed in the Issuer's Quarterly Report on Form 10-</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Q filed with the Securities and Exchange Commission on November 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68347P103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Mendocino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2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bookmarkStart w:id="2" w:name="page3"/>
    <w:bookmarkEnd w:id="2"/>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2,158,547.00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7.4 %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Items 8, 10, 11: Reflects 2,158,547 shares of Class A Common Stock owned by Mendocino Capital, LLC, a wholly</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owned subsidiary of NextEra Energy, Inc., a publicly traded company with its common stock listed on the New York</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Stock Exchange under the symbol "NEE". Item 13: The percentage used herein and in the rest of this Schedule 13D is</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calculated based upon 28,996,177shares of the Issuer's Class A Common Stock outstanding as of November 7, 2025,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as disclosed in the Issuer's Quarterly Report on Form 10-Q filed with the Securities and Exchange Commission 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November 7, 2025.</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OPAL Fuels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700 Universe Boulevard, Juno Beach, FLORIDA , 33408.</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("Amendment No. 2") to Schedule 13D relates to the Class A common stock, $0.0001 par</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value per share (the "Class A Common Stock"), of OPAL Fuels Inc. (the "Issuer"), and amends and supplements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initial statement on Schedule 13D originally filed with the Securities and Exchange Commission (the "SEC") by the Reporting Persons on August 1, 2022, as amended by Amendment No. 1 thereto on January 5, 2024 (as amended by such Amendment No. 1, the "Original Schedule 13D"). Capitalized terms used but not defined in this Amendment No. 2 shall have the same meanings ascribed to them in the Original Schedule 13D. This Amendment No. 2 is being filed solely to amend and restate Item 6 below to report the new information described in the final sentence of the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third paragraph of Item 6, as well as to update the information contained in Item 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00" w:hanging="912"/>
        <w:spacing w:after="0" w:line="255" w:lineRule="auto"/>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second and third paragraphs of Item 2 of the Original Schedule 13D are hereby amended and restated as follows: Schedule I attached hereto lists the directors and executive officers of NEE (the "Related Parties") and their respective principal occupation, address and citizenship. During the last five years, the Reporting Person has not, and, to the Reporting Person's knowledge, none of the Related Parties has, (i) been convicted in a criminal proceeding of</w:t>
      </w:r>
    </w:p>
    <w:p>
      <w:pPr>
        <w:sectPr>
          <w:pgSz w:w="11900" w:h="16918" w:orient="portrait"/>
          <w:cols w:equalWidth="0" w:num="1">
            <w:col w:w="11240"/>
          </w:cols>
          <w:pgMar w:left="320" w:top="612" w:right="339" w:bottom="0" w:gutter="0" w:footer="0" w:header="0"/>
        </w:sectPr>
      </w:pPr>
    </w:p>
    <w:bookmarkStart w:id="3" w:name="page4"/>
    <w:bookmarkEnd w:id="3"/>
    <w:p>
      <w:pPr>
        <w:ind w:left="920" w:right="260"/>
        <w:spacing w:after="0"/>
        <w:rPr>
          <w:sz w:val="20"/>
          <w:szCs w:val="20"/>
          <w:color w:val="auto"/>
        </w:rPr>
      </w:pPr>
      <w:r>
        <w:rPr>
          <w:rFonts w:ascii="Times New Roman" w:cs="Times New Roman" w:eastAsia="Times New Roman" w:hAnsi="Times New Roman"/>
          <w:sz w:val="22"/>
          <w:szCs w:val="22"/>
          <w:color w:val="auto"/>
        </w:rPr>
        <w:t>the type specified in Item 2(d) of Schedule 13D, or (ii)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4" w:lineRule="auto"/>
        <w:rPr>
          <w:sz w:val="20"/>
          <w:szCs w:val="20"/>
          <w:color w:val="auto"/>
        </w:rPr>
      </w:pPr>
      <w:r>
        <w:rPr>
          <w:rFonts w:ascii="Times New Roman" w:cs="Times New Roman" w:eastAsia="Times New Roman" w:hAnsi="Times New Roman"/>
          <w:sz w:val="21"/>
          <w:szCs w:val="21"/>
          <w:color w:val="auto"/>
        </w:rPr>
        <w:t>The second paragraph of Item 6 of the Original Schedule 13D is hereby amended and restated as follows: In addition to the 2,158,547 shares of Class A Common Stock that are described herein, the Reporting Persons are the beneficial owners of 1,000,000 Series A Preferred Units of Opal Fuels LLC, which are directly owned by Mendocino. Opal Fuels LLC is an entity that directly or indirectly holds substantially all of the consolidated assets and business of the Issuer. In its capacity as the direct owner of such 1,000,000 Series A Preferred Units, Mendocino is a party to the limited liability company agreement of Opal Fuels LLC, which agreement (including the certificate of designations included therein with respect to the Series A Preferred Units) sets forth certain rights and obligations of the parties thereto with respect to the Series A Preferred Stock. The Second Amended &amp; Restated LLC Agreement of Opal Fuels LLC (including the Series A Preferred Unit Certificate of Designations) was filed as Exhibit 10.8 to the Current Report on Form 8-K filed by the Issuer on July 27, 2022, is listed as Exhibit 99.2 below, and is incorporated herein by reference. On December 3, 2025, Mendocino provided written notice to Opal Fuels LLC, pursuant and subject to Opal Fuels LLC's Series A Preferred Unit Certificate of Designations, that Mendocino requests redemption, no later than 90 days after the date of such notice, of all Series A Preferred Units of Opal Fuels LLC held by Mendocino.</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NEXTERA ENERGY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Hickson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Hickson, Executive Vice President,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Corporate Development and Strategy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12/03/2025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Mendocino Capital, LLC</w:t>
      </w:r>
    </w:p>
    <w:p>
      <w:pPr>
        <w:spacing w:after="0" w:line="152"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Hickson</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Name/Title: Mark Hickson, President</w:t>
      </w:r>
    </w:p>
    <w:p>
      <w:pPr>
        <w:spacing w:after="0" w:line="44" w:lineRule="exact"/>
        <w:rPr>
          <w:sz w:val="20"/>
          <w:szCs w:val="20"/>
          <w:color w:val="auto"/>
        </w:rPr>
      </w:pPr>
    </w:p>
    <w:p>
      <w:pPr>
        <w:ind w:left="344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12/03/2025</w:t>
      </w:r>
    </w:p>
    <w:p>
      <w:pPr>
        <w:sectPr>
          <w:pgSz w:w="11900" w:h="16838" w:orient="portrait"/>
          <w:cols w:equalWidth="0" w:num="1">
            <w:col w:w="11140"/>
          </w:cols>
          <w:pgMar w:left="360" w:top="112"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We, the signatories of the statement to which this Joint Filing Agreement is attached, hereby agree that such statement is filed, and any amendments thereto filed by any or all of us, will be filed, on behalf of each of us.</w:t>
      </w:r>
    </w:p>
    <w:p>
      <w:pPr>
        <w:spacing w:after="0" w:line="18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December 3,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NEXTERA ENERGY, INC.</w:t>
      </w:r>
    </w:p>
    <w:p>
      <w:pPr>
        <w:spacing w:after="0" w:line="200" w:lineRule="exact"/>
        <w:rPr>
          <w:sz w:val="20"/>
          <w:szCs w:val="20"/>
          <w:color w:val="auto"/>
        </w:rPr>
      </w:pPr>
    </w:p>
    <w:p>
      <w:pPr>
        <w:spacing w:after="0" w:line="280" w:lineRule="exact"/>
        <w:rPr>
          <w:sz w:val="20"/>
          <w:szCs w:val="20"/>
          <w:color w:val="auto"/>
        </w:rPr>
      </w:pPr>
    </w:p>
    <w:tbl>
      <w:tblPr>
        <w:tblLayout w:type="fixed"/>
        <w:tblInd w:w="4760" w:type="dxa"/>
        <w:tblCellMar>
          <w:top w:w="0" w:type="dxa"/>
          <w:left w:w="0" w:type="dxa"/>
          <w:bottom w:w="0" w:type="dxa"/>
          <w:right w:w="0" w:type="dxa"/>
        </w:tblCellMar>
      </w:tblP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Mark Hickson</w:t>
            </w:r>
          </w:p>
        </w:tc>
      </w:tr>
      <w:tr>
        <w:trPr>
          <w:trHeight w:val="506"/>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Mark Hickson</w:t>
            </w:r>
          </w:p>
        </w:tc>
      </w:tr>
      <w:tr>
        <w:trPr>
          <w:trHeight w:val="47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22"/>
                <w:szCs w:val="22"/>
                <w:color w:val="auto"/>
              </w:rPr>
              <w:t>Executive Vice President, Corporate</w:t>
            </w:r>
          </w:p>
        </w:tc>
      </w:tr>
      <w:tr>
        <w:trPr>
          <w:trHeight w:val="277"/>
        </w:trPr>
        <w:tc>
          <w:tcPr>
            <w:tcW w:w="86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Development and Strategy</w:t>
            </w:r>
          </w:p>
        </w:tc>
      </w:tr>
    </w:tbl>
    <w:p>
      <w:pPr>
        <w:spacing w:after="0" w:line="200" w:lineRule="exact"/>
        <w:rPr>
          <w:sz w:val="20"/>
          <w:szCs w:val="20"/>
          <w:color w:val="auto"/>
        </w:rPr>
      </w:pPr>
    </w:p>
    <w:p>
      <w:pPr>
        <w:spacing w:after="0" w:line="3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MENDOCINO CAPITAL, LLC</w:t>
      </w:r>
    </w:p>
    <w:p>
      <w:pPr>
        <w:spacing w:after="0" w:line="200" w:lineRule="exact"/>
        <w:rPr>
          <w:sz w:val="20"/>
          <w:szCs w:val="20"/>
          <w:color w:val="auto"/>
        </w:rPr>
      </w:pPr>
    </w:p>
    <w:p>
      <w:pPr>
        <w:spacing w:after="0" w:line="280" w:lineRule="exact"/>
        <w:rPr>
          <w:sz w:val="20"/>
          <w:szCs w:val="20"/>
          <w:color w:val="auto"/>
        </w:rPr>
      </w:pPr>
    </w:p>
    <w:p>
      <w:pPr>
        <w:ind w:left="4760"/>
        <w:spacing w:after="0"/>
        <w:tabs>
          <w:tab w:leader="none" w:pos="5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25546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40" w:lineRule="exact"/>
        <w:rPr>
          <w:sz w:val="20"/>
          <w:szCs w:val="20"/>
          <w:color w:val="auto"/>
        </w:rPr>
      </w:pPr>
    </w:p>
    <w:p>
      <w:pPr>
        <w:ind w:left="4760"/>
        <w:spacing w:after="0"/>
        <w:tabs>
          <w:tab w:leader="none" w:pos="5600" w:val="left"/>
        </w:tabs>
        <w:rPr>
          <w:sz w:val="20"/>
          <w:szCs w:val="20"/>
          <w:color w:val="auto"/>
        </w:rPr>
      </w:pPr>
      <w:r>
        <w:rPr>
          <w:rFonts w:ascii="Times New Roman" w:cs="Times New Roman" w:eastAsia="Times New Roman" w:hAnsi="Times New Roman"/>
          <w:sz w:val="22"/>
          <w:szCs w:val="22"/>
          <w:color w:val="auto"/>
        </w:rPr>
        <w:t>Name:</w:t>
        <w:tab/>
        <w:t>Mark Hickson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19685</wp:posOffset>
            </wp:positionV>
            <wp:extent cx="2554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ind w:left="4760"/>
        <w:spacing w:after="0" w:line="210" w:lineRule="auto"/>
        <w:tabs>
          <w:tab w:leader="none" w:pos="5600" w:val="left"/>
        </w:tabs>
        <w:rPr>
          <w:sz w:val="20"/>
          <w:szCs w:val="20"/>
          <w:color w:val="auto"/>
        </w:rPr>
      </w:pPr>
      <w:r>
        <w:rPr>
          <w:rFonts w:ascii="Times New Roman" w:cs="Times New Roman" w:eastAsia="Times New Roman" w:hAnsi="Times New Roman"/>
          <w:sz w:val="43"/>
          <w:szCs w:val="43"/>
          <w:color w:val="auto"/>
          <w:vertAlign w:val="superscript"/>
        </w:rPr>
        <w:t>Title:</w:t>
      </w:r>
      <w:r>
        <w:rPr>
          <w:sz w:val="20"/>
          <w:szCs w:val="20"/>
          <w:color w:val="auto"/>
        </w:rPr>
        <w:tab/>
      </w: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79375</wp:posOffset>
            </wp:positionV>
            <wp:extent cx="255460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5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name, present principal occupation or employment and citizenship of each of the directors and executive officers of NEE are set forth below. The business address of each individual is c/o NextEra Energy, Inc., 700 Universe Boulevard, Juno Beach, Florida 33408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Director of NEE</w:t>
            </w:r>
          </w:p>
        </w:tc>
        <w:tc>
          <w:tcPr>
            <w:tcW w:w="280" w:type="dxa"/>
            <w:vAlign w:val="bottom"/>
          </w:tcPr>
          <w:p>
            <w:pPr>
              <w:spacing w:after="0"/>
              <w:rPr>
                <w:sz w:val="20"/>
                <w:szCs w:val="20"/>
                <w:color w:val="auto"/>
              </w:rPr>
            </w:pPr>
          </w:p>
        </w:tc>
        <w:tc>
          <w:tcPr>
            <w:tcW w:w="67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84"/>
        </w:trPr>
        <w:tc>
          <w:tcPr>
            <w:tcW w:w="23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Nicole S. Arnaboldi</w:t>
            </w:r>
          </w:p>
        </w:tc>
        <w:tc>
          <w:tcPr>
            <w:tcW w:w="280" w:type="dxa"/>
            <w:vAlign w:val="bottom"/>
          </w:tcPr>
          <w:p>
            <w:pPr>
              <w:spacing w:after="0"/>
              <w:rPr>
                <w:sz w:val="16"/>
                <w:szCs w:val="16"/>
                <w:color w:val="auto"/>
              </w:rPr>
            </w:pPr>
          </w:p>
        </w:tc>
        <w:tc>
          <w:tcPr>
            <w:tcW w:w="64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Partner at Oak Hill Capital Management</w:t>
            </w:r>
          </w:p>
        </w:tc>
        <w:tc>
          <w:tcPr>
            <w:tcW w:w="3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L. Camaren</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Private investor</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Naren K. Gursahaney</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President and CEO of The ADT Corporation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Kirk S. Hachigian</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Chairman of the Board of JELD-WEN Holding, Inc.</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Maria Henry</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Chief Financial Officer of Kimberly-Clark Corporation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W. Ketchum</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President and Chief Executive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03"/>
        </w:trPr>
        <w:tc>
          <w:tcPr>
            <w:tcW w:w="2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Amy B. Lane</w:t>
            </w:r>
          </w:p>
        </w:tc>
        <w:tc>
          <w:tcPr>
            <w:tcW w:w="7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Retired Managing Director and Group Leader of Global Retailing Investment Banking</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02"/>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Group of Merrill Lynch &amp; Co., Inc.</w:t>
            </w:r>
          </w:p>
        </w:tc>
        <w:tc>
          <w:tcPr>
            <w:tcW w:w="1840" w:type="dxa"/>
            <w:vAlign w:val="bottom"/>
          </w:tcPr>
          <w:p>
            <w:pPr>
              <w:spacing w:after="0"/>
              <w:rPr>
                <w:sz w:val="17"/>
                <w:szCs w:val="17"/>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Geoffrey S. Martha</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and Chief Executive Officer of Medtronic plc</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David L. Porges</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Chairman of the Board of Equitrans Midstream Corporation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Dev Stahlkopf</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and Chief Legal Officer of Cisco Systems, Inc.</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Arthur Stall</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President of NextEra Energy’s nuclear division</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Darryl L. Wilson</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Retired Vice President, Commercial of GE Power, a business of GE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03"/>
        </w:trPr>
        <w:tc>
          <w:tcPr>
            <w:tcW w:w="2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Name of Executive Officer of</w:t>
            </w:r>
          </w:p>
        </w:tc>
        <w:tc>
          <w:tcPr>
            <w:tcW w:w="28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2"/>
        </w:trPr>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NEE</w:t>
            </w:r>
          </w:p>
        </w:tc>
        <w:tc>
          <w:tcPr>
            <w:tcW w:w="280" w:type="dxa"/>
            <w:vAlign w:val="bottom"/>
          </w:tcPr>
          <w:p>
            <w:pPr>
              <w:spacing w:after="0"/>
              <w:rPr>
                <w:sz w:val="20"/>
                <w:szCs w:val="20"/>
                <w:color w:val="auto"/>
              </w:rPr>
            </w:pPr>
          </w:p>
        </w:tc>
        <w:tc>
          <w:tcPr>
            <w:tcW w:w="674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Principal Occupation or Employment</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84"/>
        </w:trPr>
        <w:tc>
          <w:tcPr>
            <w:tcW w:w="238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Brian W. Bolster</w:t>
            </w:r>
          </w:p>
        </w:tc>
        <w:tc>
          <w:tcPr>
            <w:tcW w:w="280" w:type="dxa"/>
            <w:vAlign w:val="bottom"/>
          </w:tcPr>
          <w:p>
            <w:pPr>
              <w:spacing w:after="0"/>
              <w:rPr>
                <w:sz w:val="16"/>
                <w:szCs w:val="16"/>
                <w:color w:val="auto"/>
              </w:rPr>
            </w:pPr>
          </w:p>
        </w:tc>
        <w:tc>
          <w:tcPr>
            <w:tcW w:w="6440" w:type="dxa"/>
            <w:vAlign w:val="bottom"/>
            <w:tcBorders>
              <w:top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President and Chief Executive Officer, NextEra Energy Resources</w:t>
            </w:r>
          </w:p>
        </w:tc>
        <w:tc>
          <w:tcPr>
            <w:tcW w:w="3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Robert Coffey</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Nuclear Division and Chief Nuclear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 Kirk Crews</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Risk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Nicole Daggs</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Human Resources and Corporate Services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Michael Dunne</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William J. Gough</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Vice President, Controller and Chief Accounting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Mark E. Hickson</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Corporate Development and Strategy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John W. Ketchum</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Chairman, President and Chief Executive Officer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Mark Lemasney</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Vice President, Power Generation Division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M. May</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Treasurer and Assistant Secretary of NEE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Armando Pimentel</w:t>
            </w: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Chief Executive Officer, Florida Power &amp; Light Company</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r>
      <w:tr>
        <w:trPr>
          <w:trHeight w:val="203"/>
        </w:trPr>
        <w:tc>
          <w:tcPr>
            <w:tcW w:w="2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Ronald R. Reagan</w:t>
            </w:r>
          </w:p>
        </w:tc>
        <w:tc>
          <w:tcPr>
            <w:tcW w:w="7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Executive Vice President, Engineering, Construction and Integrated Supply Chain of</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03"/>
        </w:trPr>
        <w:tc>
          <w:tcPr>
            <w:tcW w:w="2380" w:type="dxa"/>
            <w:vAlign w:val="bottom"/>
          </w:tcPr>
          <w:p>
            <w:pPr>
              <w:spacing w:after="0"/>
              <w:rPr>
                <w:sz w:val="17"/>
                <w:szCs w:val="17"/>
                <w:color w:val="auto"/>
              </w:rPr>
            </w:pPr>
          </w:p>
        </w:tc>
        <w:tc>
          <w:tcPr>
            <w:tcW w:w="7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NEE</w:t>
            </w:r>
          </w:p>
        </w:tc>
        <w:tc>
          <w:tcPr>
            <w:tcW w:w="1840" w:type="dxa"/>
            <w:vAlign w:val="bottom"/>
          </w:tcPr>
          <w:p>
            <w:pPr>
              <w:spacing w:after="0"/>
              <w:rPr>
                <w:sz w:val="17"/>
                <w:szCs w:val="17"/>
                <w:color w:val="auto"/>
              </w:rPr>
            </w:pPr>
          </w:p>
        </w:tc>
      </w:tr>
      <w:tr>
        <w:trPr>
          <w:trHeight w:val="203"/>
        </w:trPr>
        <w:tc>
          <w:tcPr>
            <w:tcW w:w="23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Charles E. Sieving</w:t>
            </w:r>
          </w:p>
        </w:tc>
        <w:tc>
          <w:tcPr>
            <w:tcW w:w="7020" w:type="dxa"/>
            <w:vAlign w:val="bottom"/>
            <w:gridSpan w:val="3"/>
          </w:tcPr>
          <w:p>
            <w:pPr>
              <w:ind w:left="280"/>
              <w:spacing w:after="0" w:line="202" w:lineRule="exact"/>
              <w:rPr>
                <w:sz w:val="20"/>
                <w:szCs w:val="20"/>
                <w:color w:val="auto"/>
              </w:rPr>
            </w:pPr>
            <w:r>
              <w:rPr>
                <w:rFonts w:ascii="Times New Roman" w:cs="Times New Roman" w:eastAsia="Times New Roman" w:hAnsi="Times New Roman"/>
                <w:sz w:val="18"/>
                <w:szCs w:val="18"/>
                <w:color w:val="auto"/>
              </w:rPr>
              <w:t>Executive Vice President, Chief Legal, Environmental and Federal Regulatory Affairs</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United States</w:t>
            </w:r>
          </w:p>
        </w:tc>
      </w:tr>
      <w:tr>
        <w:trPr>
          <w:trHeight w:val="234"/>
        </w:trPr>
        <w:tc>
          <w:tcPr>
            <w:tcW w:w="2380" w:type="dxa"/>
            <w:vAlign w:val="bottom"/>
          </w:tcPr>
          <w:p>
            <w:pPr>
              <w:spacing w:after="0"/>
              <w:rPr>
                <w:sz w:val="20"/>
                <w:szCs w:val="20"/>
                <w:color w:val="auto"/>
              </w:rPr>
            </w:pPr>
          </w:p>
        </w:tc>
        <w:tc>
          <w:tcPr>
            <w:tcW w:w="70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Officer of NEE</w:t>
            </w:r>
          </w:p>
        </w:tc>
        <w:tc>
          <w:tcPr>
            <w:tcW w:w="18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5"/>
      <w:numFmt w:val="bullet"/>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2025-12-03T15:14:47Z</dcterms:created>
  <dcterms:modified xsi:type="dcterms:W3CDTF">2025-12-03T15:14:47Z</dcterms:modified>
</cp:coreProperties>
</file>