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8"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112" w:lineRule="exact"/>
        <w:rPr>
          <w:sz w:val="24"/>
          <w:szCs w:val="24"/>
          <w:color w:val="auto"/>
        </w:rPr>
      </w:pPr>
    </w:p>
    <w:p>
      <w:pPr>
        <w:ind w:left="4880"/>
        <w:spacing w:after="0"/>
        <w:rPr>
          <w:sz w:val="20"/>
          <w:szCs w:val="20"/>
          <w:color w:val="auto"/>
        </w:rPr>
      </w:pPr>
      <w:r>
        <w:rPr>
          <w:rFonts w:ascii="Arial" w:cs="Arial" w:eastAsia="Arial" w:hAnsi="Arial"/>
          <w:sz w:val="25"/>
          <w:szCs w:val="25"/>
          <w:b w:val="1"/>
          <w:bCs w:val="1"/>
          <w:color w:val="auto"/>
        </w:rPr>
        <w:t>FORM 8-K/A</w:t>
      </w:r>
    </w:p>
    <w:p>
      <w:pPr>
        <w:spacing w:after="0" w:line="41"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(Amendment No. 1)</w:t>
      </w:r>
    </w:p>
    <w:p>
      <w:pPr>
        <w:spacing w:after="0" w:line="14"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_____________</w:t>
      </w:r>
    </w:p>
    <w:p>
      <w:pPr>
        <w:spacing w:after="0" w:line="45"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ind w:left="31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14, 2022</w:t>
      </w:r>
    </w:p>
    <w:p>
      <w:pPr>
        <w:spacing w:after="0" w:line="293"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49"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OPAL Fuels Inc.</w:t>
      </w:r>
    </w:p>
    <w:p>
      <w:pPr>
        <w:spacing w:after="0" w:line="76"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(Exact name of registrant as specified in its charter)</w:t>
      </w:r>
    </w:p>
    <w:p>
      <w:pPr>
        <w:spacing w:after="0" w:line="59"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1"/>
              </w:rPr>
              <w:t>Delaware</w:t>
            </w:r>
          </w:p>
        </w:tc>
        <w:tc>
          <w:tcPr>
            <w:tcW w:w="3080" w:type="dxa"/>
            <w:vAlign w:val="bottom"/>
          </w:tcPr>
          <w:p>
            <w:pPr>
              <w:jc w:val="right"/>
              <w:ind w:right="1030"/>
              <w:spacing w:after="0"/>
              <w:rPr>
                <w:sz w:val="20"/>
                <w:szCs w:val="20"/>
                <w:color w:val="auto"/>
              </w:rPr>
            </w:pPr>
            <w:r>
              <w:rPr>
                <w:rFonts w:ascii="Arial" w:cs="Arial" w:eastAsia="Arial" w:hAnsi="Arial"/>
                <w:sz w:val="18"/>
                <w:szCs w:val="18"/>
                <w:b w:val="1"/>
                <w:bCs w:val="1"/>
                <w:color w:val="auto"/>
              </w:rPr>
              <w:t>001-40272</w:t>
            </w:r>
          </w:p>
        </w:tc>
        <w:tc>
          <w:tcPr>
            <w:tcW w:w="2980" w:type="dxa"/>
            <w:vAlign w:val="bottom"/>
          </w:tcPr>
          <w:p>
            <w:pPr>
              <w:jc w:val="right"/>
              <w:ind w:right="710"/>
              <w:spacing w:after="0"/>
              <w:rPr>
                <w:sz w:val="20"/>
                <w:szCs w:val="20"/>
                <w:color w:val="auto"/>
              </w:rPr>
            </w:pPr>
            <w:r>
              <w:rPr>
                <w:rFonts w:ascii="Arial" w:cs="Arial" w:eastAsia="Arial" w:hAnsi="Arial"/>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(State or other jurisdiction of</w:t>
            </w:r>
          </w:p>
        </w:tc>
        <w:tc>
          <w:tcPr>
            <w:tcW w:w="308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4"/>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65"/>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0"/>
              </w:rPr>
              <w:t>One North Lexington Avenue</w:t>
            </w:r>
            <w:r>
              <w:rPr>
                <w:rFonts w:ascii="Arial" w:cs="Arial" w:eastAsia="Arial" w:hAnsi="Arial"/>
                <w:sz w:val="18"/>
                <w:szCs w:val="18"/>
                <w:b w:val="1"/>
                <w:bCs w:val="1"/>
                <w:color w:val="3051F2"/>
                <w:w w:val="90"/>
              </w:rPr>
              <w:t>,</w:t>
            </w:r>
            <w:r>
              <w:rPr>
                <w:rFonts w:ascii="Arial" w:cs="Arial" w:eastAsia="Arial" w:hAnsi="Arial"/>
                <w:sz w:val="18"/>
                <w:szCs w:val="18"/>
                <w:b w:val="1"/>
                <w:bCs w:val="1"/>
                <w:color w:val="auto"/>
                <w:w w:val="90"/>
              </w:rPr>
              <w:t xml:space="preserve"> Suite 1450</w:t>
            </w:r>
          </w:p>
        </w:tc>
        <w:tc>
          <w:tcPr>
            <w:tcW w:w="308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234"/>
        </w:trPr>
        <w:tc>
          <w:tcPr>
            <w:tcW w:w="3740" w:type="dxa"/>
            <w:vAlign w:val="bottom"/>
          </w:tcPr>
          <w:p>
            <w:pPr>
              <w:jc w:val="center"/>
              <w:ind w:right="490"/>
              <w:spacing w:after="0"/>
              <w:rPr>
                <w:sz w:val="20"/>
                <w:szCs w:val="20"/>
                <w:color w:val="auto"/>
              </w:rPr>
            </w:pPr>
            <w:r>
              <w:rPr>
                <w:rFonts w:ascii="Arial" w:cs="Arial" w:eastAsia="Arial" w:hAnsi="Arial"/>
                <w:sz w:val="18"/>
                <w:szCs w:val="18"/>
                <w:b w:val="1"/>
                <w:bCs w:val="1"/>
                <w:color w:val="auto"/>
                <w:w w:val="92"/>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Arial" w:cs="Arial" w:eastAsia="Arial" w:hAnsi="Arial"/>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Arial" w:cs="Arial" w:eastAsia="Arial" w:hAnsi="Arial"/>
                <w:sz w:val="18"/>
                <w:szCs w:val="18"/>
                <w:color w:val="auto"/>
                <w:w w:val="94"/>
              </w:rPr>
              <w:t>(Zip Code)</w:t>
            </w:r>
          </w:p>
        </w:tc>
      </w:tr>
    </w:tbl>
    <w:p>
      <w:pPr>
        <w:spacing w:after="0" w:line="29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5" w:lineRule="exact"/>
        <w:rPr>
          <w:sz w:val="24"/>
          <w:szCs w:val="24"/>
          <w:color w:val="auto"/>
        </w:rPr>
      </w:pPr>
    </w:p>
    <w:p>
      <w:pPr>
        <w:ind w:left="4040"/>
        <w:spacing w:after="0"/>
        <w:rPr>
          <w:sz w:val="20"/>
          <w:szCs w:val="20"/>
          <w:color w:val="auto"/>
        </w:rPr>
      </w:pPr>
      <w:r>
        <w:rPr>
          <w:rFonts w:ascii="Arial" w:cs="Arial" w:eastAsia="Arial" w:hAnsi="Arial"/>
          <w:sz w:val="18"/>
          <w:szCs w:val="18"/>
          <w:b w:val="1"/>
          <w:bCs w:val="1"/>
          <w:color w:val="auto"/>
        </w:rPr>
        <w:t>___________________________________</w:t>
      </w:r>
    </w:p>
    <w:p>
      <w:pPr>
        <w:spacing w:after="0" w:line="216"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1"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720"/>
          </w:cols>
          <w:pgMar w:left="320" w:top="1251" w:right="859" w:bottom="1440" w:gutter="0" w:footer="0" w:header="0"/>
        </w:sectPr>
      </w:pPr>
    </w:p>
    <w:p>
      <w:pPr>
        <w:spacing w:after="0" w:line="279"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3" w:lineRule="exact"/>
        <w:rPr>
          <w:sz w:val="24"/>
          <w:szCs w:val="24"/>
          <w:color w:val="auto"/>
        </w:rPr>
      </w:pPr>
    </w:p>
    <w:p>
      <w:pPr>
        <w:jc w:val="center"/>
        <w:ind w:left="120"/>
        <w:spacing w:after="0"/>
        <w:rPr>
          <w:sz w:val="20"/>
          <w:szCs w:val="20"/>
          <w:color w:val="auto"/>
        </w:rPr>
      </w:pPr>
      <w:r>
        <w:rPr>
          <w:rFonts w:ascii="Arial" w:cs="Arial" w:eastAsia="Arial" w:hAnsi="Arial"/>
          <w:sz w:val="18"/>
          <w:szCs w:val="18"/>
          <w:b w:val="1"/>
          <w:bCs w:val="1"/>
          <w:u w:val="single" w:color="auto"/>
          <w:color w:val="auto"/>
        </w:rPr>
        <w:t>Title of each class</w:t>
      </w:r>
    </w:p>
    <w:p>
      <w:pPr>
        <w:spacing w:after="0" w:line="67" w:lineRule="exact"/>
        <w:rPr>
          <w:sz w:val="24"/>
          <w:szCs w:val="24"/>
          <w:color w:val="auto"/>
        </w:rPr>
      </w:pPr>
    </w:p>
    <w:p>
      <w:pPr>
        <w:jc w:val="center"/>
        <w:ind w:left="120"/>
        <w:spacing w:after="0"/>
        <w:rPr>
          <w:sz w:val="20"/>
          <w:szCs w:val="20"/>
          <w:color w:val="auto"/>
        </w:rPr>
      </w:pPr>
      <w:r>
        <w:rPr>
          <w:rFonts w:ascii="Arial" w:cs="Arial" w:eastAsia="Arial" w:hAnsi="Arial"/>
          <w:sz w:val="18"/>
          <w:szCs w:val="18"/>
          <w:color w:val="auto"/>
        </w:rPr>
        <w:t>Class A common stock, par value $.0001 per share</w:t>
      </w:r>
    </w:p>
    <w:p>
      <w:pPr>
        <w:spacing w:after="0" w:line="77" w:lineRule="exact"/>
        <w:rPr>
          <w:sz w:val="24"/>
          <w:szCs w:val="24"/>
          <w:color w:val="auto"/>
        </w:rPr>
      </w:pPr>
    </w:p>
    <w:p>
      <w:pPr>
        <w:ind w:left="20"/>
        <w:spacing w:after="0" w:line="293" w:lineRule="auto"/>
        <w:rPr>
          <w:sz w:val="20"/>
          <w:szCs w:val="20"/>
          <w:color w:val="auto"/>
        </w:rPr>
      </w:pPr>
      <w:r>
        <w:rPr>
          <w:rFonts w:ascii="Arial" w:cs="Arial" w:eastAsia="Arial" w:hAnsi="Arial"/>
          <w:sz w:val="18"/>
          <w:szCs w:val="18"/>
          <w:color w:val="auto"/>
        </w:rPr>
        <w:t>Warrants, each whole warrant exercisable for one share of 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Trading Symbol(s)</w:t>
      </w:r>
    </w:p>
    <w:p>
      <w:pPr>
        <w:spacing w:after="0" w:line="97" w:lineRule="exact"/>
        <w:rPr>
          <w:sz w:val="24"/>
          <w:szCs w:val="24"/>
          <w:color w:val="auto"/>
        </w:rPr>
      </w:pPr>
    </w:p>
    <w:p>
      <w:pPr>
        <w:ind w:left="700"/>
        <w:spacing w:after="0"/>
        <w:rPr>
          <w:sz w:val="20"/>
          <w:szCs w:val="20"/>
          <w:color w:val="auto"/>
        </w:rPr>
      </w:pPr>
      <w:r>
        <w:rPr>
          <w:rFonts w:ascii="Arial" w:cs="Arial" w:eastAsia="Arial" w:hAnsi="Arial"/>
          <w:sz w:val="18"/>
          <w:szCs w:val="18"/>
          <w:color w:val="auto"/>
        </w:rPr>
        <w:t>OPAL</w:t>
      </w:r>
    </w:p>
    <w:p>
      <w:pPr>
        <w:spacing w:after="0" w:line="185" w:lineRule="exact"/>
        <w:rPr>
          <w:sz w:val="24"/>
          <w:szCs w:val="24"/>
          <w:color w:val="auto"/>
        </w:rPr>
      </w:pPr>
    </w:p>
    <w:p>
      <w:pPr>
        <w:ind w:left="620"/>
        <w:spacing w:after="0"/>
        <w:rPr>
          <w:sz w:val="20"/>
          <w:szCs w:val="20"/>
          <w:color w:val="auto"/>
        </w:rPr>
      </w:pPr>
      <w:r>
        <w:rPr>
          <w:rFonts w:ascii="Arial" w:cs="Arial" w:eastAsia="Arial" w:hAnsi="Arial"/>
          <w:sz w:val="18"/>
          <w:szCs w:val="18"/>
          <w:color w:val="auto"/>
        </w:rPr>
        <w:t>OPALW</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9" w:lineRule="exact"/>
        <w:rPr>
          <w:sz w:val="24"/>
          <w:szCs w:val="24"/>
          <w:color w:val="auto"/>
        </w:rPr>
      </w:pPr>
    </w:p>
    <w:p>
      <w:pPr>
        <w:jc w:val="center"/>
        <w:ind w:right="120"/>
        <w:spacing w:after="0"/>
        <w:rPr>
          <w:sz w:val="20"/>
          <w:szCs w:val="20"/>
          <w:color w:val="auto"/>
        </w:rPr>
      </w:pPr>
      <w:r>
        <w:rPr>
          <w:rFonts w:ascii="Arial" w:cs="Arial" w:eastAsia="Arial" w:hAnsi="Arial"/>
          <w:sz w:val="15"/>
          <w:szCs w:val="15"/>
          <w:b w:val="1"/>
          <w:bCs w:val="1"/>
          <w:u w:val="single" w:color="auto"/>
          <w:color w:val="auto"/>
        </w:rPr>
        <w:t>Name of each exchange on which registered</w:t>
      </w:r>
    </w:p>
    <w:p>
      <w:pPr>
        <w:spacing w:after="0" w:line="102"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The Nasdaq Stock Market LLC</w:t>
      </w:r>
    </w:p>
    <w:p>
      <w:pPr>
        <w:spacing w:after="0" w:line="18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The Nasdaq Stock Market LLC</w:t>
      </w:r>
    </w:p>
    <w:p>
      <w:pPr>
        <w:spacing w:after="0" w:line="360" w:lineRule="exact"/>
        <w:rPr>
          <w:sz w:val="24"/>
          <w:szCs w:val="24"/>
          <w:color w:val="auto"/>
        </w:rPr>
      </w:pPr>
    </w:p>
    <w:p>
      <w:pPr>
        <w:sectPr>
          <w:pgSz w:w="11900" w:h="16838" w:orient="portrait"/>
          <w:cols w:equalWidth="0" w:num="3">
            <w:col w:w="4640" w:space="120"/>
            <w:col w:w="1780" w:space="720"/>
            <w:col w:w="3460"/>
          </w:cols>
          <w:pgMar w:left="320" w:top="1251" w:right="85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51" w:right="859" w:bottom="1440" w:gutter="0" w:footer="0" w:header="0"/>
          <w:type w:val="continuous"/>
        </w:sectPr>
      </w:pPr>
    </w:p>
    <w:bookmarkStart w:id="1" w:name="page2"/>
    <w:bookmarkEnd w:id="1"/>
    <w:p>
      <w:pPr>
        <w:spacing w:after="0" w:line="207" w:lineRule="exact"/>
        <w:tabs>
          <w:tab w:leader="none" w:pos="21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This Current Report on Form 8-K amends the Current Report on Form 8-K of OPAL Fuels Inc. (the “Company”), originally furnished by the Company to the Securities and Exchange Commission on November 14, 2022 (the “Initial 8-K”). The sole purpose for filing this amended report is to correct certain clerical errors contained in the press release attached as Exhibit 99.1 to the Initial 8-K as described further below. A corrected Exhibit 99.1 is attached to this Current Report on Form 8-K as Exhibit 99.1.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November 14, 2022, the Company issued a press release regarding its financial results for the three and nine months ended September 30, 2022. Due to a clerical error, a decrease in revenue in the Company’s Renewable Power segment for the nine months ended September 30, 2022 of $2.2 million, or 7%, compared to the nine months ended September 30, 2021, was incorrectly attributed to a positive mark-to-market change in commodity swaps, when in fact such decrease was attributable primarily to lower generation at a renewable energy project, offset by a positive mark to market change in commodity swaps. This has been subsequently corrected in Exhibit 99.1 attached hereto.</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spacing w:after="0" w:line="20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Additionally, to supplement the Company’s unaudited condensed consolidated financial statements presented in accordance with accounting principles generally accepted in the United States of America (“GAAP”), the Company uses a non-GAAP financial measure that it calls adjusted EBITDA (“Adjusted EBITDA”). This non-GAAP measure adjusts net income for realized and unrealized gain on interest rate swaps, net loss attributable to non-redeemable non-controlling interests, transaction costs and one time non-recurring charges, non-cash charges, major maintenance for renewable power, unrealized loss (gain) for derivative instruments, non cash gain on reversal of a liability to non-redeemable non-controlling interests, gain on redemption of Note receivable, environmental credits associated with renewable biogas that has been produced and is in storage pending completion of certification of the relevant environmental attribute pathway(s), such credits having been contracted for sale pursuant to a forward purchase agreement with an institutional counterparty, and gain on acquisition of equity method investment.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0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Exhibit Number</w:t>
            </w:r>
          </w:p>
        </w:tc>
        <w:tc>
          <w:tcPr>
            <w:tcW w:w="20" w:type="dxa"/>
            <w:vAlign w:val="bottom"/>
          </w:tcPr>
          <w:p>
            <w:pPr>
              <w:spacing w:after="0"/>
              <w:rPr>
                <w:sz w:val="20"/>
                <w:szCs w:val="20"/>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41"/>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453"/>
        </w:trPr>
        <w:tc>
          <w:tcPr>
            <w:tcW w:w="2240" w:type="dxa"/>
            <w:vAlign w:val="bottom"/>
          </w:tcPr>
          <w:p>
            <w:pPr>
              <w:ind w:left="2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00" w:type="dxa"/>
            <w:vAlign w:val="bottom"/>
            <w:gridSpan w:val="3"/>
          </w:tcPr>
          <w:p>
            <w:pPr>
              <w:spacing w:after="0"/>
              <w:rPr>
                <w:sz w:val="20"/>
                <w:szCs w:val="20"/>
                <w:color w:val="auto"/>
              </w:rPr>
            </w:pPr>
            <w:r>
              <w:rPr>
                <w:rFonts w:ascii="Arial" w:cs="Arial" w:eastAsia="Arial" w:hAnsi="Arial"/>
                <w:sz w:val="18"/>
                <w:szCs w:val="18"/>
                <w:color w:val="0000FF"/>
              </w:rPr>
              <w:t>Press release, issued by OPAL Fuels Inc., dated November 14, 2022</w:t>
            </w:r>
          </w:p>
        </w:tc>
      </w:tr>
      <w:tr>
        <w:trPr>
          <w:trHeight w:val="1350"/>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00" w:type="dxa"/>
            <w:vAlign w:val="bottom"/>
            <w:tcBorders>
              <w:top w:val="single" w:sz="8" w:color="0000FF"/>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0"/>
          <w:szCs w:val="20"/>
          <w:color w:val="auto"/>
        </w:rPr>
        <w:t>Date: November 14, 2022</w:t>
      </w:r>
    </w:p>
    <w:p>
      <w:pPr>
        <w:spacing w:after="0" w:line="61" w:lineRule="exact"/>
        <w:rPr>
          <w:sz w:val="20"/>
          <w:szCs w:val="20"/>
          <w:color w:val="auto"/>
        </w:rPr>
      </w:pPr>
    </w:p>
    <w:p>
      <w:pPr>
        <w:ind w:left="5820"/>
        <w:spacing w:after="0"/>
        <w:rPr>
          <w:sz w:val="20"/>
          <w:szCs w:val="20"/>
          <w:color w:val="auto"/>
        </w:rPr>
      </w:pPr>
      <w:r>
        <w:rPr>
          <w:rFonts w:ascii="Arial" w:cs="Arial" w:eastAsia="Arial" w:hAnsi="Arial"/>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Pr>
          <w:p>
            <w:pPr>
              <w:ind w:left="40"/>
              <w:spacing w:after="0"/>
              <w:rPr>
                <w:sz w:val="20"/>
                <w:szCs w:val="20"/>
                <w:color w:val="auto"/>
              </w:rPr>
            </w:pPr>
            <w:r>
              <w:rPr>
                <w:rFonts w:ascii="Arial" w:cs="Arial" w:eastAsia="Arial" w:hAnsi="Arial"/>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6"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157734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IMMEDIATE RELEASE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OPAL Fuels Reports Third Quarter 2022 Results and</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Full Year 2022 Guidance</w:t>
      </w:r>
    </w:p>
    <w:p>
      <w:pPr>
        <w:spacing w:after="0" w:line="258"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 xml:space="preserve">WHITE PLAINS, N.Y. – (November 14, 2022) – </w:t>
      </w:r>
      <w:r>
        <w:rPr>
          <w:rFonts w:ascii="Arial" w:cs="Arial" w:eastAsia="Arial" w:hAnsi="Arial"/>
          <w:sz w:val="22"/>
          <w:szCs w:val="22"/>
          <w:u w:val="single" w:color="auto"/>
          <w:color w:val="0000FF"/>
        </w:rPr>
        <w:t>OPAL Fuels Inc</w:t>
      </w:r>
      <w:r>
        <w:rPr>
          <w:rFonts w:ascii="Arial" w:cs="Arial" w:eastAsia="Arial" w:hAnsi="Arial"/>
          <w:sz w:val="22"/>
          <w:szCs w:val="22"/>
          <w:color w:val="0000FF"/>
        </w:rPr>
        <w:t>.</w:t>
      </w:r>
      <w:r>
        <w:rPr>
          <w:rFonts w:ascii="Arial" w:cs="Arial" w:eastAsia="Arial" w:hAnsi="Arial"/>
          <w:sz w:val="22"/>
          <w:szCs w:val="22"/>
          <w:color w:val="auto"/>
        </w:rPr>
        <w:t xml:space="preserve"> (“OPAL Fuels” or the “Company”) (Nasdaq: OPAL), a leading vertically integrated producer and distributor of renewable natural gas (RNG), today announced financial and operating results for the three and nine months ended September 30, 2022.</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Highlights</w:t>
      </w:r>
    </w:p>
    <w:p>
      <w:pPr>
        <w:spacing w:after="0" w:line="64" w:lineRule="exact"/>
        <w:rPr>
          <w:sz w:val="20"/>
          <w:szCs w:val="20"/>
          <w:color w:val="auto"/>
        </w:rPr>
      </w:pPr>
    </w:p>
    <w:p>
      <w:pPr>
        <w:ind w:left="66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Revenues for the three and nine months ended September 30, 2022, were $66.6 million and $168.8 million, respectively, up 41% and 61%, compared to prior-year periods.</w:t>
      </w:r>
    </w:p>
    <w:p>
      <w:pPr>
        <w:spacing w:after="0" w:line="185" w:lineRule="exact"/>
        <w:rPr>
          <w:rFonts w:ascii="Arial" w:cs="Arial" w:eastAsia="Arial" w:hAnsi="Arial"/>
          <w:sz w:val="22"/>
          <w:szCs w:val="22"/>
          <w:color w:val="auto"/>
        </w:rPr>
      </w:pPr>
    </w:p>
    <w:p>
      <w:pPr>
        <w:ind w:left="660" w:right="20" w:hanging="328"/>
        <w:spacing w:after="0" w:line="23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Net income for the three and nine months ended September 30, 2022, was $5.4 million and $0.6 million, respectively, compared to $0.8 million and $19.0 million, in the same period last year.</w:t>
      </w:r>
    </w:p>
    <w:p>
      <w:pPr>
        <w:spacing w:after="0" w:line="178" w:lineRule="exact"/>
        <w:rPr>
          <w:rFonts w:ascii="Arial" w:cs="Arial" w:eastAsia="Arial" w:hAnsi="Arial"/>
          <w:sz w:val="22"/>
          <w:szCs w:val="22"/>
          <w:color w:val="auto"/>
        </w:rPr>
      </w:pPr>
    </w:p>
    <w:p>
      <w:pPr>
        <w:ind w:left="660" w:right="20" w:hanging="328"/>
        <w:spacing w:after="0" w:line="207"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Adjusted EBITDA</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three and nine months ended September 30, 2022, was $25.5 million and $40.6 million, respectively, up 130% and 78%, compared to prior-year periods.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2022 Guidance Expectations</w:t>
      </w:r>
    </w:p>
    <w:p>
      <w:pPr>
        <w:spacing w:after="0" w:line="2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Estimated Adjusted EBITDA</w:t>
      </w:r>
      <w:r>
        <w:rPr>
          <w:rFonts w:ascii="Arial" w:cs="Arial" w:eastAsia="Arial" w:hAnsi="Arial"/>
          <w:sz w:val="26"/>
          <w:szCs w:val="26"/>
          <w:color w:val="auto"/>
          <w:vertAlign w:val="superscript"/>
        </w:rPr>
        <w:t>2</w:t>
      </w:r>
      <w:r>
        <w:rPr>
          <w:rFonts w:ascii="Arial" w:cs="Arial" w:eastAsia="Arial" w:hAnsi="Arial"/>
          <w:sz w:val="20"/>
          <w:szCs w:val="20"/>
          <w:color w:val="auto"/>
        </w:rPr>
        <w:t xml:space="preserve"> for the full year 2022 is anticipated to range between $60.0 million and $63.0 million.</w:t>
      </w:r>
    </w:p>
    <w:p>
      <w:pPr>
        <w:spacing w:after="0" w:line="196" w:lineRule="exact"/>
        <w:rPr>
          <w:rFonts w:ascii="Arial" w:cs="Arial" w:eastAsia="Arial" w:hAnsi="Arial"/>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2022 RNG production for the full year 2022 is anticipated to range between 2.2 million MMBtu and 2.3 million MMBtu.</w:t>
      </w:r>
      <w:r>
        <w:rPr>
          <w:rFonts w:ascii="Arial" w:cs="Arial" w:eastAsia="Arial" w:hAnsi="Arial"/>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40" w:firstLine="8"/>
        <w:spacing w:after="0" w:line="198" w:lineRule="auto"/>
        <w:tabs>
          <w:tab w:leader="none" w:pos="124" w:val="left"/>
        </w:tabs>
        <w:numPr>
          <w:ilvl w:val="0"/>
          <w:numId w:val="4"/>
        </w:numPr>
        <w:rPr>
          <w:rFonts w:ascii="Arial" w:cs="Arial" w:eastAsia="Arial" w:hAnsi="Arial"/>
          <w:sz w:val="28"/>
          <w:szCs w:val="28"/>
          <w:color w:val="auto"/>
          <w:vertAlign w:val="superscript"/>
        </w:rPr>
      </w:pPr>
      <w:r>
        <w:rPr>
          <w:rFonts w:ascii="Arial" w:cs="Arial" w:eastAsia="Arial" w:hAnsi="Arial"/>
          <w:sz w:val="18"/>
          <w:szCs w:val="18"/>
          <w:color w:val="auto"/>
        </w:rPr>
        <w:t>Adjusted EBITDA is a non-GAAP measure. A reconciliation of GAAP Net (Loss) Income to Adjusted EBITDA has been provided in the financial tables included in this press release. An explanation of this measure and how it is calculated is also included below under the heading “Non-GAAP Financial Measures."</w:t>
      </w:r>
    </w:p>
    <w:p>
      <w:pPr>
        <w:spacing w:after="0" w:line="243" w:lineRule="exact"/>
        <w:rPr>
          <w:sz w:val="20"/>
          <w:szCs w:val="20"/>
          <w:color w:val="auto"/>
        </w:rPr>
      </w:pPr>
    </w:p>
    <w:p>
      <w:pPr>
        <w:jc w:val="both"/>
        <w:ind w:firstLine="8"/>
        <w:spacing w:after="0" w:line="230" w:lineRule="auto"/>
        <w:tabs>
          <w:tab w:leader="none" w:pos="124" w:val="left"/>
        </w:tabs>
        <w:numPr>
          <w:ilvl w:val="0"/>
          <w:numId w:val="5"/>
        </w:numPr>
        <w:rPr>
          <w:rFonts w:ascii="Arial" w:cs="Arial" w:eastAsia="Arial" w:hAnsi="Arial"/>
          <w:sz w:val="28"/>
          <w:szCs w:val="28"/>
          <w:color w:val="auto"/>
          <w:vertAlign w:val="superscript"/>
        </w:rPr>
      </w:pPr>
      <w:r>
        <w:rPr>
          <w:rFonts w:ascii="Arial" w:cs="Arial" w:eastAsia="Arial" w:hAnsi="Arial"/>
          <w:sz w:val="18"/>
          <w:szCs w:val="18"/>
          <w:color w:val="auto"/>
        </w:rPr>
        <w:t>Estimated Adjusted EBITDA is a non-GAAP financial measure. A reconciliation of the full year estimated Adjusted EBITDA to net income (loss), the closest GAAP measure, cannot be provided due to the inherent difficulty in quantifying certain amounts including but not limited to changes in fair value of the derivative instruments and other items, due to a number of factors including the unpredictability of underlying price movements, which may be significant.</w:t>
      </w:r>
    </w:p>
    <w:p>
      <w:pPr>
        <w:spacing w:after="0" w:line="166" w:lineRule="exact"/>
        <w:rPr>
          <w:sz w:val="20"/>
          <w:szCs w:val="20"/>
          <w:color w:val="auto"/>
        </w:rPr>
      </w:pPr>
    </w:p>
    <w:p>
      <w:pPr>
        <w:ind w:left="140" w:hanging="132"/>
        <w:spacing w:after="0"/>
        <w:tabs>
          <w:tab w:leader="none" w:pos="140" w:val="left"/>
        </w:tabs>
        <w:numPr>
          <w:ilvl w:val="0"/>
          <w:numId w:val="6"/>
        </w:numPr>
        <w:rPr>
          <w:rFonts w:ascii="Arial" w:cs="Arial" w:eastAsia="Arial" w:hAnsi="Arial"/>
          <w:sz w:val="28"/>
          <w:szCs w:val="28"/>
          <w:color w:val="auto"/>
          <w:vertAlign w:val="superscript"/>
        </w:rPr>
      </w:pPr>
      <w:r>
        <w:rPr>
          <w:rFonts w:ascii="Arial" w:cs="Arial" w:eastAsia="Arial" w:hAnsi="Arial"/>
          <w:sz w:val="18"/>
          <w:szCs w:val="18"/>
          <w:color w:val="auto"/>
        </w:rPr>
        <w:t>Reflects OPAL Fuels proportional ownership with respect to RNG projects owned with joint venture partners.</w:t>
      </w: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368" w:lineRule="exact"/>
        <w:rPr>
          <w:rFonts w:ascii="Arial" w:cs="Arial" w:eastAsia="Arial" w:hAnsi="Arial"/>
          <w:sz w:val="28"/>
          <w:szCs w:val="28"/>
          <w:color w:val="auto"/>
          <w:vertAlign w:val="superscript"/>
        </w:rPr>
      </w:pPr>
    </w:p>
    <w:p>
      <w:pPr>
        <w:ind w:left="5580"/>
        <w:spacing w:after="0"/>
        <w:rPr>
          <w:rFonts w:ascii="Arial" w:cs="Arial" w:eastAsia="Arial" w:hAnsi="Arial"/>
          <w:sz w:val="28"/>
          <w:szCs w:val="28"/>
          <w:color w:val="auto"/>
          <w:vertAlign w:val="superscript"/>
        </w:rPr>
      </w:pPr>
      <w:r>
        <w:rPr>
          <w:rFonts w:ascii="Arial" w:cs="Arial" w:eastAsia="Arial" w:hAnsi="Arial"/>
          <w:sz w:val="20"/>
          <w:szCs w:val="20"/>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Management Commentary</w:t>
      </w:r>
    </w:p>
    <w:p>
      <w:pPr>
        <w:spacing w:after="0" w:line="239" w:lineRule="exact"/>
        <w:rPr>
          <w:sz w:val="20"/>
          <w:szCs w:val="20"/>
          <w:color w:val="auto"/>
        </w:rPr>
      </w:pPr>
    </w:p>
    <w:p>
      <w:pPr>
        <w:jc w:val="both"/>
        <w:spacing w:after="0" w:line="323" w:lineRule="auto"/>
        <w:rPr>
          <w:sz w:val="20"/>
          <w:szCs w:val="20"/>
          <w:color w:val="auto"/>
        </w:rPr>
      </w:pPr>
      <w:r>
        <w:rPr>
          <w:rFonts w:ascii="Arial" w:cs="Arial" w:eastAsia="Arial" w:hAnsi="Arial"/>
          <w:sz w:val="19"/>
          <w:szCs w:val="19"/>
          <w:color w:val="auto"/>
        </w:rPr>
        <w:t>Adam Comora, Co-CEO of OPAL Fuels, commented, “We are pleased to report our third quarter earnings. First, and most importantly, we continue to execute on our strategic goals and operational priorities. As of today, six RNG projects are in operation and seven are in construction. These construction projects are expected to come online throughout 2023 and into 2024. Second, we are on a solid trajectory towards realizing the significant long-term earnings power of our company. We also continue to grow our development portfolio adding to our pipeline of future RNG projects further supporting our long-term growth.”</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22"/>
          <w:szCs w:val="22"/>
          <w:color w:val="auto"/>
        </w:rPr>
        <w:t>Jonathan Maurer, Co-CEO of OPAL Fuels, stated, “The passage of the Inflation Reduction Act and recent industry consolidation are clear endorsements of the RNG industry and the strength of our integrated business model. Over OPAL Fuels' long operating history in this sector, never has a period of positive momentum existed like the present. Our portfolio of RNG projects combined with our integrated downstream operations enable us to offer a differentiated value proposition that resonates with our customers and partners.”</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Operational Highlights</w:t>
      </w:r>
    </w:p>
    <w:p>
      <w:pPr>
        <w:spacing w:after="0" w:line="239" w:lineRule="exact"/>
        <w:rPr>
          <w:sz w:val="20"/>
          <w:szCs w:val="20"/>
          <w:color w:val="auto"/>
        </w:rPr>
      </w:pPr>
    </w:p>
    <w:p>
      <w:pPr>
        <w:ind w:left="660" w:hanging="328"/>
        <w:spacing w:after="0" w:line="289"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Produced 0.6 million and 1.6 million MMBtu of RNG, for the three and nine months ended September 30, 2022, respectively, up 50% and 33%, compared to prior-year periods.</w:t>
      </w:r>
    </w:p>
    <w:p>
      <w:pPr>
        <w:spacing w:after="0" w:line="200" w:lineRule="exact"/>
        <w:rPr>
          <w:rFonts w:ascii="Arial" w:cs="Arial" w:eastAsia="Arial" w:hAnsi="Arial"/>
          <w:sz w:val="22"/>
          <w:szCs w:val="22"/>
          <w:color w:val="auto"/>
        </w:rPr>
      </w:pPr>
    </w:p>
    <w:p>
      <w:pPr>
        <w:ind w:left="660" w:hanging="328"/>
        <w:spacing w:after="0" w:line="276"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Sold 7.4 million and 20.5 million GGEs of RNG as transportation fuel for the three and nine months ended September 30, 2022, respectively, up 17% and 45%, compared to prior- year periods.</w:t>
      </w:r>
    </w:p>
    <w:p>
      <w:pPr>
        <w:spacing w:after="0" w:line="214" w:lineRule="exact"/>
        <w:rPr>
          <w:rFonts w:ascii="Arial" w:cs="Arial" w:eastAsia="Arial" w:hAnsi="Arial"/>
          <w:sz w:val="22"/>
          <w:szCs w:val="22"/>
          <w:color w:val="auto"/>
        </w:rPr>
      </w:pPr>
    </w:p>
    <w:p>
      <w:pPr>
        <w:jc w:val="both"/>
        <w:ind w:left="660" w:hanging="328"/>
        <w:spacing w:after="0" w:line="279" w:lineRule="auto"/>
        <w:tabs>
          <w:tab w:leader="none" w:pos="655" w:val="left"/>
        </w:tabs>
        <w:numPr>
          <w:ilvl w:val="0"/>
          <w:numId w:val="7"/>
        </w:numPr>
        <w:rPr>
          <w:rFonts w:ascii="Arial" w:cs="Arial" w:eastAsia="Arial" w:hAnsi="Arial"/>
          <w:sz w:val="22"/>
          <w:szCs w:val="22"/>
          <w:color w:val="auto"/>
        </w:rPr>
      </w:pPr>
      <w:r>
        <w:rPr>
          <w:rFonts w:ascii="Arial" w:cs="Arial" w:eastAsia="Arial" w:hAnsi="Arial"/>
          <w:sz w:val="22"/>
          <w:szCs w:val="22"/>
          <w:color w:val="auto"/>
        </w:rPr>
        <w:t>Delivered 30.7 million and 82.6 million GGEs through a combination of owned station fuel provider agreements and third-party service and dispensing agreements for the three and nine months ended September 30, 2022, respectively, up 33% and 20%, compared to prior-year periods.</w:t>
      </w:r>
    </w:p>
    <w:p>
      <w:pPr>
        <w:spacing w:after="0" w:line="211" w:lineRule="exact"/>
        <w:rPr>
          <w:rFonts w:ascii="Arial" w:cs="Arial" w:eastAsia="Arial" w:hAnsi="Arial"/>
          <w:sz w:val="22"/>
          <w:szCs w:val="22"/>
          <w:color w:val="auto"/>
        </w:rPr>
      </w:pPr>
    </w:p>
    <w:p>
      <w:pPr>
        <w:jc w:val="both"/>
        <w:ind w:left="660" w:hanging="328"/>
        <w:spacing w:after="0" w:line="303" w:lineRule="auto"/>
        <w:tabs>
          <w:tab w:leader="none" w:pos="655" w:val="left"/>
        </w:tabs>
        <w:numPr>
          <w:ilvl w:val="0"/>
          <w:numId w:val="7"/>
        </w:numPr>
        <w:rPr>
          <w:rFonts w:ascii="Arial" w:cs="Arial" w:eastAsia="Arial" w:hAnsi="Arial"/>
          <w:sz w:val="19"/>
          <w:szCs w:val="19"/>
          <w:color w:val="auto"/>
        </w:rPr>
      </w:pPr>
      <w:r>
        <w:rPr>
          <w:rFonts w:ascii="Arial" w:cs="Arial" w:eastAsia="Arial" w:hAnsi="Arial"/>
          <w:sz w:val="19"/>
          <w:szCs w:val="19"/>
          <w:color w:val="auto"/>
        </w:rPr>
        <w:t>During the first nine months of 2022, the Pine Bend, New River and Noble Road RNG projects commenced commercial operations, bringing OPAL Fuels' share of annual nameplate capacity across our six RNG projects in operation to 3.7</w:t>
      </w:r>
    </w:p>
    <w:p>
      <w:pPr>
        <w:spacing w:after="0" w:line="2" w:lineRule="exact"/>
        <w:rPr>
          <w:sz w:val="20"/>
          <w:szCs w:val="20"/>
          <w:color w:val="auto"/>
        </w:rPr>
      </w:pPr>
    </w:p>
    <w:p>
      <w:pPr>
        <w:ind w:right="3700" w:firstLine="648"/>
        <w:spacing w:after="0" w:line="221" w:lineRule="auto"/>
        <w:rPr>
          <w:sz w:val="20"/>
          <w:szCs w:val="20"/>
          <w:color w:val="auto"/>
        </w:rPr>
      </w:pPr>
      <w:r>
        <w:rPr>
          <w:rFonts w:ascii="Arial" w:cs="Arial" w:eastAsia="Arial" w:hAnsi="Arial"/>
          <w:sz w:val="22"/>
          <w:szCs w:val="22"/>
          <w:color w:val="auto"/>
        </w:rPr>
        <w:t>million MMBtu for landfill projects and 0.2 million MMBtu for dairy projects.</w:t>
      </w:r>
      <w:r>
        <w:rPr>
          <w:rFonts w:ascii="Arial" w:cs="Arial" w:eastAsia="Arial" w:hAnsi="Arial"/>
          <w:sz w:val="28"/>
          <w:szCs w:val="28"/>
          <w:color w:val="auto"/>
          <w:vertAlign w:val="superscript"/>
        </w:rPr>
        <w:t>4</w:t>
      </w:r>
      <w:r>
        <w:rPr>
          <w:rFonts w:ascii="Arial" w:cs="Arial" w:eastAsia="Arial" w:hAnsi="Arial"/>
          <w:sz w:val="22"/>
          <w:szCs w:val="22"/>
          <w:color w:val="auto"/>
        </w:rPr>
        <w:t xml:space="preserve"> </w:t>
      </w:r>
      <w:r>
        <w:rPr>
          <w:rFonts w:ascii="Arial" w:cs="Arial" w:eastAsia="Arial" w:hAnsi="Arial"/>
          <w:sz w:val="22"/>
          <w:szCs w:val="22"/>
          <w:b w:val="1"/>
          <w:bCs w:val="1"/>
          <w:color w:val="auto"/>
        </w:rPr>
        <w:t>Construction Update</w:t>
      </w:r>
    </w:p>
    <w:p>
      <w:pPr>
        <w:spacing w:after="0" w:line="213" w:lineRule="exact"/>
        <w:rPr>
          <w:sz w:val="20"/>
          <w:szCs w:val="20"/>
          <w:color w:val="auto"/>
        </w:rPr>
      </w:pPr>
    </w:p>
    <w:p>
      <w:pPr>
        <w:ind w:left="660" w:hanging="328"/>
        <w:spacing w:after="0" w:line="289" w:lineRule="auto"/>
        <w:tabs>
          <w:tab w:leader="none" w:pos="655"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Company has begun construction on a renewable power to RNG conversion project in the Northeast bringing to seven the number of RNG facilities under construction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714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8" w:lineRule="exact"/>
        <w:rPr>
          <w:sz w:val="20"/>
          <w:szCs w:val="20"/>
          <w:color w:val="auto"/>
        </w:rPr>
      </w:pPr>
    </w:p>
    <w:p>
      <w:pPr>
        <w:jc w:val="both"/>
        <w:ind w:right="680" w:firstLine="8"/>
        <w:spacing w:after="0" w:line="213" w:lineRule="auto"/>
        <w:tabs>
          <w:tab w:leader="none" w:pos="124"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Nameplate capacity is the annual design output for each facility and may not reflect actual production from the projects, which depends on many variables including, but not limited to, quantity and quality of the biogas, operational up-time of the facility, and actual productivity of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395" w:right="339" w:bottom="1440" w:gutter="0" w:footer="0" w:header="0"/>
        </w:sectPr>
      </w:pPr>
    </w:p>
    <w:bookmarkStart w:id="7" w:name="page8"/>
    <w:bookmarkEnd w:id="7"/>
    <w:p>
      <w:pPr>
        <w:ind w:left="660"/>
        <w:spacing w:after="0" w:line="289" w:lineRule="auto"/>
        <w:rPr>
          <w:sz w:val="20"/>
          <w:szCs w:val="20"/>
          <w:color w:val="auto"/>
        </w:rPr>
      </w:pPr>
      <w:r>
        <w:rPr>
          <w:rFonts w:ascii="Arial" w:cs="Arial" w:eastAsia="Arial" w:hAnsi="Arial"/>
          <w:sz w:val="22"/>
          <w:szCs w:val="22"/>
          <w:color w:val="auto"/>
        </w:rPr>
        <w:t>September 30, 2022, with anticipated aggregate nameplate capacity of 4.2 million MMBtu of landfill biogas and 0.6 million MMBtu of dairy biogas.</w:t>
      </w:r>
    </w:p>
    <w:p>
      <w:pPr>
        <w:spacing w:after="0" w:line="201" w:lineRule="exact"/>
        <w:rPr>
          <w:sz w:val="20"/>
          <w:szCs w:val="20"/>
          <w:color w:val="auto"/>
        </w:rPr>
      </w:pPr>
    </w:p>
    <w:p>
      <w:pPr>
        <w:ind w:left="660" w:hanging="328"/>
        <w:spacing w:after="0" w:line="276"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2"/>
          <w:szCs w:val="22"/>
          <w:color w:val="auto"/>
        </w:rPr>
        <w:t>Received RIN certification for New River in October and anticipate receiving RIN certification for Pine Bend by end of 2022.</w:t>
      </w:r>
    </w:p>
    <w:p>
      <w:pPr>
        <w:spacing w:after="0" w:line="214" w:lineRule="exact"/>
        <w:rPr>
          <w:rFonts w:ascii="Arial" w:cs="Arial" w:eastAsia="Arial" w:hAnsi="Arial"/>
          <w:sz w:val="22"/>
          <w:szCs w:val="22"/>
          <w:color w:val="auto"/>
        </w:rPr>
      </w:pPr>
    </w:p>
    <w:p>
      <w:pPr>
        <w:jc w:val="both"/>
        <w:ind w:left="660" w:right="20" w:hanging="328"/>
        <w:spacing w:after="0" w:line="279"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2"/>
          <w:szCs w:val="22"/>
          <w:color w:val="auto"/>
        </w:rPr>
        <w:t>Emerald and Prince William RNG projects are expected to commence commercial operations by mid-2023 and the Sapphire RNG project by early 2024. OPAL Fuels’ share of annual nameplate capacity for these landfill projects is 3.8 million MMBtu.</w:t>
      </w:r>
    </w:p>
    <w:p>
      <w:pPr>
        <w:spacing w:after="0" w:line="211" w:lineRule="exact"/>
        <w:rPr>
          <w:rFonts w:ascii="Arial" w:cs="Arial" w:eastAsia="Arial" w:hAnsi="Arial"/>
          <w:sz w:val="22"/>
          <w:szCs w:val="22"/>
          <w:color w:val="auto"/>
        </w:rPr>
      </w:pPr>
    </w:p>
    <w:p>
      <w:pPr>
        <w:ind w:left="660" w:right="20" w:hanging="328"/>
        <w:spacing w:after="0" w:line="276"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22"/>
          <w:szCs w:val="22"/>
          <w:color w:val="auto"/>
        </w:rPr>
        <w:t>Construction is progressing at two Central Valley California dairy RNG projects with commercial operations anticipated in 2024.</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Development Update</w:t>
      </w:r>
    </w:p>
    <w:p>
      <w:pPr>
        <w:spacing w:after="0" w:line="272" w:lineRule="exact"/>
        <w:rPr>
          <w:sz w:val="20"/>
          <w:szCs w:val="20"/>
          <w:color w:val="auto"/>
        </w:rPr>
      </w:pPr>
    </w:p>
    <w:p>
      <w:pPr>
        <w:jc w:val="both"/>
        <w:ind w:left="660" w:hanging="328"/>
        <w:spacing w:after="0" w:line="253"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Company's Advanced Development Pipeline</w:t>
      </w:r>
      <w:r>
        <w:rPr>
          <w:rFonts w:ascii="Arial" w:cs="Arial" w:eastAsia="Arial" w:hAnsi="Arial"/>
          <w:sz w:val="28"/>
          <w:szCs w:val="28"/>
          <w:color w:val="auto"/>
          <w:vertAlign w:val="superscript"/>
        </w:rPr>
        <w:t>5</w:t>
      </w:r>
      <w:r>
        <w:rPr>
          <w:rFonts w:ascii="Arial" w:cs="Arial" w:eastAsia="Arial" w:hAnsi="Arial"/>
          <w:sz w:val="22"/>
          <w:szCs w:val="22"/>
          <w:color w:val="auto"/>
        </w:rPr>
        <w:t xml:space="preserve"> comprises 16 projects representing 7.4 million MMBtu of feedstock biogas per year consisting of 6.2 million MMBtu of landfill biogas, 0.5 million MMBtu dairy biogas, and 0.7 million MMBtu of food waste and wastewater biogas.</w:t>
      </w:r>
      <w:r>
        <w:rPr>
          <w:rFonts w:ascii="Arial" w:cs="Arial" w:eastAsia="Arial" w:hAnsi="Arial"/>
          <w:sz w:val="28"/>
          <w:szCs w:val="28"/>
          <w:color w:val="auto"/>
          <w:vertAlign w:val="superscript"/>
        </w:rPr>
        <w:t>6</w:t>
      </w:r>
    </w:p>
    <w:p>
      <w:pPr>
        <w:spacing w:after="0" w:line="142" w:lineRule="exact"/>
        <w:rPr>
          <w:rFonts w:ascii="Arial" w:cs="Arial" w:eastAsia="Arial" w:hAnsi="Arial"/>
          <w:sz w:val="22"/>
          <w:szCs w:val="22"/>
          <w:color w:val="auto"/>
        </w:rPr>
      </w:pPr>
    </w:p>
    <w:p>
      <w:pPr>
        <w:ind w:left="660" w:hanging="328"/>
        <w:spacing w:after="0" w:line="289"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Company is evaluating nine of our existing renewable power projects comprising 3.2 million MMBtu per year of landfill biogas in light of the incentives in the Inflation Reduction Act.</w:t>
      </w:r>
    </w:p>
    <w:p>
      <w:pPr>
        <w:spacing w:after="0" w:line="200" w:lineRule="exact"/>
        <w:rPr>
          <w:rFonts w:ascii="Arial" w:cs="Arial" w:eastAsia="Arial" w:hAnsi="Arial"/>
          <w:sz w:val="22"/>
          <w:szCs w:val="22"/>
          <w:color w:val="auto"/>
        </w:rPr>
      </w:pPr>
    </w:p>
    <w:p>
      <w:pPr>
        <w:ind w:left="660" w:right="300" w:hanging="328"/>
        <w:spacing w:after="0" w:line="289" w:lineRule="auto"/>
        <w:tabs>
          <w:tab w:leader="none" w:pos="655"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The Company's total number of RNG dispensing stations grew from 69 at December 31, 2021, to 123 at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40" w:firstLine="8"/>
        <w:spacing w:after="0" w:line="193" w:lineRule="auto"/>
        <w:tabs>
          <w:tab w:leader="none" w:pos="124" w:val="left"/>
        </w:tabs>
        <w:numPr>
          <w:ilvl w:val="0"/>
          <w:numId w:val="12"/>
        </w:numPr>
        <w:rPr>
          <w:rFonts w:ascii="Arial" w:cs="Arial" w:eastAsia="Arial" w:hAnsi="Arial"/>
          <w:sz w:val="28"/>
          <w:szCs w:val="28"/>
          <w:color w:val="auto"/>
          <w:vertAlign w:val="superscript"/>
        </w:rPr>
      </w:pPr>
      <w:r>
        <w:rPr>
          <w:rFonts w:ascii="Arial" w:cs="Arial" w:eastAsia="Arial" w:hAnsi="Arial"/>
          <w:sz w:val="18"/>
          <w:szCs w:val="18"/>
          <w:color w:val="auto"/>
        </w:rPr>
        <w:t>The Company's Advanced Development Pipeline comprises projects that have been qualified and are reasonably expected to be in construction within the next twelve to eighteen months. The associated MMBtu associated with these projects is presented as available biogas resource and assumes a conversion ratio of 90% for output gas.</w:t>
      </w:r>
    </w:p>
    <w:p>
      <w:pPr>
        <w:spacing w:after="0" w:line="140"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28"/>
          <w:szCs w:val="28"/>
          <w:color w:val="auto"/>
          <w:vertAlign w:val="superscript"/>
        </w:rPr>
      </w:pPr>
      <w:r>
        <w:rPr>
          <w:rFonts w:ascii="Arial" w:cs="Arial" w:eastAsia="Arial" w:hAnsi="Arial"/>
          <w:sz w:val="18"/>
          <w:szCs w:val="18"/>
          <w:color w:val="auto"/>
        </w:rPr>
        <w:t>OPAL Fuels proportional share with respect to RNG projects owned with joint venture partners.</w:t>
      </w: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211" w:lineRule="exact"/>
        <w:rPr>
          <w:rFonts w:ascii="Arial" w:cs="Arial" w:eastAsia="Arial" w:hAnsi="Arial"/>
          <w:sz w:val="28"/>
          <w:szCs w:val="28"/>
          <w:color w:val="auto"/>
          <w:vertAlign w:val="superscript"/>
        </w:rPr>
      </w:pPr>
    </w:p>
    <w:p>
      <w:pPr>
        <w:ind w:left="5580"/>
        <w:spacing w:after="0"/>
        <w:rPr>
          <w:rFonts w:ascii="Arial" w:cs="Arial" w:eastAsia="Arial" w:hAnsi="Arial"/>
          <w:sz w:val="28"/>
          <w:szCs w:val="28"/>
          <w:color w:val="auto"/>
          <w:vertAlign w:val="superscript"/>
        </w:rPr>
      </w:pPr>
      <w:r>
        <w:rPr>
          <w:rFonts w:ascii="Arial" w:cs="Arial" w:eastAsia="Arial" w:hAnsi="Arial"/>
          <w:sz w:val="20"/>
          <w:szCs w:val="20"/>
          <w:color w:val="auto"/>
        </w:rPr>
        <w:t>3</w:t>
      </w:r>
    </w:p>
    <w:p>
      <w:pPr>
        <w:sectPr>
          <w:pgSz w:w="11900" w:h="16838" w:orient="portrait"/>
          <w:cols w:equalWidth="0" w:num="1">
            <w:col w:w="11240"/>
          </w:cols>
          <w:pgMar w:left="320" w:top="142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2022 Guidance</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All guidance is current as of the date of this release and is subject to change.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 millions, except production data)</w:t>
            </w:r>
          </w:p>
        </w:tc>
        <w:tc>
          <w:tcPr>
            <w:tcW w:w="780" w:type="dxa"/>
            <w:vAlign w:val="bottom"/>
            <w:tcBorders>
              <w:top w:val="single" w:sz="8" w:color="auto"/>
              <w:bottom w:val="single" w:sz="8" w:color="auto"/>
            </w:tcBorders>
            <w:shd w:val="clear" w:color="auto" w:fill="CCEEFF"/>
          </w:tcPr>
          <w:p>
            <w:pPr>
              <w:spacing w:after="0"/>
              <w:rPr>
                <w:sz w:val="23"/>
                <w:szCs w:val="23"/>
                <w:color w:val="auto"/>
              </w:rPr>
            </w:pPr>
          </w:p>
        </w:tc>
        <w:tc>
          <w:tcPr>
            <w:tcW w:w="2080" w:type="dxa"/>
            <w:vAlign w:val="bottom"/>
            <w:tcBorders>
              <w:top w:val="single" w:sz="8" w:color="auto"/>
              <w:bottom w:val="single" w:sz="8" w:color="auto"/>
            </w:tcBorders>
            <w:gridSpan w:val="2"/>
            <w:shd w:val="clear" w:color="auto" w:fill="CCEEFF"/>
          </w:tcPr>
          <w:p>
            <w:pPr>
              <w:jc w:val="center"/>
              <w:ind w:right="681"/>
              <w:spacing w:after="0"/>
              <w:rPr>
                <w:sz w:val="20"/>
                <w:szCs w:val="20"/>
                <w:color w:val="auto"/>
              </w:rPr>
            </w:pPr>
            <w:r>
              <w:rPr>
                <w:rFonts w:ascii="Arial" w:cs="Arial" w:eastAsia="Arial" w:hAnsi="Arial"/>
                <w:sz w:val="20"/>
                <w:szCs w:val="20"/>
                <w:b w:val="1"/>
                <w:bCs w:val="1"/>
                <w:color w:val="auto"/>
                <w:w w:val="90"/>
              </w:rPr>
              <w:t>Full Year 2022</w:t>
            </w:r>
          </w:p>
        </w:tc>
        <w:tc>
          <w:tcPr>
            <w:tcW w:w="0" w:type="dxa"/>
            <w:vAlign w:val="bottom"/>
          </w:tcPr>
          <w:p>
            <w:pPr>
              <w:spacing w:after="0"/>
              <w:rPr>
                <w:sz w:val="1"/>
                <w:szCs w:val="1"/>
                <w:color w:val="auto"/>
              </w:rPr>
            </w:pPr>
          </w:p>
        </w:tc>
      </w:tr>
      <w:tr>
        <w:trPr>
          <w:trHeight w:val="247"/>
        </w:trPr>
        <w:tc>
          <w:tcPr>
            <w:tcW w:w="6700" w:type="dxa"/>
            <w:vAlign w:val="bottom"/>
          </w:tcPr>
          <w:p>
            <w:pPr>
              <w:spacing w:after="0"/>
              <w:rPr>
                <w:sz w:val="21"/>
                <w:szCs w:val="21"/>
                <w:color w:val="auto"/>
              </w:rPr>
            </w:pPr>
          </w:p>
        </w:tc>
        <w:tc>
          <w:tcPr>
            <w:tcW w:w="1660" w:type="dxa"/>
            <w:vAlign w:val="bottom"/>
            <w:gridSpan w:val="2"/>
          </w:tcPr>
          <w:p>
            <w:pPr>
              <w:ind w:left="240"/>
              <w:spacing w:after="0"/>
              <w:rPr>
                <w:sz w:val="20"/>
                <w:szCs w:val="20"/>
                <w:color w:val="auto"/>
              </w:rPr>
            </w:pPr>
            <w:r>
              <w:rPr>
                <w:rFonts w:ascii="Arial" w:cs="Arial" w:eastAsia="Arial" w:hAnsi="Arial"/>
                <w:sz w:val="20"/>
                <w:szCs w:val="20"/>
                <w:color w:val="auto"/>
              </w:rPr>
              <w:t>Low Est.</w:t>
            </w:r>
          </w:p>
        </w:tc>
        <w:tc>
          <w:tcPr>
            <w:tcW w:w="1200" w:type="dxa"/>
            <w:vAlign w:val="bottom"/>
          </w:tcPr>
          <w:p>
            <w:pPr>
              <w:ind w:left="200"/>
              <w:spacing w:after="0"/>
              <w:rPr>
                <w:sz w:val="20"/>
                <w:szCs w:val="20"/>
                <w:color w:val="auto"/>
              </w:rPr>
            </w:pPr>
            <w:r>
              <w:rPr>
                <w:rFonts w:ascii="Arial" w:cs="Arial" w:eastAsia="Arial" w:hAnsi="Arial"/>
                <w:sz w:val="20"/>
                <w:szCs w:val="20"/>
                <w:color w:val="auto"/>
              </w:rPr>
              <w:t>High Est.</w:t>
            </w:r>
          </w:p>
        </w:tc>
        <w:tc>
          <w:tcPr>
            <w:tcW w:w="0" w:type="dxa"/>
            <w:vAlign w:val="bottom"/>
          </w:tcPr>
          <w:p>
            <w:pPr>
              <w:spacing w:after="0"/>
              <w:rPr>
                <w:sz w:val="1"/>
                <w:szCs w:val="1"/>
                <w:color w:val="auto"/>
              </w:rPr>
            </w:pPr>
          </w:p>
        </w:tc>
      </w:tr>
      <w:tr>
        <w:trPr>
          <w:trHeight w:val="260"/>
        </w:trPr>
        <w:tc>
          <w:tcPr>
            <w:tcW w:w="6700" w:type="dxa"/>
            <w:vAlign w:val="bottom"/>
            <w:shd w:val="clear" w:color="auto" w:fill="CCEEFF"/>
          </w:tcPr>
          <w:p>
            <w:pPr>
              <w:ind w:left="20"/>
              <w:spacing w:after="0"/>
              <w:rPr>
                <w:sz w:val="20"/>
                <w:szCs w:val="20"/>
                <w:color w:val="auto"/>
              </w:rPr>
            </w:pPr>
            <w:r>
              <w:rPr>
                <w:rFonts w:ascii="Arial" w:cs="Arial" w:eastAsia="Arial" w:hAnsi="Arial"/>
                <w:sz w:val="20"/>
                <w:szCs w:val="20"/>
                <w:color w:val="auto"/>
              </w:rPr>
              <w:t>Adjusted EBITDA</w:t>
            </w:r>
          </w:p>
        </w:tc>
        <w:tc>
          <w:tcPr>
            <w:tcW w:w="7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w:t>
            </w:r>
          </w:p>
        </w:tc>
        <w:tc>
          <w:tcPr>
            <w:tcW w:w="880" w:type="dxa"/>
            <w:vAlign w:val="bottom"/>
            <w:shd w:val="clear" w:color="auto" w:fill="CCEEFF"/>
          </w:tcPr>
          <w:p>
            <w:pPr>
              <w:jc w:val="center"/>
              <w:ind w:left="281"/>
              <w:spacing w:after="0"/>
              <w:rPr>
                <w:sz w:val="20"/>
                <w:szCs w:val="20"/>
                <w:color w:val="auto"/>
              </w:rPr>
            </w:pPr>
            <w:r>
              <w:rPr>
                <w:rFonts w:ascii="Arial" w:cs="Arial" w:eastAsia="Arial" w:hAnsi="Arial"/>
                <w:sz w:val="20"/>
                <w:szCs w:val="20"/>
                <w:color w:val="auto"/>
                <w:w w:val="89"/>
              </w:rPr>
              <w:t>-</w:t>
            </w:r>
          </w:p>
        </w:tc>
        <w:tc>
          <w:tcPr>
            <w:tcW w:w="1200" w:type="dxa"/>
            <w:vAlign w:val="bottom"/>
            <w:shd w:val="clear" w:color="auto" w:fill="CCEEFF"/>
          </w:tcPr>
          <w:p>
            <w:pPr>
              <w:jc w:val="right"/>
              <w:ind w:right="381"/>
              <w:spacing w:after="0"/>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418"/>
        </w:trPr>
        <w:tc>
          <w:tcPr>
            <w:tcW w:w="6700" w:type="dxa"/>
            <w:vAlign w:val="bottom"/>
          </w:tcPr>
          <w:p>
            <w:pPr>
              <w:ind w:left="20"/>
              <w:spacing w:after="0"/>
              <w:rPr>
                <w:sz w:val="20"/>
                <w:szCs w:val="20"/>
                <w:color w:val="auto"/>
              </w:rPr>
            </w:pPr>
            <w:r>
              <w:rPr>
                <w:rFonts w:ascii="Arial" w:cs="Arial" w:eastAsia="Arial" w:hAnsi="Arial"/>
                <w:sz w:val="20"/>
                <w:szCs w:val="20"/>
                <w:color w:val="auto"/>
              </w:rPr>
              <w:t>RNG Production (million MMBtu)</w:t>
            </w:r>
            <w:r>
              <w:rPr>
                <w:rFonts w:ascii="Arial" w:cs="Arial" w:eastAsia="Arial" w:hAnsi="Arial"/>
                <w:sz w:val="25"/>
                <w:szCs w:val="25"/>
                <w:color w:val="auto"/>
                <w:vertAlign w:val="superscript"/>
              </w:rPr>
              <w:t>7</w:t>
            </w:r>
          </w:p>
        </w:tc>
        <w:tc>
          <w:tcPr>
            <w:tcW w:w="780" w:type="dxa"/>
            <w:vAlign w:val="bottom"/>
            <w:vMerge w:val="restart"/>
          </w:tcPr>
          <w:p>
            <w:pPr>
              <w:jc w:val="right"/>
              <w:spacing w:after="0"/>
              <w:rPr>
                <w:sz w:val="20"/>
                <w:szCs w:val="20"/>
                <w:color w:val="auto"/>
              </w:rPr>
            </w:pPr>
            <w:r>
              <w:rPr>
                <w:rFonts w:ascii="Arial" w:cs="Arial" w:eastAsia="Arial" w:hAnsi="Arial"/>
                <w:sz w:val="20"/>
                <w:szCs w:val="20"/>
                <w:color w:val="auto"/>
              </w:rPr>
              <w:t>2.2</w:t>
            </w:r>
          </w:p>
        </w:tc>
        <w:tc>
          <w:tcPr>
            <w:tcW w:w="880" w:type="dxa"/>
            <w:vAlign w:val="bottom"/>
          </w:tcPr>
          <w:p>
            <w:pPr>
              <w:jc w:val="center"/>
              <w:ind w:left="281"/>
              <w:spacing w:after="0"/>
              <w:rPr>
                <w:sz w:val="20"/>
                <w:szCs w:val="20"/>
                <w:color w:val="auto"/>
              </w:rPr>
            </w:pPr>
            <w:r>
              <w:rPr>
                <w:rFonts w:ascii="Arial" w:cs="Arial" w:eastAsia="Arial" w:hAnsi="Arial"/>
                <w:sz w:val="20"/>
                <w:szCs w:val="20"/>
                <w:color w:val="auto"/>
                <w:w w:val="89"/>
              </w:rPr>
              <w:t>-</w:t>
            </w:r>
          </w:p>
        </w:tc>
        <w:tc>
          <w:tcPr>
            <w:tcW w:w="1200" w:type="dxa"/>
            <w:vAlign w:val="bottom"/>
            <w:vMerge w:val="restart"/>
          </w:tcPr>
          <w:p>
            <w:pPr>
              <w:jc w:val="right"/>
              <w:ind w:right="401"/>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58"/>
        </w:trPr>
        <w:tc>
          <w:tcPr>
            <w:tcW w:w="6700" w:type="dxa"/>
            <w:vAlign w:val="bottom"/>
            <w:vMerge w:val="restart"/>
          </w:tcPr>
          <w:p>
            <w:pPr>
              <w:spacing w:after="0"/>
              <w:rPr>
                <w:sz w:val="20"/>
                <w:szCs w:val="20"/>
                <w:color w:val="auto"/>
              </w:rPr>
            </w:pPr>
            <w:r>
              <w:rPr>
                <w:rFonts w:ascii="Arial" w:cs="Arial" w:eastAsia="Arial" w:hAnsi="Arial"/>
                <w:sz w:val="14"/>
                <w:szCs w:val="14"/>
                <w:color w:val="FFFFFF"/>
              </w:rPr>
              <w:t>7</w:t>
            </w:r>
          </w:p>
        </w:tc>
        <w:tc>
          <w:tcPr>
            <w:tcW w:w="78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6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We anticipate providing guidance for 2023 concurrently with our results for fiscal 2022.</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00" w:type="dxa"/>
            <w:vAlign w:val="bottom"/>
            <w:tcBorders>
              <w:top w:val="single" w:sz="8" w:color="CCEEFF"/>
            </w:tcBorders>
            <w:shd w:val="clear" w:color="auto" w:fill="CCEEFF"/>
          </w:tcPr>
          <w:p>
            <w:pPr>
              <w:spacing w:after="0"/>
              <w:rPr>
                <w:sz w:val="15"/>
                <w:szCs w:val="15"/>
                <w:color w:val="auto"/>
              </w:rPr>
            </w:pPr>
          </w:p>
        </w:tc>
        <w:tc>
          <w:tcPr>
            <w:tcW w:w="2360" w:type="dxa"/>
            <w:vAlign w:val="bottom"/>
            <w:tcBorders>
              <w:top w:val="single" w:sz="8" w:color="auto"/>
            </w:tcBorders>
            <w:gridSpan w:val="5"/>
            <w:shd w:val="clear" w:color="auto" w:fill="CCEEFF"/>
          </w:tcPr>
          <w:p>
            <w:pPr>
              <w:jc w:val="right"/>
              <w:ind w:right="330"/>
              <w:spacing w:after="0" w:line="173" w:lineRule="exact"/>
              <w:rPr>
                <w:sz w:val="20"/>
                <w:szCs w:val="20"/>
                <w:color w:val="auto"/>
              </w:rPr>
            </w:pPr>
            <w:r>
              <w:rPr>
                <w:rFonts w:ascii="Arial" w:cs="Arial" w:eastAsia="Arial" w:hAnsi="Arial"/>
                <w:sz w:val="18"/>
                <w:szCs w:val="18"/>
                <w:color w:val="auto"/>
              </w:rPr>
              <w:t>Three Months Ended</w:t>
            </w:r>
          </w:p>
        </w:tc>
        <w:tc>
          <w:tcPr>
            <w:tcW w:w="100" w:type="dxa"/>
            <w:vAlign w:val="bottom"/>
            <w:tcBorders>
              <w:top w:val="single" w:sz="8" w:color="CCEEFF"/>
            </w:tcBorders>
            <w:shd w:val="clear" w:color="auto" w:fill="CCEEFF"/>
          </w:tcPr>
          <w:p>
            <w:pPr>
              <w:spacing w:after="0"/>
              <w:rPr>
                <w:sz w:val="15"/>
                <w:szCs w:val="15"/>
                <w:color w:val="auto"/>
              </w:rPr>
            </w:pPr>
          </w:p>
        </w:tc>
        <w:tc>
          <w:tcPr>
            <w:tcW w:w="2480" w:type="dxa"/>
            <w:vAlign w:val="bottom"/>
            <w:tcBorders>
              <w:top w:val="single" w:sz="8" w:color="auto"/>
            </w:tcBorders>
            <w:gridSpan w:val="5"/>
            <w:shd w:val="clear" w:color="auto" w:fill="CCEEFF"/>
          </w:tcPr>
          <w:p>
            <w:pPr>
              <w:jc w:val="center"/>
              <w:spacing w:after="0" w:line="173" w:lineRule="exact"/>
              <w:rPr>
                <w:sz w:val="20"/>
                <w:szCs w:val="20"/>
                <w:color w:val="auto"/>
              </w:rPr>
            </w:pPr>
            <w:r>
              <w:rPr>
                <w:rFonts w:ascii="Arial" w:cs="Arial" w:eastAsia="Arial" w:hAnsi="Arial"/>
                <w:sz w:val="18"/>
                <w:szCs w:val="18"/>
                <w:color w:val="auto"/>
                <w:w w:val="89"/>
              </w:rPr>
              <w:t>Nine Months Ended September</w:t>
            </w:r>
          </w:p>
        </w:tc>
      </w:tr>
      <w:tr>
        <w:trPr>
          <w:trHeight w:val="243"/>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thousands of dollars)</w:t>
            </w:r>
          </w:p>
        </w:tc>
        <w:tc>
          <w:tcPr>
            <w:tcW w:w="5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September 30,</w:t>
            </w:r>
          </w:p>
        </w:tc>
        <w:tc>
          <w:tcPr>
            <w:tcW w:w="6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w w:val="87"/>
              </w:rPr>
              <w:t>30,</w:t>
            </w:r>
          </w:p>
        </w:tc>
        <w:tc>
          <w:tcPr>
            <w:tcW w:w="640" w:type="dxa"/>
            <w:vAlign w:val="bottom"/>
            <w:tcBorders>
              <w:bottom w:val="single" w:sz="8" w:color="auto"/>
            </w:tcBorders>
            <w:shd w:val="clear" w:color="auto" w:fill="CCEEFF"/>
          </w:tcPr>
          <w:p>
            <w:pPr>
              <w:spacing w:after="0"/>
              <w:rPr>
                <w:sz w:val="21"/>
                <w:szCs w:val="21"/>
                <w:color w:val="auto"/>
              </w:rPr>
            </w:pPr>
          </w:p>
        </w:tc>
      </w:tr>
      <w:tr>
        <w:trPr>
          <w:trHeight w:val="223"/>
        </w:trPr>
        <w:tc>
          <w:tcPr>
            <w:tcW w:w="6300" w:type="dxa"/>
            <w:vAlign w:val="bottom"/>
          </w:tcPr>
          <w:p>
            <w:pPr>
              <w:spacing w:after="0"/>
              <w:rPr>
                <w:sz w:val="19"/>
                <w:szCs w:val="19"/>
                <w:color w:val="auto"/>
              </w:rPr>
            </w:pPr>
          </w:p>
        </w:tc>
        <w:tc>
          <w:tcPr>
            <w:tcW w:w="1140" w:type="dxa"/>
            <w:vAlign w:val="bottom"/>
            <w:gridSpan w:val="2"/>
          </w:tcPr>
          <w:p>
            <w:pPr>
              <w:jc w:val="right"/>
              <w:ind w:right="31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9"/>
                <w:szCs w:val="19"/>
                <w:color w:val="auto"/>
              </w:rPr>
            </w:pPr>
          </w:p>
        </w:tc>
        <w:tc>
          <w:tcPr>
            <w:tcW w:w="1140" w:type="dxa"/>
            <w:vAlign w:val="bottom"/>
            <w:gridSpan w:val="2"/>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120" w:type="dxa"/>
            <w:vAlign w:val="bottom"/>
            <w:gridSpan w:val="2"/>
          </w:tcPr>
          <w:p>
            <w:pPr>
              <w:jc w:val="right"/>
              <w:ind w:right="290"/>
              <w:spacing w:after="0"/>
              <w:rPr>
                <w:sz w:val="20"/>
                <w:szCs w:val="20"/>
                <w:color w:val="auto"/>
              </w:rPr>
            </w:pPr>
            <w:r>
              <w:rPr>
                <w:rFonts w:ascii="Arial" w:cs="Arial" w:eastAsia="Arial" w:hAnsi="Arial"/>
                <w:sz w:val="18"/>
                <w:szCs w:val="18"/>
                <w:color w:val="auto"/>
              </w:rPr>
              <w:t>2022</w:t>
            </w:r>
          </w:p>
        </w:tc>
        <w:tc>
          <w:tcPr>
            <w:tcW w:w="1360" w:type="dxa"/>
            <w:vAlign w:val="bottom"/>
            <w:gridSpan w:val="3"/>
          </w:tcPr>
          <w:p>
            <w:pPr>
              <w:ind w:left="600"/>
              <w:spacing w:after="0"/>
              <w:rPr>
                <w:sz w:val="20"/>
                <w:szCs w:val="20"/>
                <w:color w:val="auto"/>
              </w:rPr>
            </w:pPr>
            <w:r>
              <w:rPr>
                <w:rFonts w:ascii="Arial" w:cs="Arial" w:eastAsia="Arial" w:hAnsi="Arial"/>
                <w:sz w:val="18"/>
                <w:szCs w:val="18"/>
                <w:color w:val="auto"/>
              </w:rPr>
              <w:t>2021</w:t>
            </w:r>
          </w:p>
        </w:tc>
      </w:tr>
      <w:tr>
        <w:trPr>
          <w:trHeight w:val="210"/>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5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RNG Fuel</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32,381</w:t>
            </w:r>
          </w:p>
        </w:tc>
        <w:tc>
          <w:tcPr>
            <w:tcW w:w="8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17,892</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83,196</w:t>
            </w:r>
          </w:p>
        </w:tc>
        <w:tc>
          <w:tcPr>
            <w:tcW w:w="7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37,066</w:t>
            </w:r>
          </w:p>
        </w:tc>
      </w:tr>
      <w:tr>
        <w:trPr>
          <w:trHeight w:val="3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Station Services</w:t>
            </w: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23,227</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55,524</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35,560</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Renewable Power</w:t>
            </w:r>
          </w:p>
        </w:tc>
        <w:tc>
          <w:tcPr>
            <w:tcW w:w="5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10,942</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30,094</w:t>
            </w:r>
          </w:p>
        </w:tc>
        <w:tc>
          <w:tcPr>
            <w:tcW w:w="1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32,342</w:t>
            </w:r>
          </w:p>
        </w:tc>
      </w:tr>
      <w:tr>
        <w:trPr>
          <w:trHeight w:val="248"/>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66,550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168,814</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104,968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773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560</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w:t>
            </w:r>
          </w:p>
        </w:tc>
      </w:tr>
      <w:tr>
        <w:trPr>
          <w:trHeight w:val="256"/>
        </w:trPr>
        <w:tc>
          <w:tcPr>
            <w:tcW w:w="6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31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25,462</w:t>
            </w: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40,593</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22,785</w:t>
            </w:r>
          </w:p>
        </w:tc>
      </w:tr>
      <w:tr>
        <w:trPr>
          <w:trHeight w:val="257"/>
        </w:trPr>
        <w:tc>
          <w:tcPr>
            <w:tcW w:w="6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RNG Fuel volume produced (Million MMBtus)</w:t>
            </w: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RNG Fuel volume sold (Million GGEs)</w:t>
            </w:r>
          </w:p>
        </w:tc>
        <w:tc>
          <w:tcPr>
            <w:tcW w:w="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volume delivered (Million GGEs)</w:t>
            </w:r>
          </w:p>
        </w:tc>
        <w:tc>
          <w:tcPr>
            <w:tcW w:w="5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r>
    </w:tbl>
    <w:p>
      <w:pPr>
        <w:spacing w:after="0" w:line="330"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Revenue for the three months ended September 30, 2022, was $66.6 million, an increase of 41%, or $19.4 million, compared to $47.2 million in the prior-year period. While each business segment experienced growth, the increase was primarily driven by the RNG Fuel segment. Total revenues for the nine months ended September 30, 2022, were $168.8 million compared to $105.0 million in the prior-year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28"/>
          <w:szCs w:val="28"/>
          <w:color w:val="auto"/>
          <w:vertAlign w:val="superscript"/>
        </w:rPr>
      </w:pPr>
      <w:r>
        <w:rPr>
          <w:rFonts w:ascii="Arial" w:cs="Arial" w:eastAsia="Arial" w:hAnsi="Arial"/>
          <w:sz w:val="18"/>
          <w:szCs w:val="18"/>
          <w:color w:val="auto"/>
        </w:rPr>
        <w:t>RNG Production reflects OPAL Fuels' proportional share with respect to RNG projects owned with joint venture partners.</w:t>
      </w: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368" w:lineRule="exact"/>
        <w:rPr>
          <w:rFonts w:ascii="Arial" w:cs="Arial" w:eastAsia="Arial" w:hAnsi="Arial"/>
          <w:sz w:val="28"/>
          <w:szCs w:val="28"/>
          <w:color w:val="auto"/>
          <w:vertAlign w:val="superscript"/>
        </w:rPr>
      </w:pPr>
    </w:p>
    <w:p>
      <w:pPr>
        <w:ind w:left="5580"/>
        <w:spacing w:after="0"/>
        <w:rPr>
          <w:rFonts w:ascii="Arial" w:cs="Arial" w:eastAsia="Arial" w:hAnsi="Arial"/>
          <w:sz w:val="28"/>
          <w:szCs w:val="28"/>
          <w:color w:val="auto"/>
          <w:vertAlign w:val="superscript"/>
        </w:rPr>
      </w:pPr>
      <w:r>
        <w:rPr>
          <w:rFonts w:ascii="Arial" w:cs="Arial" w:eastAsia="Arial" w:hAnsi="Arial"/>
          <w:sz w:val="20"/>
          <w:szCs w:val="20"/>
          <w:color w:val="auto"/>
        </w:rPr>
        <w:t>4</w:t>
      </w:r>
    </w:p>
    <w:p>
      <w:pPr>
        <w:sectPr>
          <w:pgSz w:w="11900" w:h="16838" w:orient="portrait"/>
          <w:cols w:equalWidth="0" w:num="1">
            <w:col w:w="11240"/>
          </w:cols>
          <w:pgMar w:left="320" w:top="1422" w:right="339" w:bottom="1440" w:gutter="0" w:footer="0" w:header="0"/>
        </w:sectPr>
      </w:pPr>
    </w:p>
    <w:bookmarkStart w:id="9" w:name="page10"/>
    <w:bookmarkEnd w:id="9"/>
    <w:p>
      <w:pPr>
        <w:spacing w:after="0" w:line="2" w:lineRule="exact"/>
        <w:rPr>
          <w:sz w:val="20"/>
          <w:szCs w:val="20"/>
          <w:color w:val="auto"/>
        </w:rPr>
      </w:pPr>
    </w:p>
    <w:p>
      <w:pPr>
        <w:jc w:val="both"/>
        <w:spacing w:after="0" w:line="337" w:lineRule="auto"/>
        <w:rPr>
          <w:sz w:val="20"/>
          <w:szCs w:val="20"/>
          <w:color w:val="auto"/>
        </w:rPr>
      </w:pPr>
      <w:r>
        <w:rPr>
          <w:rFonts w:ascii="Arial" w:cs="Arial" w:eastAsia="Arial" w:hAnsi="Arial"/>
          <w:sz w:val="19"/>
          <w:szCs w:val="19"/>
          <w:color w:val="auto"/>
        </w:rPr>
        <w:t>Net income for the three months ended September 30, 2022, was $5.4 million, compared to $0.8 million in the prior-year period. The third quarter benefited from higher brown gas prices as well as higher sales of environmental attributes as a result of Noble Road having achieved RIN certification in the second quarter and the release of higher levels of stored gas. We also benefited from approximately $2.5 million of one-time income from an equity method investment that was recognized in the third quarter. Net income for the nine months ended September 30, 2022, was $0.6 million compared to $19.0 million in the prior-year period. The nine month period ended September 30, 2022, reflects the impacts of higher transaction costs associated with becoming a public company offset by higher brown gas prices and higher RIN pricing under forward sales contracts and the $2.5 million one-time benefit from an equity method investment, while the prior year period includes a $19.8 million one-time gain associated with the acquisition of our remaining interest in the Imperial and Greentree projects in May, 2021.</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22"/>
          <w:szCs w:val="22"/>
          <w:color w:val="auto"/>
        </w:rPr>
        <w:t>Adjusted EBITDA</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three months ended September 30, 2022, was $25.5 million, reflecting an increase of 130%, compared to $11.1 million for the prior-year period. Adjusted EBITDA for the nine months ended September 30, 2022, was $40.6 million compared to $22.8 million in the prior-year period.</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Timing of Sales of RINs for Gas in Storage</w:t>
      </w:r>
    </w:p>
    <w:p>
      <w:pPr>
        <w:spacing w:after="0" w:line="287" w:lineRule="exact"/>
        <w:rPr>
          <w:sz w:val="20"/>
          <w:szCs w:val="20"/>
          <w:color w:val="auto"/>
        </w:rPr>
      </w:pPr>
    </w:p>
    <w:p>
      <w:pPr>
        <w:jc w:val="both"/>
        <w:spacing w:after="0" w:line="290" w:lineRule="auto"/>
        <w:rPr>
          <w:sz w:val="20"/>
          <w:szCs w:val="20"/>
          <w:color w:val="auto"/>
        </w:rPr>
      </w:pPr>
      <w:r>
        <w:rPr>
          <w:rFonts w:ascii="Arial" w:cs="Arial" w:eastAsia="Arial" w:hAnsi="Arial"/>
          <w:sz w:val="22"/>
          <w:szCs w:val="22"/>
          <w:color w:val="auto"/>
        </w:rPr>
        <w:t>At September 30, 2022, the Company had biogas in storage from second and third quarter production that was pending certification for generation of environmental credits from New River and Pine Bend. Upon completion of certification, which occurred in October for New River and is expected prior to year-end for Pine Bend, this stored biogas is anticipated to generate approximately 2.4 million RINs. These RINs will be monetized under forward sales contracts as they are generated, at a weighted-average price of $3.20.</w:t>
      </w:r>
    </w:p>
    <w:p>
      <w:pPr>
        <w:spacing w:after="0" w:line="213" w:lineRule="exact"/>
        <w:rPr>
          <w:sz w:val="20"/>
          <w:szCs w:val="20"/>
          <w:color w:val="auto"/>
        </w:rPr>
      </w:pPr>
    </w:p>
    <w:p>
      <w:pPr>
        <w:jc w:val="both"/>
        <w:spacing w:after="0" w:line="346" w:lineRule="auto"/>
        <w:rPr>
          <w:sz w:val="20"/>
          <w:szCs w:val="20"/>
          <w:color w:val="auto"/>
        </w:rPr>
      </w:pPr>
      <w:r>
        <w:rPr>
          <w:rFonts w:ascii="Arial" w:cs="Arial" w:eastAsia="Arial" w:hAnsi="Arial"/>
          <w:sz w:val="19"/>
          <w:szCs w:val="19"/>
          <w:color w:val="auto"/>
        </w:rPr>
        <w:t>Under generally accepted accounting principles (“GAAP”), the timing of revenue recognition for stand-alone RIN sales contracts is tied to the delivery of the RIN to our counterparties and not the production of the RIN. Of the $7.5 million that is anticipated to be generated from these RIN sales, $6.6 million is allocated to third quarter Adjusted EBITDA and represents the volume of the stored biogas produced in the third quarter. The remainder would have been allocated to the second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Segment Revenues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RNG Fuel</w:t>
      </w:r>
    </w:p>
    <w:p>
      <w:pPr>
        <w:spacing w:after="0" w:line="21" w:lineRule="exact"/>
        <w:rPr>
          <w:sz w:val="20"/>
          <w:szCs w:val="20"/>
          <w:color w:val="auto"/>
        </w:rPr>
      </w:pPr>
    </w:p>
    <w:p>
      <w:pPr>
        <w:jc w:val="both"/>
        <w:spacing w:after="0" w:line="283" w:lineRule="auto"/>
        <w:rPr>
          <w:sz w:val="20"/>
          <w:szCs w:val="20"/>
          <w:color w:val="auto"/>
        </w:rPr>
      </w:pPr>
      <w:r>
        <w:rPr>
          <w:rFonts w:ascii="Arial" w:cs="Arial" w:eastAsia="Arial" w:hAnsi="Arial"/>
          <w:sz w:val="22"/>
          <w:szCs w:val="22"/>
          <w:color w:val="auto"/>
        </w:rPr>
        <w:t>Revenue from RNG Fuel was $32.4 million, an increase of $14.5 million, or 81%, for the three months ended September 30, 2022, compared to the three months ended September 30, 2021. This change was attributable primarily due to an increase in RIN sales and brown gas sales driven by additional volumes and higher prices.</w:t>
      </w:r>
    </w:p>
    <w:p>
      <w:pPr>
        <w:spacing w:after="0" w:line="235" w:lineRule="exact"/>
        <w:rPr>
          <w:sz w:val="20"/>
          <w:szCs w:val="20"/>
          <w:color w:val="auto"/>
        </w:rPr>
      </w:pPr>
    </w:p>
    <w:p>
      <w:pPr>
        <w:jc w:val="both"/>
        <w:spacing w:after="0" w:line="346" w:lineRule="auto"/>
        <w:rPr>
          <w:sz w:val="20"/>
          <w:szCs w:val="20"/>
          <w:color w:val="auto"/>
        </w:rPr>
      </w:pPr>
      <w:r>
        <w:rPr>
          <w:rFonts w:ascii="Arial" w:cs="Arial" w:eastAsia="Arial" w:hAnsi="Arial"/>
          <w:sz w:val="19"/>
          <w:szCs w:val="19"/>
          <w:color w:val="auto"/>
        </w:rPr>
        <w:t>For the nine months ended September 30, 2022, revenue from RNG Fuel increased by $46.1 million, or 124%, compared to the nine months ended September 30, 2021. $28.0 million of this increase was attributable primarily to the impact of nine months of Beacon revenues in 2022 versus only five months in 2021. The remainder of the increase is due to higher sales of environmental credits, higher brown gas sales and incremental fuel dispensing primarily due to increased volumes.</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Fuel Station Services</w:t>
      </w:r>
    </w:p>
    <w:p>
      <w:pPr>
        <w:spacing w:after="0" w:line="8"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Revenue from Fuel Station Services was $23.2 million an increase of $4.8 million, or 26%, for the third quarter of 2022 compared to the three months ended September 30, 2021. This change was primarily attributable to additional fuel station projects and incremental service volumes from four new fueling service sites.</w:t>
      </w:r>
    </w:p>
    <w:p>
      <w:pPr>
        <w:spacing w:after="0" w:line="241" w:lineRule="exact"/>
        <w:rPr>
          <w:sz w:val="20"/>
          <w:szCs w:val="20"/>
          <w:color w:val="auto"/>
        </w:rPr>
      </w:pPr>
    </w:p>
    <w:p>
      <w:pPr>
        <w:jc w:val="both"/>
        <w:spacing w:after="0" w:line="298" w:lineRule="auto"/>
        <w:rPr>
          <w:sz w:val="20"/>
          <w:szCs w:val="20"/>
          <w:color w:val="auto"/>
        </w:rPr>
      </w:pPr>
      <w:r>
        <w:rPr>
          <w:rFonts w:ascii="Arial" w:cs="Arial" w:eastAsia="Arial" w:hAnsi="Arial"/>
          <w:sz w:val="22"/>
          <w:szCs w:val="22"/>
          <w:color w:val="auto"/>
        </w:rPr>
        <w:t>For the nine months ended September 30, 2022, revenue from Fuel Station Services increased by $20.0 million, or 56% compared to the nine months ended September 30, 2021. This was primarily attributable to increased fuel station construction projects.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Renewable Power</w:t>
      </w:r>
    </w:p>
    <w:p>
      <w:pPr>
        <w:spacing w:after="0" w:line="21"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Revenue from Renewable Power was $10.9 million flat for the three months ended September 30, 2022, compared to the third quarter 2021.</w:t>
      </w:r>
    </w:p>
    <w:p>
      <w:pPr>
        <w:spacing w:after="0" w:line="218" w:lineRule="exact"/>
        <w:rPr>
          <w:sz w:val="20"/>
          <w:szCs w:val="20"/>
          <w:color w:val="auto"/>
        </w:rPr>
      </w:pPr>
    </w:p>
    <w:p>
      <w:pPr>
        <w:jc w:val="both"/>
        <w:spacing w:after="0" w:line="318" w:lineRule="auto"/>
        <w:rPr>
          <w:sz w:val="20"/>
          <w:szCs w:val="20"/>
          <w:color w:val="auto"/>
        </w:rPr>
      </w:pPr>
      <w:r>
        <w:rPr>
          <w:rFonts w:ascii="Arial" w:cs="Arial" w:eastAsia="Arial" w:hAnsi="Arial"/>
          <w:sz w:val="21"/>
          <w:szCs w:val="21"/>
          <w:color w:val="auto"/>
        </w:rPr>
        <w:t>For the nine months ended September 30, 2022, revenue from Renewable Power decreased by $2.2 million, or 7%, compared to the nine months ended September 30, 2021. This change was attributable primarily to a decrease in generation at one of our renewable power facilities offset by a positive mark-to-market change in commodity swaps.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w:t>
      </w:r>
    </w:p>
    <w:p>
      <w:pPr>
        <w:spacing w:after="0" w:line="253" w:lineRule="exact"/>
        <w:rPr>
          <w:sz w:val="20"/>
          <w:szCs w:val="20"/>
          <w:color w:val="auto"/>
        </w:rPr>
      </w:pPr>
    </w:p>
    <w:p>
      <w:pPr>
        <w:jc w:val="both"/>
        <w:spacing w:after="0" w:line="290" w:lineRule="auto"/>
        <w:rPr>
          <w:sz w:val="20"/>
          <w:szCs w:val="20"/>
          <w:color w:val="auto"/>
        </w:rPr>
      </w:pPr>
      <w:r>
        <w:rPr>
          <w:rFonts w:ascii="Arial" w:cs="Arial" w:eastAsia="Arial" w:hAnsi="Arial"/>
          <w:sz w:val="22"/>
          <w:szCs w:val="22"/>
          <w:color w:val="auto"/>
        </w:rPr>
        <w:t>As of September 30, 2022, our liquidity consisted of cash and cash equivalents including restricted cash of $71.4 million, plus an additional $146.9 million in short-term investments maturing within 90 days. Additionally, we entered into an aggregate $105 million senior secured credit facility to be used to fund up to $100 million of the construction costs of a portfolio of fully- and jointly-owned RNG projects owned, either in full or through a joint venture with a third party over a two year delayed draw period, with the remaining funds to be maintained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395" w:right="339" w:bottom="1440" w:gutter="0" w:footer="0" w:header="0"/>
        </w:sectPr>
      </w:pPr>
    </w:p>
    <w:bookmarkStart w:id="11" w:name="page12"/>
    <w:bookmarkEnd w:id="11"/>
    <w:p>
      <w:pPr>
        <w:spacing w:after="0" w:line="2"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debt service reserve account. No funds have been drawn under this facility. During the quarter three months ended September 30, 2022, we drew $12.5 million under the OPAL term loan, and recently. Subsequent to quarter-end, we drew an additional $12.5 million. We also entered into an amendment to this term loan which extended the commitment available date to March 2023 for the remaining $10.0 million.</w:t>
      </w:r>
    </w:p>
    <w:p>
      <w:pPr>
        <w:spacing w:after="0" w:line="200" w:lineRule="exact"/>
        <w:rPr>
          <w:sz w:val="20"/>
          <w:szCs w:val="20"/>
          <w:color w:val="auto"/>
        </w:rPr>
      </w:pPr>
    </w:p>
    <w:p>
      <w:pPr>
        <w:jc w:val="both"/>
        <w:spacing w:after="0" w:line="372" w:lineRule="auto"/>
        <w:rPr>
          <w:sz w:val="20"/>
          <w:szCs w:val="20"/>
          <w:color w:val="auto"/>
        </w:rPr>
      </w:pPr>
      <w:r>
        <w:rPr>
          <w:rFonts w:ascii="Arial" w:cs="Arial" w:eastAsia="Arial" w:hAnsi="Arial"/>
          <w:sz w:val="19"/>
          <w:szCs w:val="19"/>
          <w:color w:val="auto"/>
        </w:rPr>
        <w:t>We believe that our available cash, anticipated cash flows from operations, available lines of credit under existing debt facilities, and access to expected sources of capital will be sufficient to meet our existing commitments and funding needs.</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 Expenditures</w:t>
      </w:r>
    </w:p>
    <w:p>
      <w:pPr>
        <w:spacing w:after="0" w:line="253"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During the third quarter, OPAL Fuels invested $24.4 million across six RNG projects and 21 owned fueling stations in construction as compared to $19.2 million as of the comparable period in 2021. On a year-to-date basis, we have invested $61.8 million compared to $41.8 million for the nine months ended September 30, 2021.</w:t>
      </w:r>
      <w:r>
        <w:rPr>
          <w:rFonts w:ascii="Arial" w:cs="Arial" w:eastAsia="Arial" w:hAnsi="Arial"/>
          <w:sz w:val="28"/>
          <w:szCs w:val="28"/>
          <w:color w:val="auto"/>
          <w:vertAlign w:val="superscript"/>
        </w:rPr>
        <w:t>8</w:t>
      </w:r>
    </w:p>
    <w:p>
      <w:pPr>
        <w:spacing w:after="0" w:line="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Call</w:t>
      </w:r>
    </w:p>
    <w:p>
      <w:pPr>
        <w:spacing w:after="0" w:line="253" w:lineRule="exact"/>
        <w:rPr>
          <w:sz w:val="20"/>
          <w:szCs w:val="20"/>
          <w:color w:val="auto"/>
        </w:rPr>
      </w:pPr>
    </w:p>
    <w:p>
      <w:pPr>
        <w:jc w:val="both"/>
        <w:ind w:right="20"/>
        <w:spacing w:after="0" w:line="302" w:lineRule="auto"/>
        <w:rPr>
          <w:sz w:val="20"/>
          <w:szCs w:val="20"/>
          <w:color w:val="auto"/>
        </w:rPr>
      </w:pPr>
      <w:r>
        <w:rPr>
          <w:rFonts w:ascii="Arial" w:cs="Arial" w:eastAsia="Arial" w:hAnsi="Arial"/>
          <w:sz w:val="22"/>
          <w:szCs w:val="22"/>
          <w:color w:val="auto"/>
        </w:rPr>
        <w:t>A webcast to review OPAL Fuels’ Third Quarter 2022 results is being held tomorrow, November 15, 2022 at 11:00AM Eastern Time.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Materials to be discussed in the webcast will be available before the call on the Company's website.</w:t>
      </w:r>
    </w:p>
    <w:p>
      <w:pPr>
        <w:spacing w:after="0" w:line="206" w:lineRule="exact"/>
        <w:rPr>
          <w:sz w:val="20"/>
          <w:szCs w:val="20"/>
          <w:color w:val="auto"/>
        </w:rPr>
      </w:pPr>
    </w:p>
    <w:p>
      <w:pPr>
        <w:ind w:right="340"/>
        <w:spacing w:after="0" w:line="232" w:lineRule="auto"/>
        <w:rPr>
          <w:sz w:val="20"/>
          <w:szCs w:val="20"/>
          <w:color w:val="auto"/>
        </w:rPr>
      </w:pPr>
      <w:r>
        <w:rPr>
          <w:rFonts w:ascii="Arial" w:cs="Arial" w:eastAsia="Arial" w:hAnsi="Arial"/>
          <w:sz w:val="22"/>
          <w:szCs w:val="22"/>
          <w:color w:val="auto"/>
        </w:rPr>
        <w:t xml:space="preserve">Participants may access the call at </w:t>
      </w:r>
      <w:r>
        <w:rPr>
          <w:rFonts w:ascii="Arial" w:cs="Arial" w:eastAsia="Arial" w:hAnsi="Arial"/>
          <w:sz w:val="22"/>
          <w:szCs w:val="22"/>
          <w:u w:val="single" w:color="auto"/>
          <w:color w:val="0000FF"/>
        </w:rPr>
        <w:t>https://edge.media-server.com/mmc/p/5oahi7s2</w:t>
      </w:r>
      <w:r>
        <w:rPr>
          <w:rFonts w:ascii="Arial" w:cs="Arial" w:eastAsia="Arial" w:hAnsi="Arial"/>
          <w:sz w:val="22"/>
          <w:szCs w:val="22"/>
          <w:color w:val="auto"/>
        </w:rPr>
        <w:t xml:space="preserve">, and a live webcast will also be available at </w:t>
      </w:r>
      <w:r>
        <w:rPr>
          <w:rFonts w:ascii="Arial" w:cs="Arial" w:eastAsia="Arial" w:hAnsi="Arial"/>
          <w:sz w:val="22"/>
          <w:szCs w:val="22"/>
          <w:u w:val="single" w:color="auto"/>
          <w:color w:val="0000FF"/>
        </w:rPr>
        <w:t>https://investors.opalfuels.com/news-events/events- presentations</w:t>
      </w:r>
      <w:r>
        <w:rPr>
          <w:rFonts w:ascii="Arial" w:cs="Arial" w:eastAsia="Arial" w:hAnsi="Arial"/>
          <w:sz w:val="22"/>
          <w:szCs w:val="22"/>
          <w:color w:val="000000"/>
        </w:rPr>
        <w: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Glossary of terms</w:t>
      </w:r>
    </w:p>
    <w:p>
      <w:pPr>
        <w:spacing w:after="0" w:line="253" w:lineRule="exact"/>
        <w:rPr>
          <w:sz w:val="20"/>
          <w:szCs w:val="20"/>
          <w:color w:val="auto"/>
        </w:rPr>
      </w:pPr>
    </w:p>
    <w:p>
      <w:pPr>
        <w:jc w:val="both"/>
        <w:spacing w:after="0" w:line="288" w:lineRule="auto"/>
        <w:rPr>
          <w:sz w:val="20"/>
          <w:szCs w:val="20"/>
          <w:color w:val="auto"/>
        </w:rPr>
      </w:pPr>
      <w:r>
        <w:rPr>
          <w:rFonts w:ascii="Arial" w:cs="Arial" w:eastAsia="Arial" w:hAnsi="Arial"/>
          <w:sz w:val="22"/>
          <w:szCs w:val="22"/>
          <w:i w:val="1"/>
          <w:iCs w:val="1"/>
          <w:color w:val="auto"/>
        </w:rPr>
        <w:t xml:space="preserve">“Environmental Attributes” </w:t>
      </w:r>
      <w:r>
        <w:rPr>
          <w:rFonts w:ascii="Arial" w:cs="Arial" w:eastAsia="Arial" w:hAnsi="Arial"/>
          <w:sz w:val="22"/>
          <w:szCs w:val="22"/>
          <w:color w:val="auto"/>
        </w:rPr>
        <w:t>refer to federal, state, and local government incentives in the United States, provided in the form of</w:t>
      </w:r>
      <w:r>
        <w:rPr>
          <w:rFonts w:ascii="Arial" w:cs="Arial" w:eastAsia="Arial" w:hAnsi="Arial"/>
          <w:sz w:val="22"/>
          <w:szCs w:val="22"/>
          <w:i w:val="1"/>
          <w:iCs w:val="1"/>
          <w:color w:val="auto"/>
        </w:rPr>
        <w:t xml:space="preserve"> </w:t>
      </w:r>
      <w:r>
        <w:rPr>
          <w:rFonts w:ascii="Arial" w:cs="Arial" w:eastAsia="Arial" w:hAnsi="Arial"/>
          <w:sz w:val="22"/>
          <w:szCs w:val="22"/>
          <w:color w:val="auto"/>
        </w:rPr>
        <w:t>Renewable Identification Numbers, Renewable Energy Credits, Low Carbon Fuel Standard credits, rebates, tax credits and other incentives to end users, distributors, system integrators and manufacturers of renewable energy projects that promote the use of renewable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firstLine="8"/>
        <w:spacing w:after="0" w:line="208" w:lineRule="auto"/>
        <w:tabs>
          <w:tab w:leader="none" w:pos="1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Capital Expenditures reflect net investment in RNG projects net of proceeds received from our non-redeemable non-controlling interests. We received $6.2 million and $6.4 million from such parties for the three months ended September 30, 2022 and 2021, respectively. We received $23.1 million and $15.2 million from these parties for the nine months ended September 30, 2022 and 2021, respectively. These amounts have been excluded to reflect only capital expenditures attributable to OPAL Fuels.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 w:lineRule="exact"/>
        <w:rPr>
          <w:sz w:val="20"/>
          <w:szCs w:val="20"/>
          <w:color w:val="auto"/>
        </w:rPr>
      </w:pPr>
    </w:p>
    <w:p>
      <w:pPr>
        <w:jc w:val="both"/>
        <w:spacing w:after="0" w:line="302" w:lineRule="auto"/>
        <w:rPr>
          <w:sz w:val="20"/>
          <w:szCs w:val="20"/>
          <w:color w:val="auto"/>
        </w:rPr>
      </w:pPr>
      <w:r>
        <w:rPr>
          <w:rFonts w:ascii="Arial" w:cs="Arial" w:eastAsia="Arial" w:hAnsi="Arial"/>
          <w:sz w:val="22"/>
          <w:szCs w:val="22"/>
          <w:i w:val="1"/>
          <w:iCs w:val="1"/>
          <w:color w:val="auto"/>
        </w:rPr>
        <w:t xml:space="preserve">“GGE” </w:t>
      </w:r>
      <w:r>
        <w:rPr>
          <w:rFonts w:ascii="Arial" w:cs="Arial" w:eastAsia="Arial" w:hAnsi="Arial"/>
          <w:sz w:val="22"/>
          <w:szCs w:val="22"/>
          <w:color w:val="auto"/>
        </w:rPr>
        <w:t>refers to Gasoline gallon equivalent. It is used to measure the total volume of RNG production that OPAL Fuels expects</w:t>
      </w:r>
      <w:r>
        <w:rPr>
          <w:rFonts w:ascii="Arial" w:cs="Arial" w:eastAsia="Arial" w:hAnsi="Arial"/>
          <w:sz w:val="22"/>
          <w:szCs w:val="22"/>
          <w:i w:val="1"/>
          <w:iCs w:val="1"/>
          <w:color w:val="auto"/>
        </w:rPr>
        <w:t xml:space="preserve"> </w:t>
      </w:r>
      <w:r>
        <w:rPr>
          <w:rFonts w:ascii="Arial" w:cs="Arial" w:eastAsia="Arial" w:hAnsi="Arial"/>
          <w:sz w:val="22"/>
          <w:szCs w:val="22"/>
          <w:color w:val="auto"/>
        </w:rPr>
        <w:t>to dispense each year. The conversion ratio is 1MMBtu equal to 7.74 GGE.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“LFG” </w:t>
      </w:r>
      <w:r>
        <w:rPr>
          <w:rFonts w:ascii="Arial" w:cs="Arial" w:eastAsia="Arial" w:hAnsi="Arial"/>
          <w:sz w:val="22"/>
          <w:szCs w:val="22"/>
          <w:color w:val="auto"/>
        </w:rPr>
        <w:t>refers to landfill gas.</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“MMBtu” </w:t>
      </w:r>
      <w:r>
        <w:rPr>
          <w:rFonts w:ascii="Arial" w:cs="Arial" w:eastAsia="Arial" w:hAnsi="Arial"/>
          <w:sz w:val="22"/>
          <w:szCs w:val="22"/>
          <w:color w:val="auto"/>
        </w:rPr>
        <w:t>refers to British thermal units.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“Renewable Power” </w:t>
      </w:r>
      <w:r>
        <w:rPr>
          <w:rFonts w:ascii="Arial" w:cs="Arial" w:eastAsia="Arial" w:hAnsi="Arial"/>
          <w:sz w:val="22"/>
          <w:szCs w:val="22"/>
          <w:color w:val="auto"/>
        </w:rPr>
        <w:t>refers to electricity generated from renewable sources.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“RNG” </w:t>
      </w:r>
      <w:r>
        <w:rPr>
          <w:rFonts w:ascii="Arial" w:cs="Arial" w:eastAsia="Arial" w:hAnsi="Arial"/>
          <w:sz w:val="22"/>
          <w:szCs w:val="22"/>
          <w:color w:val="auto"/>
        </w:rPr>
        <w:t>refers to renewable natural gas.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“D3” </w:t>
      </w:r>
      <w:r>
        <w:rPr>
          <w:rFonts w:ascii="Arial" w:cs="Arial" w:eastAsia="Arial" w:hAnsi="Arial"/>
          <w:sz w:val="22"/>
          <w:szCs w:val="22"/>
          <w:color w:val="auto"/>
        </w:rPr>
        <w:t>refers to cellulosic biofuel with a 60% GHG reduction requirement.</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“RIN” </w:t>
      </w:r>
      <w:r>
        <w:rPr>
          <w:rFonts w:ascii="Arial" w:cs="Arial" w:eastAsia="Arial" w:hAnsi="Arial"/>
          <w:sz w:val="22"/>
          <w:szCs w:val="22"/>
          <w:color w:val="auto"/>
        </w:rPr>
        <w:t>refers to Renewal Identification Numbers.</w:t>
      </w:r>
    </w:p>
    <w:p>
      <w:pPr>
        <w:spacing w:after="0" w:line="3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“EPA” </w:t>
      </w:r>
      <w:r>
        <w:rPr>
          <w:rFonts w:ascii="Arial" w:cs="Arial" w:eastAsia="Arial" w:hAnsi="Arial"/>
          <w:sz w:val="22"/>
          <w:szCs w:val="22"/>
          <w:color w:val="auto"/>
        </w:rPr>
        <w:t>refers to Environmental Protection Agency.</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OPAL Fuels Inc.</w:t>
      </w:r>
    </w:p>
    <w:p>
      <w:pPr>
        <w:spacing w:after="0" w:line="27" w:lineRule="exact"/>
        <w:rPr>
          <w:sz w:val="20"/>
          <w:szCs w:val="20"/>
          <w:color w:val="auto"/>
        </w:rPr>
      </w:pPr>
    </w:p>
    <w:p>
      <w:pPr>
        <w:jc w:val="both"/>
        <w:spacing w:after="0" w:line="322" w:lineRule="auto"/>
        <w:rPr>
          <w:sz w:val="20"/>
          <w:szCs w:val="20"/>
          <w:color w:val="auto"/>
        </w:rPr>
      </w:pPr>
      <w:r>
        <w:rPr>
          <w:rFonts w:ascii="Arial" w:cs="Arial" w:eastAsia="Arial" w:hAnsi="Arial"/>
          <w:sz w:val="19"/>
          <w:szCs w:val="19"/>
          <w:u w:val="single" w:color="auto"/>
          <w:color w:val="0000FF"/>
        </w:rPr>
        <w:t>OPAL Fuels Inc.</w:t>
      </w:r>
      <w:r>
        <w:rPr>
          <w:rFonts w:ascii="Arial" w:cs="Arial" w:eastAsia="Arial" w:hAnsi="Arial"/>
          <w:sz w:val="19"/>
          <w:szCs w:val="19"/>
          <w:color w:val="0000FF"/>
        </w:rPr>
        <w:t xml:space="preserve"> </w:t>
      </w:r>
      <w:r>
        <w:rPr>
          <w:rFonts w:ascii="Arial" w:cs="Arial" w:eastAsia="Arial" w:hAnsi="Arial"/>
          <w:sz w:val="19"/>
          <w:szCs w:val="19"/>
          <w:color w:val="000000"/>
        </w:rPr>
        <w:t>(Nasdaq: OPAL) is a leading vertically integrated renewable fuels platform involved in the production and</w:t>
      </w:r>
      <w:r>
        <w:rPr>
          <w:rFonts w:ascii="Arial" w:cs="Arial" w:eastAsia="Arial" w:hAnsi="Arial"/>
          <w:sz w:val="19"/>
          <w:szCs w:val="19"/>
          <w:color w:val="0000FF"/>
        </w:rPr>
        <w:t xml:space="preserve"> </w:t>
      </w:r>
      <w:r>
        <w:rPr>
          <w:rFonts w:ascii="Arial" w:cs="Arial" w:eastAsia="Arial" w:hAnsi="Arial"/>
          <w:sz w:val="19"/>
          <w:szCs w:val="19"/>
          <w:color w:val="000000"/>
        </w:rPr>
        <w:t xml:space="preserve">distribution of renewable natural gas (RNG) for the heavy-duty truck market. RNG is a proven low-carbon fuel that is rapidly decarbonizing the transportation industry now while also significantly reducing fuel costs for fleet owners. OPAL Fuels captures harmful methane emissions at the source and recycles the trapped energy into a commercially viable, lower-cost alternative to diesel fuel. The company also develops, constructs, and services RNG and hydrogen fueling stations. As a producer and distributor of carbon-reducing fuel for heavy-duty truck fleets for more than a decade, OPAL Fuels delivers complete renewable solutions to customers and production partners. To learn more about OPAL Fuels and how it is leading the effort to capture North America’s harmful methane emissions and decarbonize the transportation industry, please visit </w:t>
      </w:r>
      <w:r>
        <w:rPr>
          <w:rFonts w:ascii="Arial" w:cs="Arial" w:eastAsia="Arial" w:hAnsi="Arial"/>
          <w:sz w:val="19"/>
          <w:szCs w:val="19"/>
          <w:color w:val="0563C1"/>
        </w:rPr>
        <w:t>www.opalfuels.com</w:t>
      </w:r>
      <w:r>
        <w:rPr>
          <w:rFonts w:ascii="Arial" w:cs="Arial" w:eastAsia="Arial" w:hAnsi="Arial"/>
          <w:sz w:val="19"/>
          <w:szCs w:val="19"/>
          <w:color w:val="000000"/>
        </w:rPr>
        <w:t xml:space="preserve"> and follow the company on LinkedIn and Twitter at @OPALFuels.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7" w:lineRule="exact"/>
        <w:rPr>
          <w:sz w:val="20"/>
          <w:szCs w:val="20"/>
          <w:color w:val="auto"/>
        </w:rPr>
      </w:pPr>
    </w:p>
    <w:p>
      <w:pPr>
        <w:jc w:val="both"/>
        <w:ind w:right="20"/>
        <w:spacing w:after="0" w:line="285" w:lineRule="auto"/>
        <w:rPr>
          <w:sz w:val="20"/>
          <w:szCs w:val="20"/>
          <w:color w:val="auto"/>
        </w:rPr>
      </w:pPr>
      <w:r>
        <w:rPr>
          <w:rFonts w:ascii="Arial" w:cs="Arial" w:eastAsia="Arial" w:hAnsi="Arial"/>
          <w:sz w:val="22"/>
          <w:szCs w:val="22"/>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OPAL Fuels’ (the “Company”) future financial or other performance metrics. In some cases, you can identify forward-looking statements by terminology such as “believe,” “may,” “will,” “potentially,” “estimate,” “continue,” “anticipate,” “intend,”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 w:lineRule="exact"/>
        <w:rPr>
          <w:sz w:val="20"/>
          <w:szCs w:val="20"/>
          <w:color w:val="auto"/>
        </w:rPr>
      </w:pPr>
    </w:p>
    <w:p>
      <w:pPr>
        <w:jc w:val="both"/>
        <w:spacing w:after="0" w:line="334" w:lineRule="auto"/>
        <w:rPr>
          <w:sz w:val="20"/>
          <w:szCs w:val="20"/>
          <w:color w:val="auto"/>
        </w:rPr>
      </w:pPr>
      <w:r>
        <w:rPr>
          <w:rFonts w:ascii="Arial" w:cs="Arial" w:eastAsia="Arial" w:hAnsi="Arial"/>
          <w:sz w:val="19"/>
          <w:szCs w:val="19"/>
          <w:color w:val="auto"/>
        </w:rPr>
        <w:t>“could,”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“Cautionary Statement Regarding Forward-Looking Statements” in the Company's quarterly report on Form 10Q filed on November 14, 2022, and other filings the Company makes with the Securities and Exchange Commission. Nothing in this communication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Disclaimer</w:t>
      </w:r>
    </w:p>
    <w:p>
      <w:pPr>
        <w:spacing w:after="0" w:line="27"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This communication is for informational purposes only and is neither an offer to purchase, nor a solicitation of an offer to sell, subscribe for or buy, any securities, nor shall there be any sale, issuance or transfer or securities in any jurisdiction in contravention of applicable law. No offer of securities shall be made except by means of a prospectus meeting the requirements of Section 10 of the Securities Act of 1933, as amended.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Jason Stewart</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Senior Director Public Relations &amp; Marketing</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914-421-5336</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jstewart@opalfuels.com</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ICR,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OPALFuelsPR@icrinc.com</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Todd Firestone</w:t>
      </w:r>
    </w:p>
    <w:p>
      <w:pPr>
        <w:spacing w:after="0" w:line="71" w:lineRule="exact"/>
        <w:rPr>
          <w:sz w:val="20"/>
          <w:szCs w:val="20"/>
          <w:color w:val="auto"/>
        </w:rPr>
      </w:pPr>
    </w:p>
    <w:p>
      <w:pPr>
        <w:ind w:right="4879"/>
        <w:spacing w:after="0" w:line="320" w:lineRule="auto"/>
        <w:rPr>
          <w:sz w:val="20"/>
          <w:szCs w:val="20"/>
          <w:color w:val="auto"/>
        </w:rPr>
      </w:pPr>
      <w:r>
        <w:rPr>
          <w:rFonts w:ascii="Arial" w:cs="Arial" w:eastAsia="Arial" w:hAnsi="Arial"/>
          <w:sz w:val="22"/>
          <w:szCs w:val="22"/>
          <w:color w:val="auto"/>
        </w:rPr>
        <w:t>Vice President Investor Relations &amp; Corporate Development 914-705-4001</w:t>
      </w:r>
    </w:p>
    <w:p>
      <w:pPr>
        <w:spacing w:after="0"/>
        <w:rPr>
          <w:sz w:val="20"/>
          <w:szCs w:val="20"/>
          <w:color w:val="auto"/>
        </w:rPr>
      </w:pPr>
      <w:r>
        <w:rPr>
          <w:rFonts w:ascii="Arial" w:cs="Arial" w:eastAsia="Arial" w:hAnsi="Arial"/>
          <w:sz w:val="22"/>
          <w:szCs w:val="22"/>
          <w:u w:val="single" w:color="auto"/>
          <w:color w:val="0000FF"/>
        </w:rPr>
        <w:t>investors@opalfuels.com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441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139"/>
          </w:cols>
          <w:pgMar w:left="320" w:top="1440" w:right="1440" w:bottom="1440" w:gutter="0" w:footer="0" w:header="0"/>
        </w:sectPr>
      </w:pPr>
    </w:p>
    <w:bookmarkStart w:id="15" w:name="page16"/>
    <w:bookmarkEnd w:id="15"/>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OPAL FUELS INC.</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of U.S. dollars, except per share data)</w:t>
      </w:r>
    </w:p>
    <w:p>
      <w:pPr>
        <w:sectPr>
          <w:pgSz w:w="11900" w:h="16838" w:orient="portrait"/>
          <w:cols w:equalWidth="0" w:num="1">
            <w:col w:w="9019"/>
          </w:cols>
          <w:pgMar w:left="1440" w:top="1440" w:right="1440" w:bottom="1440" w:gutter="0" w:footer="0" w:header="0"/>
        </w:sectPr>
      </w:pPr>
    </w:p>
    <w:bookmarkStart w:id="16" w:name="page17"/>
    <w:bookmarkEnd w:id="16"/>
    <w:tbl>
      <w:tblPr>
        <w:tblLayout w:type="fixed"/>
        <w:tblInd w:w="8140" w:type="dxa"/>
        <w:tblCellMar>
          <w:top w:w="0" w:type="dxa"/>
          <w:left w:w="0" w:type="dxa"/>
          <w:bottom w:w="0" w:type="dxa"/>
          <w:right w:w="0" w:type="dxa"/>
        </w:tblCellMar>
      </w:tblPr>
      <w:tr>
        <w:trPr>
          <w:trHeight w:val="184"/>
        </w:trPr>
        <w:tc>
          <w:tcPr>
            <w:tcW w:w="16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10"/>
        </w:trPr>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Pr>
          <w:p>
            <w:pPr>
              <w:spacing w:after="0"/>
              <w:rPr>
                <w:sz w:val="18"/>
                <w:szCs w:val="18"/>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46"/>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(Unaudited)</w:t>
            </w:r>
          </w:p>
        </w:tc>
        <w:tc>
          <w:tcPr>
            <w:tcW w:w="120" w:type="dxa"/>
            <w:vAlign w:val="bottom"/>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13232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w:t>
      </w:r>
    </w:p>
    <w:p>
      <w:pPr>
        <w:sectPr>
          <w:pgSz w:w="11900" w:h="16838" w:orient="portrait"/>
          <w:cols w:equalWidth="0" w:num="1">
            <w:col w:w="11220"/>
          </w:cols>
          <w:pgMar w:left="340" w:top="199" w:right="339" w:bottom="1440"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351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134" w:lineRule="exact"/>
        <w:rPr>
          <w:sz w:val="20"/>
          <w:szCs w:val="20"/>
          <w:color w:val="auto"/>
        </w:rPr>
      </w:pPr>
    </w:p>
    <w:p>
      <w:pPr>
        <w:ind w:left="320" w:right="280" w:hanging="179"/>
        <w:spacing w:after="0" w:line="293" w:lineRule="auto"/>
        <w:rPr>
          <w:sz w:val="20"/>
          <w:szCs w:val="20"/>
          <w:color w:val="auto"/>
        </w:rPr>
      </w:pPr>
      <w:r>
        <w:rPr>
          <w:rFonts w:ascii="Arial" w:cs="Arial" w:eastAsia="Arial" w:hAnsi="Arial"/>
          <w:sz w:val="16"/>
          <w:szCs w:val="16"/>
          <w:color w:val="auto"/>
        </w:rPr>
        <w:t>Cash and cash equivalents (includes $10,045 and $1,991 at September 30, 2022 and December 31, 2021, respectively, related to consolidated VIEs)</w:t>
      </w:r>
    </w:p>
    <w:p>
      <w:pPr>
        <w:spacing w:after="0" w:line="104" w:lineRule="exact"/>
        <w:rPr>
          <w:sz w:val="20"/>
          <w:szCs w:val="20"/>
          <w:color w:val="auto"/>
        </w:rPr>
      </w:pPr>
    </w:p>
    <w:p>
      <w:pPr>
        <w:ind w:left="320" w:right="20" w:hanging="179"/>
        <w:spacing w:after="0" w:line="293" w:lineRule="auto"/>
        <w:rPr>
          <w:sz w:val="20"/>
          <w:szCs w:val="20"/>
          <w:color w:val="auto"/>
        </w:rPr>
      </w:pPr>
      <w:r>
        <w:rPr>
          <w:rFonts w:ascii="Arial" w:cs="Arial" w:eastAsia="Arial" w:hAnsi="Arial"/>
          <w:sz w:val="16"/>
          <w:szCs w:val="16"/>
          <w:color w:val="auto"/>
        </w:rPr>
        <w:t>Accounts receivable, net (includes $1,129 and $40 at September 30, 2022 and December 31, 2021, respectively, related to consolidated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84" w:lineRule="exact"/>
        <w:rPr>
          <w:sz w:val="20"/>
          <w:szCs w:val="20"/>
          <w:color w:val="auto"/>
        </w:rPr>
      </w:pPr>
    </w:p>
    <w:p>
      <w:pPr>
        <w:ind w:left="320" w:right="40" w:hanging="179"/>
        <w:spacing w:after="0" w:line="293" w:lineRule="auto"/>
        <w:rPr>
          <w:sz w:val="20"/>
          <w:szCs w:val="20"/>
          <w:color w:val="auto"/>
        </w:rPr>
      </w:pPr>
      <w:r>
        <w:rPr>
          <w:rFonts w:ascii="Arial" w:cs="Arial" w:eastAsia="Arial" w:hAnsi="Arial"/>
          <w:sz w:val="16"/>
          <w:szCs w:val="16"/>
          <w:color w:val="auto"/>
        </w:rPr>
        <w:t>Restricted cash - current (includes $7,623 and $— at September 30, 2022 and December 31, 2021, respectively, related to consolidated VIEs)</w:t>
      </w:r>
    </w:p>
    <w:p>
      <w:pPr>
        <w:spacing w:after="0" w:line="104" w:lineRule="exact"/>
        <w:rPr>
          <w:sz w:val="20"/>
          <w:szCs w:val="20"/>
          <w:color w:val="auto"/>
        </w:rPr>
      </w:pPr>
    </w:p>
    <w:p>
      <w:pPr>
        <w:ind w:left="320" w:hanging="179"/>
        <w:spacing w:after="0" w:line="293" w:lineRule="auto"/>
        <w:rPr>
          <w:sz w:val="20"/>
          <w:szCs w:val="20"/>
          <w:color w:val="auto"/>
        </w:rPr>
      </w:pPr>
      <w:r>
        <w:rPr>
          <w:rFonts w:ascii="Arial" w:cs="Arial" w:eastAsia="Arial" w:hAnsi="Arial"/>
          <w:sz w:val="16"/>
          <w:szCs w:val="16"/>
          <w:color w:val="auto"/>
        </w:rPr>
        <w:t>Short term investments ( includes $15,411 and $— at September 30, 2022 and December 31, 2021, respectively, related to consolidated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Fuel tax credits receivable</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214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Parts inventory</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Environmental credits held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RNG inventory</w:t>
      </w:r>
    </w:p>
    <w:p>
      <w:pPr>
        <w:spacing w:after="0" w:line="154" w:lineRule="exact"/>
        <w:rPr>
          <w:sz w:val="20"/>
          <w:szCs w:val="20"/>
          <w:color w:val="auto"/>
        </w:rPr>
      </w:pPr>
    </w:p>
    <w:p>
      <w:pPr>
        <w:ind w:left="320" w:right="540" w:hanging="179"/>
        <w:spacing w:after="0" w:line="293" w:lineRule="auto"/>
        <w:rPr>
          <w:sz w:val="20"/>
          <w:szCs w:val="20"/>
          <w:color w:val="auto"/>
        </w:rPr>
      </w:pPr>
      <w:r>
        <w:rPr>
          <w:rFonts w:ascii="Arial" w:cs="Arial" w:eastAsia="Arial" w:hAnsi="Arial"/>
          <w:sz w:val="16"/>
          <w:szCs w:val="16"/>
          <w:color w:val="auto"/>
        </w:rPr>
        <w:t>Prepaid expense and other current assets (includes $268 and $113 at September 30, 2022 and December 31, 2021, respectively, related to consolidated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Derivative financial assets, current portion</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32320"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Capital spares</w:t>
      </w:r>
    </w:p>
    <w:p>
      <w:pPr>
        <w:spacing w:after="0" w:line="167" w:lineRule="exact"/>
        <w:rPr>
          <w:sz w:val="20"/>
          <w:szCs w:val="20"/>
          <w:color w:val="auto"/>
        </w:rPr>
      </w:pPr>
    </w:p>
    <w:p>
      <w:pPr>
        <w:ind w:left="320" w:right="480" w:hanging="179"/>
        <w:spacing w:after="0" w:line="293" w:lineRule="auto"/>
        <w:rPr>
          <w:sz w:val="20"/>
          <w:szCs w:val="20"/>
          <w:color w:val="auto"/>
        </w:rPr>
      </w:pPr>
      <w:r>
        <w:rPr>
          <w:rFonts w:ascii="Arial" w:cs="Arial" w:eastAsia="Arial" w:hAnsi="Arial"/>
          <w:sz w:val="16"/>
          <w:szCs w:val="16"/>
          <w:color w:val="auto"/>
        </w:rPr>
        <w:t>Property, plant, and equipment, net (includes $50,099 and $27,794 at September 30, 2022 and December 31, 2021, respectively, related to consolidated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Investment in other entities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Note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Note receivable - variable fee component</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Deferred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213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13995"/>
                    </a:xfrm>
                    <a:prstGeom prst="rect">
                      <a:avLst/>
                    </a:prstGeom>
                    <a:noFill/>
                  </pic:spPr>
                </pic:pic>
              </a:graphicData>
            </a:graphic>
          </wp:anchor>
        </w:drawing>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Other long-term assets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351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134" w:lineRule="exact"/>
        <w:rPr>
          <w:sz w:val="20"/>
          <w:szCs w:val="20"/>
          <w:color w:val="auto"/>
        </w:rPr>
      </w:pPr>
    </w:p>
    <w:p>
      <w:pPr>
        <w:ind w:left="320" w:right="180" w:hanging="179"/>
        <w:spacing w:after="0" w:line="293" w:lineRule="auto"/>
        <w:rPr>
          <w:sz w:val="20"/>
          <w:szCs w:val="20"/>
          <w:color w:val="auto"/>
        </w:rPr>
      </w:pPr>
      <w:r>
        <w:rPr>
          <w:rFonts w:ascii="Arial" w:cs="Arial" w:eastAsia="Arial" w:hAnsi="Arial"/>
          <w:sz w:val="16"/>
          <w:szCs w:val="16"/>
          <w:color w:val="auto"/>
        </w:rPr>
        <w:t>Restricted cash - non-current (includes $2,867 and $1,163 at September 30, 2022 and December 31, 2021, respectively, related to consolidated VIEs)</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Total assets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32320"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Current liabilities:</w:t>
      </w:r>
    </w:p>
    <w:p>
      <w:pPr>
        <w:spacing w:after="0" w:line="154" w:lineRule="exact"/>
        <w:rPr>
          <w:sz w:val="20"/>
          <w:szCs w:val="20"/>
          <w:color w:val="auto"/>
        </w:rPr>
      </w:pPr>
    </w:p>
    <w:p>
      <w:pPr>
        <w:ind w:left="320" w:right="380" w:hanging="179"/>
        <w:spacing w:after="0" w:line="293" w:lineRule="auto"/>
        <w:rPr>
          <w:sz w:val="20"/>
          <w:szCs w:val="20"/>
          <w:color w:val="auto"/>
        </w:rPr>
      </w:pPr>
      <w:r>
        <w:rPr>
          <w:rFonts w:ascii="Arial" w:cs="Arial" w:eastAsia="Arial" w:hAnsi="Arial"/>
          <w:sz w:val="16"/>
          <w:szCs w:val="16"/>
          <w:color w:val="auto"/>
        </w:rPr>
        <w:t>Accounts payable (includes $2,783 and $544 at September 30, 2022 and December 31, 2021, respectively, related to consolidated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Accounts payable, related party</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Fuel tax credits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214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Accrued payroll</w:t>
      </w:r>
    </w:p>
    <w:p>
      <w:pPr>
        <w:spacing w:after="0" w:line="154" w:lineRule="exact"/>
        <w:rPr>
          <w:sz w:val="20"/>
          <w:szCs w:val="20"/>
          <w:color w:val="auto"/>
        </w:rPr>
      </w:pPr>
    </w:p>
    <w:p>
      <w:pPr>
        <w:ind w:left="320" w:right="420" w:hanging="179"/>
        <w:spacing w:after="0" w:line="293" w:lineRule="auto"/>
        <w:rPr>
          <w:sz w:val="20"/>
          <w:szCs w:val="20"/>
          <w:color w:val="auto"/>
        </w:rPr>
      </w:pPr>
      <w:r>
        <w:rPr>
          <w:rFonts w:ascii="Arial" w:cs="Arial" w:eastAsia="Arial" w:hAnsi="Arial"/>
          <w:sz w:val="16"/>
          <w:szCs w:val="16"/>
          <w:color w:val="auto"/>
        </w:rPr>
        <w:t>Accrued capital expenses (includes $1,493 and $1,722 at September 30, 2022 and December 31, 2021, respectively, related to consolidated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132320" cy="213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213995"/>
                    </a:xfrm>
                    <a:prstGeom prst="rect">
                      <a:avLst/>
                    </a:prstGeom>
                    <a:noFill/>
                  </pic:spPr>
                </pic:pic>
              </a:graphicData>
            </a:graphic>
          </wp:anchor>
        </w:drawing>
      </w:r>
    </w:p>
    <w:p>
      <w:pPr>
        <w:spacing w:after="0" w:line="8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Accrued expenses and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25,286</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39,314</w:t>
            </w:r>
          </w:p>
        </w:tc>
      </w:tr>
      <w:tr>
        <w:trPr>
          <w:trHeight w:val="553"/>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36,660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25,391</w:t>
            </w:r>
          </w:p>
        </w:tc>
      </w:tr>
      <w:tr>
        <w:trPr>
          <w:trHeight w:val="553"/>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41,419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53"/>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146,936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8"/>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3,442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2,393</w:t>
            </w:r>
          </w:p>
        </w:tc>
      </w:tr>
      <w:tr>
        <w:trPr>
          <w:trHeight w:val="338"/>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14,676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8,484</w:t>
            </w:r>
          </w:p>
        </w:tc>
      </w:tr>
      <w:tr>
        <w:trPr>
          <w:trHeight w:val="338"/>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6,570</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5,143</w:t>
            </w:r>
          </w:p>
        </w:tc>
      </w:tr>
      <w:tr>
        <w:trPr>
          <w:trHeight w:val="338"/>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1,224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386</w:t>
            </w:r>
          </w:p>
        </w:tc>
      </w:tr>
      <w:tr>
        <w:trPr>
          <w:trHeight w:val="338"/>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2,094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53"/>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6,513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5,482</w:t>
            </w:r>
          </w:p>
        </w:tc>
      </w:tr>
      <w:tr>
        <w:trPr>
          <w:trHeight w:val="341"/>
        </w:trPr>
        <w:tc>
          <w:tcPr>
            <w:tcW w:w="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1,435</w:t>
            </w: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w:t>
            </w:r>
          </w:p>
        </w:tc>
      </w:tr>
      <w:tr>
        <w:trPr>
          <w:trHeight w:val="304"/>
        </w:trPr>
        <w:tc>
          <w:tcPr>
            <w:tcW w:w="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286,255</w:t>
            </w: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86,975</w:t>
            </w:r>
          </w:p>
        </w:tc>
      </w:tr>
      <w:tr>
        <w:trPr>
          <w:trHeight w:val="301"/>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3,333</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3,025</w:t>
            </w:r>
          </w:p>
        </w:tc>
      </w:tr>
      <w:tr>
        <w:trPr>
          <w:trHeight w:val="553"/>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250,355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169,770</w:t>
            </w:r>
          </w:p>
        </w:tc>
      </w:tr>
      <w:tr>
        <w:trPr>
          <w:trHeight w:val="338"/>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48,708</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47,150</w:t>
            </w:r>
          </w:p>
        </w:tc>
      </w:tr>
      <w:tr>
        <w:trPr>
          <w:trHeight w:val="338"/>
        </w:trPr>
        <w:tc>
          <w:tcPr>
            <w:tcW w:w="9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9,200</w:t>
            </w:r>
          </w:p>
        </w:tc>
      </w:tr>
      <w:tr>
        <w:trPr>
          <w:trHeight w:val="338"/>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1,865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1,656</w:t>
            </w:r>
          </w:p>
        </w:tc>
      </w:tr>
      <w:tr>
        <w:trPr>
          <w:trHeight w:val="338"/>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3,522</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2,370</w:t>
            </w:r>
          </w:p>
        </w:tc>
      </w:tr>
      <w:tr>
        <w:trPr>
          <w:trHeight w:val="338"/>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489</w:t>
            </w:r>
          </w:p>
        </w:tc>
      </w:tr>
      <w:tr>
        <w:trPr>
          <w:trHeight w:val="338"/>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2,266</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2,861</w:t>
            </w:r>
          </w:p>
        </w:tc>
      </w:tr>
      <w:tr>
        <w:trPr>
          <w:trHeight w:val="553"/>
        </w:trPr>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4,655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2,740</w:t>
            </w:r>
          </w:p>
        </w:tc>
      </w:tr>
      <w:tr>
        <w:trPr>
          <w:trHeight w:val="340"/>
        </w:trPr>
        <w:tc>
          <w:tcPr>
            <w:tcW w:w="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54,608</w:t>
            </w: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54,608</w:t>
            </w:r>
          </w:p>
        </w:tc>
      </w:tr>
      <w:tr>
        <w:trPr>
          <w:trHeight w:val="277"/>
        </w:trPr>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656,056</w:t>
            </w:r>
          </w:p>
        </w:tc>
        <w:tc>
          <w:tcPr>
            <w:tcW w:w="120" w:type="dxa"/>
            <w:vAlign w:val="bottom"/>
          </w:tcPr>
          <w:p>
            <w:pPr>
              <w:spacing w:after="0"/>
              <w:rPr>
                <w:sz w:val="24"/>
                <w:szCs w:val="24"/>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380,844</w:t>
            </w:r>
          </w:p>
        </w:tc>
      </w:tr>
      <w:tr>
        <w:trPr>
          <w:trHeight w:val="24"/>
        </w:trPr>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1020" w:type="dxa"/>
        <w:tblCellMar>
          <w:top w:w="0" w:type="dxa"/>
          <w:left w:w="0" w:type="dxa"/>
          <w:bottom w:w="0" w:type="dxa"/>
          <w:right w:w="0" w:type="dxa"/>
        </w:tblCellMar>
      </w:tblPr>
      <w:tr>
        <w:trPr>
          <w:trHeight w:val="206"/>
        </w:trPr>
        <w:tc>
          <w:tcPr>
            <w:tcW w:w="1020" w:type="dxa"/>
            <w:vAlign w:val="bottom"/>
          </w:tcPr>
          <w:p>
            <w:pPr>
              <w:jc w:val="right"/>
              <w:ind w:right="499"/>
              <w:spacing w:after="0"/>
              <w:rPr>
                <w:sz w:val="20"/>
                <w:szCs w:val="20"/>
                <w:color w:val="auto"/>
              </w:rPr>
            </w:pPr>
            <w:r>
              <w:rPr>
                <w:rFonts w:ascii="Arial" w:cs="Arial" w:eastAsia="Arial" w:hAnsi="Arial"/>
                <w:sz w:val="16"/>
                <w:szCs w:val="16"/>
                <w:color w:val="auto"/>
              </w:rPr>
              <w:t>5,798</w:t>
            </w:r>
          </w:p>
        </w:tc>
        <w:tc>
          <w:tcPr>
            <w:tcW w:w="1020" w:type="dxa"/>
            <w:vAlign w:val="bottom"/>
          </w:tcPr>
          <w:p>
            <w:pPr>
              <w:jc w:val="right"/>
              <w:spacing w:after="0"/>
              <w:rPr>
                <w:sz w:val="20"/>
                <w:szCs w:val="20"/>
                <w:color w:val="auto"/>
              </w:rPr>
            </w:pPr>
            <w:r>
              <w:rPr>
                <w:rFonts w:ascii="Arial" w:cs="Arial" w:eastAsia="Arial" w:hAnsi="Arial"/>
                <w:sz w:val="16"/>
                <w:szCs w:val="16"/>
                <w:color w:val="auto"/>
              </w:rPr>
              <w:t>12,581</w:t>
            </w:r>
          </w:p>
        </w:tc>
      </w:tr>
      <w:tr>
        <w:trPr>
          <w:trHeight w:val="338"/>
        </w:trPr>
        <w:tc>
          <w:tcPr>
            <w:tcW w:w="1020" w:type="dxa"/>
            <w:vAlign w:val="bottom"/>
          </w:tcPr>
          <w:p>
            <w:pPr>
              <w:jc w:val="right"/>
              <w:ind w:right="499"/>
              <w:spacing w:after="0"/>
              <w:rPr>
                <w:sz w:val="20"/>
                <w:szCs w:val="20"/>
                <w:color w:val="auto"/>
              </w:rPr>
            </w:pPr>
            <w:r>
              <w:rPr>
                <w:rFonts w:ascii="Arial" w:cs="Arial" w:eastAsia="Arial" w:hAnsi="Arial"/>
                <w:sz w:val="16"/>
                <w:szCs w:val="16"/>
                <w:color w:val="auto"/>
              </w:rPr>
              <w:t>489</w:t>
            </w:r>
          </w:p>
        </w:tc>
        <w:tc>
          <w:tcPr>
            <w:tcW w:w="102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338"/>
        </w:trPr>
        <w:tc>
          <w:tcPr>
            <w:tcW w:w="1020" w:type="dxa"/>
            <w:vAlign w:val="bottom"/>
          </w:tcPr>
          <w:p>
            <w:pPr>
              <w:jc w:val="right"/>
              <w:ind w:right="499"/>
              <w:spacing w:after="0"/>
              <w:rPr>
                <w:sz w:val="20"/>
                <w:szCs w:val="20"/>
                <w:color w:val="auto"/>
              </w:rPr>
            </w:pPr>
            <w:r>
              <w:rPr>
                <w:rFonts w:ascii="Arial" w:cs="Arial" w:eastAsia="Arial" w:hAnsi="Arial"/>
                <w:sz w:val="16"/>
                <w:szCs w:val="16"/>
                <w:color w:val="auto"/>
              </w:rPr>
              <w:t>2,668</w:t>
            </w:r>
          </w:p>
        </w:tc>
        <w:tc>
          <w:tcPr>
            <w:tcW w:w="1020" w:type="dxa"/>
            <w:vAlign w:val="bottom"/>
          </w:tcPr>
          <w:p>
            <w:pPr>
              <w:jc w:val="right"/>
              <w:spacing w:after="0"/>
              <w:rPr>
                <w:sz w:val="20"/>
                <w:szCs w:val="20"/>
                <w:color w:val="auto"/>
              </w:rPr>
            </w:pPr>
            <w:r>
              <w:rPr>
                <w:rFonts w:ascii="Arial" w:cs="Arial" w:eastAsia="Arial" w:hAnsi="Arial"/>
                <w:sz w:val="16"/>
                <w:szCs w:val="16"/>
                <w:color w:val="auto"/>
              </w:rPr>
              <w:t>1,978</w:t>
            </w:r>
          </w:p>
        </w:tc>
      </w:tr>
      <w:tr>
        <w:trPr>
          <w:trHeight w:val="338"/>
        </w:trPr>
        <w:tc>
          <w:tcPr>
            <w:tcW w:w="1020" w:type="dxa"/>
            <w:vAlign w:val="bottom"/>
          </w:tcPr>
          <w:p>
            <w:pPr>
              <w:jc w:val="right"/>
              <w:ind w:right="499"/>
              <w:spacing w:after="0"/>
              <w:rPr>
                <w:sz w:val="20"/>
                <w:szCs w:val="20"/>
                <w:color w:val="auto"/>
              </w:rPr>
            </w:pPr>
            <w:r>
              <w:rPr>
                <w:rFonts w:ascii="Arial" w:cs="Arial" w:eastAsia="Arial" w:hAnsi="Arial"/>
                <w:sz w:val="16"/>
                <w:szCs w:val="16"/>
                <w:color w:val="auto"/>
              </w:rPr>
              <w:t>5,266</w:t>
            </w:r>
          </w:p>
        </w:tc>
        <w:tc>
          <w:tcPr>
            <w:tcW w:w="1020" w:type="dxa"/>
            <w:vAlign w:val="bottom"/>
          </w:tcPr>
          <w:p>
            <w:pPr>
              <w:jc w:val="right"/>
              <w:spacing w:after="0"/>
              <w:rPr>
                <w:sz w:val="20"/>
                <w:szCs w:val="20"/>
                <w:color w:val="auto"/>
              </w:rPr>
            </w:pPr>
            <w:r>
              <w:rPr>
                <w:rFonts w:ascii="Arial" w:cs="Arial" w:eastAsia="Arial" w:hAnsi="Arial"/>
                <w:sz w:val="16"/>
                <w:szCs w:val="16"/>
                <w:color w:val="auto"/>
              </w:rPr>
              <w:t>7,652</w:t>
            </w:r>
          </w:p>
        </w:tc>
      </w:tr>
      <w:tr>
        <w:trPr>
          <w:trHeight w:val="553"/>
        </w:trPr>
        <w:tc>
          <w:tcPr>
            <w:tcW w:w="1020" w:type="dxa"/>
            <w:vAlign w:val="bottom"/>
          </w:tcPr>
          <w:p>
            <w:pPr>
              <w:jc w:val="right"/>
              <w:ind w:right="499"/>
              <w:spacing w:after="0"/>
              <w:rPr>
                <w:sz w:val="20"/>
                <w:szCs w:val="20"/>
                <w:color w:val="auto"/>
              </w:rPr>
            </w:pPr>
            <w:r>
              <w:rPr>
                <w:rFonts w:ascii="Arial" w:cs="Arial" w:eastAsia="Arial" w:hAnsi="Arial"/>
                <w:sz w:val="16"/>
                <w:szCs w:val="16"/>
                <w:color w:val="auto"/>
              </w:rPr>
              <w:t>9,284</w:t>
            </w:r>
          </w:p>
        </w:tc>
        <w:tc>
          <w:tcPr>
            <w:tcW w:w="1020" w:type="dxa"/>
            <w:vAlign w:val="bottom"/>
          </w:tcPr>
          <w:p>
            <w:pPr>
              <w:jc w:val="right"/>
              <w:spacing w:after="0"/>
              <w:rPr>
                <w:sz w:val="20"/>
                <w:szCs w:val="20"/>
                <w:color w:val="auto"/>
              </w:rPr>
            </w:pPr>
            <w:r>
              <w:rPr>
                <w:rFonts w:ascii="Arial" w:cs="Arial" w:eastAsia="Arial" w:hAnsi="Arial"/>
                <w:sz w:val="16"/>
                <w:szCs w:val="16"/>
                <w:color w:val="auto"/>
              </w:rPr>
              <w:t>5,517</w:t>
            </w:r>
          </w:p>
        </w:tc>
      </w:tr>
      <w:tr>
        <w:trPr>
          <w:trHeight w:val="338"/>
        </w:trPr>
        <w:tc>
          <w:tcPr>
            <w:tcW w:w="1020" w:type="dxa"/>
            <w:vAlign w:val="bottom"/>
          </w:tcPr>
          <w:p>
            <w:pPr>
              <w:jc w:val="right"/>
              <w:ind w:right="499"/>
              <w:spacing w:after="0"/>
              <w:rPr>
                <w:sz w:val="20"/>
                <w:szCs w:val="20"/>
                <w:color w:val="auto"/>
              </w:rPr>
            </w:pPr>
            <w:r>
              <w:rPr>
                <w:rFonts w:ascii="Arial" w:cs="Arial" w:eastAsia="Arial" w:hAnsi="Arial"/>
                <w:sz w:val="16"/>
                <w:szCs w:val="16"/>
                <w:color w:val="auto"/>
                <w:w w:val="85"/>
              </w:rPr>
              <w:t>16,063</w:t>
            </w:r>
          </w:p>
        </w:tc>
        <w:tc>
          <w:tcPr>
            <w:tcW w:w="1020" w:type="dxa"/>
            <w:vAlign w:val="bottom"/>
          </w:tcPr>
          <w:p>
            <w:pPr>
              <w:jc w:val="right"/>
              <w:spacing w:after="0"/>
              <w:rPr>
                <w:sz w:val="20"/>
                <w:szCs w:val="20"/>
                <w:color w:val="auto"/>
              </w:rPr>
            </w:pPr>
            <w:r>
              <w:rPr>
                <w:rFonts w:ascii="Arial" w:cs="Arial" w:eastAsia="Arial" w:hAnsi="Arial"/>
                <w:sz w:val="16"/>
                <w:szCs w:val="16"/>
                <w:color w:val="auto"/>
              </w:rPr>
              <w:t>7,220</w:t>
            </w:r>
          </w:p>
        </w:tc>
      </w:tr>
    </w:tbl>
    <w:p>
      <w:pPr>
        <w:spacing w:after="0" w:line="200" w:lineRule="exact"/>
        <w:rPr>
          <w:sz w:val="20"/>
          <w:szCs w:val="20"/>
          <w:color w:val="auto"/>
        </w:rPr>
      </w:pPr>
    </w:p>
    <w:p>
      <w:pPr>
        <w:sectPr>
          <w:pgSz w:w="11900" w:h="16838" w:orient="portrait"/>
          <w:cols w:equalWidth="0" w:num="2">
            <w:col w:w="8060" w:space="80"/>
            <w:col w:w="3080"/>
          </w:cols>
          <w:pgMar w:left="340" w:top="19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20"/>
          </w:cols>
          <w:pgMar w:left="340" w:top="199" w:right="339" w:bottom="1440" w:gutter="0" w:footer="0" w:header="0"/>
          <w:type w:val="continuous"/>
        </w:sectPr>
      </w:pPr>
    </w:p>
    <w:bookmarkStart w:id="17" w:name="page18"/>
    <w:bookmarkEnd w:id="17"/>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60" w:type="dxa"/>
            <w:vAlign w:val="bottom"/>
          </w:tcPr>
          <w:p>
            <w:pPr>
              <w:ind w:left="160"/>
              <w:spacing w:after="0"/>
              <w:rPr>
                <w:sz w:val="20"/>
                <w:szCs w:val="20"/>
                <w:color w:val="auto"/>
              </w:rPr>
            </w:pPr>
            <w:r>
              <w:rPr>
                <w:rFonts w:ascii="Arial" w:cs="Arial" w:eastAsia="Arial" w:hAnsi="Arial"/>
                <w:sz w:val="16"/>
                <w:szCs w:val="16"/>
                <w:color w:val="auto"/>
              </w:rPr>
              <w:t>Contract liabilities</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6,750</w:t>
            </w:r>
          </w:p>
        </w:tc>
        <w:tc>
          <w:tcPr>
            <w:tcW w:w="120" w:type="dxa"/>
            <w:vAlign w:val="bottom"/>
          </w:tcPr>
          <w:p>
            <w:pPr>
              <w:spacing w:after="0"/>
              <w:rPr>
                <w:sz w:val="17"/>
                <w:szCs w:val="17"/>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9,785</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Senior Secured Credit Facility - term loan, current portion, net of debt issuance costs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70,179</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73,145</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Senior Secured Credit Facility - working capital facility, current portion</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7,500</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OPAL Term Loan, current portion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28,432</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13,425</w:t>
            </w:r>
          </w:p>
        </w:tc>
        <w:tc>
          <w:tcPr>
            <w:tcW w:w="0" w:type="dxa"/>
            <w:vAlign w:val="bottom"/>
          </w:tcPr>
          <w:p>
            <w:pPr>
              <w:spacing w:after="0"/>
              <w:rPr>
                <w:sz w:val="1"/>
                <w:szCs w:val="1"/>
                <w:color w:val="auto"/>
              </w:rPr>
            </w:pPr>
          </w:p>
        </w:tc>
      </w:tr>
      <w:tr>
        <w:trPr>
          <w:trHeight w:val="274"/>
        </w:trPr>
        <w:tc>
          <w:tcPr>
            <w:tcW w:w="8160" w:type="dxa"/>
            <w:vAlign w:val="bottom"/>
          </w:tcPr>
          <w:p>
            <w:pPr>
              <w:ind w:left="160"/>
              <w:spacing w:after="0"/>
              <w:rPr>
                <w:sz w:val="20"/>
                <w:szCs w:val="20"/>
                <w:color w:val="auto"/>
              </w:rPr>
            </w:pPr>
            <w:r>
              <w:rPr>
                <w:rFonts w:ascii="Arial" w:cs="Arial" w:eastAsia="Arial" w:hAnsi="Arial"/>
                <w:sz w:val="16"/>
                <w:szCs w:val="16"/>
                <w:color w:val="auto"/>
                <w:w w:val="91"/>
              </w:rPr>
              <w:t>Sunoma loan, current portion (includes $— and $756 at September 30, 2022 and December 31, 2021, respectively, related</w:t>
            </w: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8160" w:type="dxa"/>
            <w:vAlign w:val="bottom"/>
          </w:tcPr>
          <w:p>
            <w:pPr>
              <w:ind w:left="340"/>
              <w:spacing w:after="0"/>
              <w:rPr>
                <w:sz w:val="20"/>
                <w:szCs w:val="20"/>
                <w:color w:val="auto"/>
              </w:rPr>
            </w:pPr>
            <w:r>
              <w:rPr>
                <w:rFonts w:ascii="Arial" w:cs="Arial" w:eastAsia="Arial" w:hAnsi="Arial"/>
                <w:sz w:val="16"/>
                <w:szCs w:val="16"/>
                <w:color w:val="auto"/>
              </w:rPr>
              <w:t>to consolidated VIEs)</w:t>
            </w:r>
          </w:p>
        </w:tc>
        <w:tc>
          <w:tcPr>
            <w:tcW w:w="1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756</w:t>
            </w:r>
          </w:p>
        </w:tc>
        <w:tc>
          <w:tcPr>
            <w:tcW w:w="0" w:type="dxa"/>
            <w:vAlign w:val="bottom"/>
          </w:tcPr>
          <w:p>
            <w:pPr>
              <w:spacing w:after="0"/>
              <w:rPr>
                <w:sz w:val="1"/>
                <w:szCs w:val="1"/>
                <w:color w:val="auto"/>
              </w:rPr>
            </w:pPr>
          </w:p>
        </w:tc>
      </w:tr>
      <w:tr>
        <w:trPr>
          <w:trHeight w:val="70"/>
        </w:trPr>
        <w:tc>
          <w:tcPr>
            <w:tcW w:w="816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1"/>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Convertible Note Payable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27,964</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Municipality loan</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Derivative financial liability, current portion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4,648</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Other current liabilities</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Asset retirement obligation, current portion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31"/>
        </w:trPr>
        <w:tc>
          <w:tcPr>
            <w:tcW w:w="816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187,580</w:t>
            </w:r>
          </w:p>
        </w:tc>
        <w:tc>
          <w:tcPr>
            <w:tcW w:w="120" w:type="dxa"/>
            <w:vAlign w:val="bottom"/>
          </w:tcPr>
          <w:p>
            <w:pPr>
              <w:spacing w:after="0"/>
              <w:rPr>
                <w:sz w:val="20"/>
                <w:szCs w:val="20"/>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142,116</w:t>
            </w:r>
          </w:p>
        </w:tc>
        <w:tc>
          <w:tcPr>
            <w:tcW w:w="0" w:type="dxa"/>
            <w:vAlign w:val="bottom"/>
          </w:tcPr>
          <w:p>
            <w:pPr>
              <w:spacing w:after="0"/>
              <w:rPr>
                <w:sz w:val="1"/>
                <w:szCs w:val="1"/>
                <w:color w:val="auto"/>
              </w:rPr>
            </w:pPr>
          </w:p>
        </w:tc>
      </w:tr>
      <w:tr>
        <w:trPr>
          <w:trHeight w:val="71"/>
        </w:trPr>
        <w:tc>
          <w:tcPr>
            <w:tcW w:w="816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Asset retirement obligation, non-current portion</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4,382</w:t>
            </w:r>
          </w:p>
        </w:tc>
        <w:tc>
          <w:tcPr>
            <w:tcW w:w="120" w:type="dxa"/>
            <w:vAlign w:val="bottom"/>
            <w:shd w:val="clear" w:color="auto" w:fill="CCEEFF"/>
          </w:tcPr>
          <w:p>
            <w:pPr>
              <w:spacing w:after="0"/>
              <w:rPr>
                <w:sz w:val="20"/>
                <w:szCs w:val="20"/>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4,907</w:t>
            </w:r>
          </w:p>
        </w:tc>
        <w:tc>
          <w:tcPr>
            <w:tcW w:w="0" w:type="dxa"/>
            <w:vAlign w:val="bottom"/>
          </w:tcPr>
          <w:p>
            <w:pPr>
              <w:spacing w:after="0"/>
              <w:rPr>
                <w:sz w:val="1"/>
                <w:szCs w:val="1"/>
                <w:color w:val="auto"/>
              </w:rPr>
            </w:pPr>
          </w:p>
        </w:tc>
      </w:tr>
      <w:tr>
        <w:trPr>
          <w:trHeight w:val="73"/>
        </w:trPr>
        <w:tc>
          <w:tcPr>
            <w:tcW w:w="8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OPAL Term Loan</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60,816</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59,090</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Convertible Note Payable</w:t>
            </w: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58,710</w:t>
            </w:r>
          </w:p>
        </w:tc>
        <w:tc>
          <w:tcPr>
            <w:tcW w:w="0" w:type="dxa"/>
            <w:vAlign w:val="bottom"/>
          </w:tcPr>
          <w:p>
            <w:pPr>
              <w:spacing w:after="0"/>
              <w:rPr>
                <w:sz w:val="1"/>
                <w:szCs w:val="1"/>
                <w:color w:val="auto"/>
              </w:rPr>
            </w:pPr>
          </w:p>
        </w:tc>
      </w:tr>
      <w:tr>
        <w:trPr>
          <w:trHeight w:val="274"/>
        </w:trPr>
        <w:tc>
          <w:tcPr>
            <w:tcW w:w="8160" w:type="dxa"/>
            <w:vAlign w:val="bottom"/>
          </w:tcPr>
          <w:p>
            <w:pPr>
              <w:ind w:left="160"/>
              <w:spacing w:after="0"/>
              <w:rPr>
                <w:sz w:val="20"/>
                <w:szCs w:val="20"/>
                <w:color w:val="auto"/>
              </w:rPr>
            </w:pPr>
            <w:r>
              <w:rPr>
                <w:rFonts w:ascii="Arial" w:cs="Arial" w:eastAsia="Arial" w:hAnsi="Arial"/>
                <w:sz w:val="16"/>
                <w:szCs w:val="16"/>
                <w:color w:val="auto"/>
                <w:w w:val="92"/>
              </w:rPr>
              <w:t>Sunoma loan, net of debt issuance costs (includes $22,080 and $16,199 at September 30, 2022 and December 31, 2021,</w:t>
            </w: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8160" w:type="dxa"/>
            <w:vAlign w:val="bottom"/>
          </w:tcPr>
          <w:p>
            <w:pPr>
              <w:ind w:left="340"/>
              <w:spacing w:after="0"/>
              <w:rPr>
                <w:sz w:val="20"/>
                <w:szCs w:val="20"/>
                <w:color w:val="auto"/>
              </w:rPr>
            </w:pPr>
            <w:r>
              <w:rPr>
                <w:rFonts w:ascii="Arial" w:cs="Arial" w:eastAsia="Arial" w:hAnsi="Arial"/>
                <w:sz w:val="16"/>
                <w:szCs w:val="16"/>
                <w:color w:val="auto"/>
              </w:rPr>
              <w:t>respectively, related to consolidated VIEs)</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22,080</w:t>
            </w:r>
          </w:p>
        </w:tc>
        <w:tc>
          <w:tcPr>
            <w:tcW w:w="120" w:type="dxa"/>
            <w:vAlign w:val="bottom"/>
          </w:tcPr>
          <w:p>
            <w:pPr>
              <w:spacing w:after="0"/>
              <w:rPr>
                <w:sz w:val="17"/>
                <w:szCs w:val="17"/>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16,199</w:t>
            </w:r>
          </w:p>
        </w:tc>
        <w:tc>
          <w:tcPr>
            <w:tcW w:w="0" w:type="dxa"/>
            <w:vAlign w:val="bottom"/>
          </w:tcPr>
          <w:p>
            <w:pPr>
              <w:spacing w:after="0"/>
              <w:rPr>
                <w:sz w:val="1"/>
                <w:szCs w:val="1"/>
                <w:color w:val="auto"/>
              </w:rPr>
            </w:pPr>
          </w:p>
        </w:tc>
      </w:tr>
      <w:tr>
        <w:trPr>
          <w:trHeight w:val="70"/>
        </w:trPr>
        <w:tc>
          <w:tcPr>
            <w:tcW w:w="8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20"/>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Municipality loan</w:t>
            </w: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Derivative warrant liabilities</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22,410</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Earn out liabilities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39,500</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Other long-term liabilities</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4,781</w:t>
            </w:r>
          </w:p>
        </w:tc>
        <w:tc>
          <w:tcPr>
            <w:tcW w:w="0" w:type="dxa"/>
            <w:vAlign w:val="bottom"/>
          </w:tcPr>
          <w:p>
            <w:pPr>
              <w:spacing w:after="0"/>
              <w:rPr>
                <w:sz w:val="1"/>
                <w:szCs w:val="1"/>
                <w:color w:val="auto"/>
              </w:rPr>
            </w:pPr>
          </w:p>
        </w:tc>
      </w:tr>
      <w:tr>
        <w:trPr>
          <w:trHeight w:val="57"/>
        </w:trPr>
        <w:tc>
          <w:tcPr>
            <w:tcW w:w="816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337,365</w:t>
            </w:r>
          </w:p>
        </w:tc>
        <w:tc>
          <w:tcPr>
            <w:tcW w:w="120" w:type="dxa"/>
            <w:vAlign w:val="bottom"/>
            <w:shd w:val="clear" w:color="auto" w:fill="CCEEFF"/>
          </w:tcPr>
          <w:p>
            <w:pPr>
              <w:spacing w:after="0"/>
              <w:rPr>
                <w:sz w:val="20"/>
                <w:szCs w:val="20"/>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285,887</w:t>
            </w:r>
          </w:p>
        </w:tc>
        <w:tc>
          <w:tcPr>
            <w:tcW w:w="0" w:type="dxa"/>
            <w:vAlign w:val="bottom"/>
          </w:tcPr>
          <w:p>
            <w:pPr>
              <w:spacing w:after="0"/>
              <w:rPr>
                <w:sz w:val="1"/>
                <w:szCs w:val="1"/>
                <w:color w:val="auto"/>
              </w:rPr>
            </w:pPr>
          </w:p>
        </w:tc>
      </w:tr>
      <w:tr>
        <w:trPr>
          <w:trHeight w:val="78"/>
        </w:trPr>
        <w:tc>
          <w:tcPr>
            <w:tcW w:w="8160" w:type="dxa"/>
            <w:vAlign w:val="bottom"/>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Redeemable preferred non-controlling interests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135,303</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30,210</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Redeemable non-controlling interests</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1,222,657</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63,545</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(deficit) equity</w:t>
            </w:r>
          </w:p>
        </w:tc>
        <w:tc>
          <w:tcPr>
            <w:tcW w:w="14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160" w:type="dxa"/>
            <w:vAlign w:val="bottom"/>
          </w:tcPr>
          <w:p>
            <w:pPr>
              <w:ind w:left="160"/>
              <w:spacing w:after="0"/>
              <w:rPr>
                <w:sz w:val="20"/>
                <w:szCs w:val="20"/>
                <w:color w:val="auto"/>
              </w:rPr>
            </w:pPr>
            <w:r>
              <w:rPr>
                <w:rFonts w:ascii="Arial" w:cs="Arial" w:eastAsia="Arial" w:hAnsi="Arial"/>
                <w:sz w:val="16"/>
                <w:szCs w:val="16"/>
                <w:color w:val="auto"/>
                <w:w w:val="93"/>
              </w:rPr>
              <w:t>Class A common stock, $0.0001 par value, 337,852,251 shares authorized as of September 30, 2022; 25,671,390 and 0</w:t>
            </w: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8160" w:type="dxa"/>
            <w:vAlign w:val="bottom"/>
          </w:tcPr>
          <w:p>
            <w:pPr>
              <w:ind w:left="340"/>
              <w:spacing w:after="0"/>
              <w:rPr>
                <w:sz w:val="20"/>
                <w:szCs w:val="20"/>
                <w:color w:val="auto"/>
              </w:rPr>
            </w:pPr>
            <w:r>
              <w:rPr>
                <w:rFonts w:ascii="Arial" w:cs="Arial" w:eastAsia="Arial" w:hAnsi="Arial"/>
                <w:sz w:val="16"/>
                <w:szCs w:val="16"/>
                <w:color w:val="auto"/>
              </w:rPr>
              <w:t>shares, issued and outstanding at September 30, 2022 and December 31, 2021, respectively</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0"/>
        </w:trPr>
        <w:tc>
          <w:tcPr>
            <w:tcW w:w="8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4"/>
              </w:rPr>
              <w:t>Class B common stock, $0.0001 par value, 157,498,947 shares authorized as of September 30, 2022; None issued and</w:t>
            </w: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outstanding as of September 30, 2022 and December 31, 2021</w:t>
            </w:r>
          </w:p>
        </w:tc>
        <w:tc>
          <w:tcPr>
            <w:tcW w:w="1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8160" w:type="dxa"/>
            <w:vAlign w:val="bottom"/>
            <w:shd w:val="clear" w:color="auto" w:fill="CCEEFF"/>
          </w:tcPr>
          <w:p>
            <w:pPr>
              <w:spacing w:after="0"/>
              <w:rPr>
                <w:sz w:val="6"/>
                <w:szCs w:val="6"/>
                <w:color w:val="auto"/>
              </w:rPr>
            </w:pPr>
          </w:p>
        </w:tc>
        <w:tc>
          <w:tcPr>
            <w:tcW w:w="1600" w:type="dxa"/>
            <w:vAlign w:val="bottom"/>
            <w:gridSpan w:val="2"/>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8160" w:type="dxa"/>
            <w:vAlign w:val="bottom"/>
          </w:tcPr>
          <w:p>
            <w:pPr>
              <w:ind w:left="160"/>
              <w:spacing w:after="0"/>
              <w:rPr>
                <w:sz w:val="20"/>
                <w:szCs w:val="20"/>
                <w:color w:val="auto"/>
              </w:rPr>
            </w:pPr>
            <w:r>
              <w:rPr>
                <w:rFonts w:ascii="Arial" w:cs="Arial" w:eastAsia="Arial" w:hAnsi="Arial"/>
                <w:sz w:val="16"/>
                <w:szCs w:val="16"/>
                <w:color w:val="auto"/>
                <w:w w:val="94"/>
              </w:rPr>
              <w:t>Class C common stock, $0.0001 par value, 154,309,729 shares authorized as of September 30, 2022; None issued and</w:t>
            </w: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8160" w:type="dxa"/>
            <w:vAlign w:val="bottom"/>
          </w:tcPr>
          <w:p>
            <w:pPr>
              <w:ind w:left="340"/>
              <w:spacing w:after="0"/>
              <w:rPr>
                <w:sz w:val="20"/>
                <w:szCs w:val="20"/>
                <w:color w:val="auto"/>
              </w:rPr>
            </w:pPr>
            <w:r>
              <w:rPr>
                <w:rFonts w:ascii="Arial" w:cs="Arial" w:eastAsia="Arial" w:hAnsi="Arial"/>
                <w:sz w:val="16"/>
                <w:szCs w:val="16"/>
                <w:color w:val="auto"/>
              </w:rPr>
              <w:t>outstanding as of September 30, 2022 and December 31, 2021</w:t>
            </w:r>
          </w:p>
        </w:tc>
        <w:tc>
          <w:tcPr>
            <w:tcW w:w="1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1"/>
        </w:trPr>
        <w:tc>
          <w:tcPr>
            <w:tcW w:w="8160" w:type="dxa"/>
            <w:vAlign w:val="bottom"/>
          </w:tcPr>
          <w:p>
            <w:pPr>
              <w:spacing w:after="0"/>
              <w:rPr>
                <w:sz w:val="6"/>
                <w:szCs w:val="6"/>
                <w:color w:val="auto"/>
              </w:rPr>
            </w:pPr>
          </w:p>
        </w:tc>
        <w:tc>
          <w:tcPr>
            <w:tcW w:w="1600" w:type="dxa"/>
            <w:vAlign w:val="bottom"/>
            <w:gridSpan w:val="2"/>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2"/>
              </w:rPr>
              <w:t>Class D common stock, $0.0001 par value, 154,309,729 shares authorized as of September 30, 2022; 144,399,037 issued</w:t>
            </w: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outstanding at September 30, 2022 and December 31, 2021</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74"/>
        </w:trPr>
        <w:tc>
          <w:tcPr>
            <w:tcW w:w="8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8160" w:type="dxa"/>
            <w:vAlign w:val="bottom"/>
          </w:tcPr>
          <w:p>
            <w:pPr>
              <w:ind w:left="160"/>
              <w:spacing w:after="0"/>
              <w:rPr>
                <w:sz w:val="20"/>
                <w:szCs w:val="20"/>
                <w:color w:val="auto"/>
              </w:rPr>
            </w:pPr>
            <w:r>
              <w:rPr>
                <w:rFonts w:ascii="Arial" w:cs="Arial" w:eastAsia="Arial" w:hAnsi="Arial"/>
                <w:sz w:val="16"/>
                <w:szCs w:val="16"/>
                <w:color w:val="auto"/>
              </w:rPr>
              <w:t>Additional paid-in capital</w:t>
            </w:r>
          </w:p>
        </w:tc>
        <w:tc>
          <w:tcPr>
            <w:tcW w:w="1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Accumulated deficit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(1,066,137)</w:t>
            </w:r>
          </w:p>
        </w:tc>
        <w:tc>
          <w:tcPr>
            <w:tcW w:w="120" w:type="dxa"/>
            <w:vAlign w:val="bottom"/>
            <w:shd w:val="clear" w:color="auto" w:fill="CCEEFF"/>
          </w:tcPr>
          <w:p>
            <w:pPr>
              <w:spacing w:after="0"/>
              <w:rPr>
                <w:sz w:val="24"/>
                <w:szCs w:val="2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816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Stockholders' (deficit) equity attributable to the Company</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(1,065,943)</w:t>
            </w:r>
          </w:p>
        </w:tc>
        <w:tc>
          <w:tcPr>
            <w:tcW w:w="120" w:type="dxa"/>
            <w:vAlign w:val="bottom"/>
            <w:shd w:val="clear" w:color="auto" w:fill="CCEEFF"/>
          </w:tcPr>
          <w:p>
            <w:pPr>
              <w:spacing w:after="0"/>
              <w:rPr>
                <w:sz w:val="20"/>
                <w:szCs w:val="20"/>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79"/>
        </w:trPr>
        <w:tc>
          <w:tcPr>
            <w:tcW w:w="8160" w:type="dxa"/>
            <w:vAlign w:val="bottom"/>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160"/>
              <w:spacing w:after="0"/>
              <w:rPr>
                <w:sz w:val="20"/>
                <w:szCs w:val="20"/>
                <w:color w:val="auto"/>
              </w:rPr>
            </w:pPr>
            <w:r>
              <w:rPr>
                <w:rFonts w:ascii="Arial" w:cs="Arial" w:eastAsia="Arial" w:hAnsi="Arial"/>
                <w:sz w:val="16"/>
                <w:szCs w:val="16"/>
                <w:color w:val="auto"/>
              </w:rPr>
              <w:t>Non-redeemable non-controlling interests</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26,674</w:t>
            </w:r>
          </w:p>
        </w:tc>
        <w:tc>
          <w:tcPr>
            <w:tcW w:w="120" w:type="dxa"/>
            <w:vAlign w:val="bottom"/>
          </w:tcPr>
          <w:p>
            <w:pPr>
              <w:spacing w:after="0"/>
              <w:rPr>
                <w:sz w:val="20"/>
                <w:szCs w:val="20"/>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1,188</w:t>
            </w:r>
          </w:p>
        </w:tc>
        <w:tc>
          <w:tcPr>
            <w:tcW w:w="0" w:type="dxa"/>
            <w:vAlign w:val="bottom"/>
          </w:tcPr>
          <w:p>
            <w:pPr>
              <w:spacing w:after="0"/>
              <w:rPr>
                <w:sz w:val="1"/>
                <w:szCs w:val="1"/>
                <w:color w:val="auto"/>
              </w:rPr>
            </w:pPr>
          </w:p>
        </w:tc>
      </w:tr>
      <w:tr>
        <w:trPr>
          <w:trHeight w:val="71"/>
        </w:trPr>
        <w:tc>
          <w:tcPr>
            <w:tcW w:w="816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8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Stockholders' (deficit) equity</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(1,039,269)</w:t>
            </w:r>
          </w:p>
        </w:tc>
        <w:tc>
          <w:tcPr>
            <w:tcW w:w="120" w:type="dxa"/>
            <w:vAlign w:val="bottom"/>
            <w:shd w:val="clear" w:color="auto" w:fill="CCEEFF"/>
          </w:tcPr>
          <w:p>
            <w:pPr>
              <w:spacing w:after="0"/>
              <w:rPr>
                <w:sz w:val="20"/>
                <w:szCs w:val="20"/>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79"/>
        </w:trPr>
        <w:tc>
          <w:tcPr>
            <w:tcW w:w="8160" w:type="dxa"/>
            <w:vAlign w:val="bottom"/>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8160" w:type="dxa"/>
            <w:vAlign w:val="bottom"/>
          </w:tcPr>
          <w:p>
            <w:pPr>
              <w:ind w:left="340"/>
              <w:spacing w:after="0"/>
              <w:rPr>
                <w:sz w:val="20"/>
                <w:szCs w:val="20"/>
                <w:color w:val="auto"/>
              </w:rPr>
            </w:pPr>
            <w:r>
              <w:rPr>
                <w:rFonts w:ascii="Arial" w:cs="Arial" w:eastAsia="Arial" w:hAnsi="Arial"/>
                <w:sz w:val="16"/>
                <w:szCs w:val="16"/>
                <w:color w:val="auto"/>
              </w:rPr>
              <w:t>Total liabilities, Redeemable preferred, Redeemable non-controlling interests and Stockholders' (deficit) equity</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656,056</w:t>
            </w:r>
          </w:p>
        </w:tc>
        <w:tc>
          <w:tcPr>
            <w:tcW w:w="120" w:type="dxa"/>
            <w:vAlign w:val="bottom"/>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380,844</w:t>
            </w: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6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440" w:right="339" w:bottom="644"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OPAL FUELS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per unit data)</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w w:val="93"/>
              </w:rPr>
              <w:t>Nine Months Ended</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19"/>
                <w:szCs w:val="19"/>
                <w:color w:val="auto"/>
              </w:rPr>
            </w:pPr>
          </w:p>
        </w:tc>
        <w:tc>
          <w:tcPr>
            <w:tcW w:w="2980" w:type="dxa"/>
            <w:vAlign w:val="bottom"/>
            <w:gridSpan w:val="6"/>
            <w:vMerge w:val="restart"/>
          </w:tcPr>
          <w:p>
            <w:pPr>
              <w:ind w:left="200"/>
              <w:spacing w:after="0"/>
              <w:rPr>
                <w:sz w:val="20"/>
                <w:szCs w:val="20"/>
                <w:color w:val="auto"/>
              </w:rPr>
            </w:pPr>
            <w:r>
              <w:rPr>
                <w:rFonts w:ascii="Arial" w:cs="Arial" w:eastAsia="Arial" w:hAnsi="Arial"/>
                <w:sz w:val="16"/>
                <w:szCs w:val="16"/>
                <w:b w:val="1"/>
                <w:bCs w:val="1"/>
                <w:color w:val="auto"/>
              </w:rPr>
              <w:t>Three Months Ended September 30,</w:t>
            </w:r>
          </w:p>
        </w:tc>
        <w:tc>
          <w:tcPr>
            <w:tcW w:w="720" w:type="dxa"/>
            <w:vAlign w:val="bottom"/>
          </w:tcPr>
          <w:p>
            <w:pPr>
              <w:spacing w:after="0"/>
              <w:rPr>
                <w:sz w:val="19"/>
                <w:szCs w:val="19"/>
                <w:color w:val="auto"/>
              </w:rPr>
            </w:pPr>
          </w:p>
        </w:tc>
        <w:tc>
          <w:tcPr>
            <w:tcW w:w="1600" w:type="dxa"/>
            <w:vAlign w:val="bottom"/>
            <w:gridSpan w:val="3"/>
          </w:tcPr>
          <w:p>
            <w:pPr>
              <w:jc w:val="right"/>
              <w:ind w:right="299"/>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5380" w:type="dxa"/>
            <w:vAlign w:val="bottom"/>
          </w:tcPr>
          <w:p>
            <w:pPr>
              <w:spacing w:after="0"/>
              <w:rPr>
                <w:sz w:val="6"/>
                <w:szCs w:val="6"/>
                <w:color w:val="auto"/>
              </w:rPr>
            </w:pPr>
          </w:p>
        </w:tc>
        <w:tc>
          <w:tcPr>
            <w:tcW w:w="2980" w:type="dxa"/>
            <w:vAlign w:val="bottom"/>
            <w:gridSpan w:val="6"/>
            <w:vMerge w:val="continue"/>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(Restated)</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20"/>
              <w:spacing w:after="0"/>
              <w:rPr>
                <w:sz w:val="20"/>
                <w:szCs w:val="20"/>
                <w:color w:val="auto"/>
              </w:rPr>
            </w:pPr>
            <w:r>
              <w:rPr>
                <w:rFonts w:ascii="Arial" w:cs="Arial" w:eastAsia="Arial" w:hAnsi="Arial"/>
                <w:sz w:val="16"/>
                <w:szCs w:val="16"/>
                <w:b w:val="1"/>
                <w:bCs w:val="1"/>
                <w:color w:val="auto"/>
              </w:rPr>
              <w:t>Revenues:</w:t>
            </w: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3"/>
        </w:trPr>
        <w:tc>
          <w:tcPr>
            <w:tcW w:w="5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RNG fuel</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32,381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17,892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83,196</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37,066</w:t>
            </w:r>
          </w:p>
        </w:tc>
        <w:tc>
          <w:tcPr>
            <w:tcW w:w="0" w:type="dxa"/>
            <w:vAlign w:val="bottom"/>
          </w:tcPr>
          <w:p>
            <w:pPr>
              <w:spacing w:after="0"/>
              <w:rPr>
                <w:sz w:val="1"/>
                <w:szCs w:val="1"/>
                <w:color w:val="auto"/>
              </w:rPr>
            </w:pPr>
          </w:p>
        </w:tc>
      </w:tr>
      <w:tr>
        <w:trPr>
          <w:trHeight w:val="54"/>
        </w:trPr>
        <w:tc>
          <w:tcPr>
            <w:tcW w:w="5380" w:type="dxa"/>
            <w:vAlign w:val="bottom"/>
            <w:vMerge w:val="continue"/>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53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gridSpan w:val="2"/>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60" w:type="dxa"/>
            <w:vAlign w:val="bottom"/>
            <w:gridSpan w:val="2"/>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tcPr>
          <w:p>
            <w:pPr>
              <w:ind w:left="160"/>
              <w:spacing w:after="0"/>
              <w:rPr>
                <w:sz w:val="20"/>
                <w:szCs w:val="20"/>
                <w:color w:val="auto"/>
              </w:rPr>
            </w:pPr>
            <w:r>
              <w:rPr>
                <w:rFonts w:ascii="Arial" w:cs="Arial" w:eastAsia="Arial" w:hAnsi="Arial"/>
                <w:sz w:val="16"/>
                <w:szCs w:val="16"/>
                <w:color w:val="auto"/>
              </w:rPr>
              <w:t>Fuel station services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23,227</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18,387</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55,524</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35,560</w:t>
            </w:r>
          </w:p>
        </w:tc>
        <w:tc>
          <w:tcPr>
            <w:tcW w:w="0" w:type="dxa"/>
            <w:vAlign w:val="bottom"/>
          </w:tcPr>
          <w:p>
            <w:pPr>
              <w:spacing w:after="0"/>
              <w:rPr>
                <w:sz w:val="1"/>
                <w:szCs w:val="1"/>
                <w:color w:val="auto"/>
              </w:rPr>
            </w:pPr>
          </w:p>
        </w:tc>
      </w:tr>
      <w:tr>
        <w:trPr>
          <w:trHeight w:val="54"/>
        </w:trPr>
        <w:tc>
          <w:tcPr>
            <w:tcW w:w="53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5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Renewable Power</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10,942</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30,094</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32,342</w:t>
            </w:r>
          </w:p>
        </w:tc>
        <w:tc>
          <w:tcPr>
            <w:tcW w:w="0" w:type="dxa"/>
            <w:vAlign w:val="bottom"/>
          </w:tcPr>
          <w:p>
            <w:pPr>
              <w:spacing w:after="0"/>
              <w:rPr>
                <w:sz w:val="1"/>
                <w:szCs w:val="1"/>
                <w:color w:val="auto"/>
              </w:rPr>
            </w:pPr>
          </w:p>
        </w:tc>
      </w:tr>
      <w:tr>
        <w:trPr>
          <w:trHeight w:val="54"/>
        </w:trPr>
        <w:tc>
          <w:tcPr>
            <w:tcW w:w="5380" w:type="dxa"/>
            <w:vAlign w:val="bottom"/>
            <w:vMerge w:val="continue"/>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5380" w:type="dxa"/>
            <w:vAlign w:val="bottom"/>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tcBorders>
              <w:bottom w:val="single" w:sz="8" w:color="auto"/>
            </w:tcBorders>
            <w:gridSpan w:val="2"/>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gridSpan w:val="2"/>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5380" w:type="dxa"/>
            <w:vAlign w:val="bottom"/>
          </w:tcPr>
          <w:p>
            <w:pPr>
              <w:ind w:left="340"/>
              <w:spacing w:after="0"/>
              <w:rPr>
                <w:sz w:val="20"/>
                <w:szCs w:val="20"/>
                <w:color w:val="auto"/>
              </w:rPr>
            </w:pPr>
            <w:r>
              <w:rPr>
                <w:rFonts w:ascii="Arial" w:cs="Arial" w:eastAsia="Arial" w:hAnsi="Arial"/>
                <w:sz w:val="16"/>
                <w:szCs w:val="16"/>
                <w:color w:val="auto"/>
              </w:rPr>
              <w:t>Total revenues</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66,550</w:t>
            </w:r>
          </w:p>
        </w:tc>
        <w:tc>
          <w:tcPr>
            <w:tcW w:w="1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47,184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168,814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w w:val="89"/>
              </w:rPr>
              <w:t>104,968</w:t>
            </w:r>
          </w:p>
        </w:tc>
        <w:tc>
          <w:tcPr>
            <w:tcW w:w="0" w:type="dxa"/>
            <w:vAlign w:val="bottom"/>
          </w:tcPr>
          <w:p>
            <w:pPr>
              <w:spacing w:after="0"/>
              <w:rPr>
                <w:sz w:val="1"/>
                <w:szCs w:val="1"/>
                <w:color w:val="auto"/>
              </w:rPr>
            </w:pPr>
          </w:p>
        </w:tc>
      </w:tr>
      <w:tr>
        <w:trPr>
          <w:trHeight w:val="73"/>
        </w:trPr>
        <w:tc>
          <w:tcPr>
            <w:tcW w:w="538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3"/>
        </w:trPr>
        <w:tc>
          <w:tcPr>
            <w:tcW w:w="53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gridSpan w:val="2"/>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60" w:type="dxa"/>
            <w:vAlign w:val="bottom"/>
            <w:gridSpan w:val="2"/>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tcPr>
          <w:p>
            <w:pPr>
              <w:ind w:left="160"/>
              <w:spacing w:after="0"/>
              <w:rPr>
                <w:sz w:val="20"/>
                <w:szCs w:val="20"/>
                <w:color w:val="auto"/>
              </w:rPr>
            </w:pPr>
            <w:r>
              <w:rPr>
                <w:rFonts w:ascii="Arial" w:cs="Arial" w:eastAsia="Arial" w:hAnsi="Arial"/>
                <w:sz w:val="16"/>
                <w:szCs w:val="16"/>
                <w:color w:val="auto"/>
              </w:rPr>
              <w:t>Cost of sales - RNG fuel</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20,959</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11,973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51,843</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23,053</w:t>
            </w:r>
          </w:p>
        </w:tc>
        <w:tc>
          <w:tcPr>
            <w:tcW w:w="0" w:type="dxa"/>
            <w:vAlign w:val="bottom"/>
          </w:tcPr>
          <w:p>
            <w:pPr>
              <w:spacing w:after="0"/>
              <w:rPr>
                <w:sz w:val="1"/>
                <w:szCs w:val="1"/>
                <w:color w:val="auto"/>
              </w:rPr>
            </w:pPr>
          </w:p>
        </w:tc>
      </w:tr>
      <w:tr>
        <w:trPr>
          <w:trHeight w:val="54"/>
        </w:trPr>
        <w:tc>
          <w:tcPr>
            <w:tcW w:w="53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5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Cost of sales - Fuel station services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20,886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15,458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49,643</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29,775</w:t>
            </w:r>
          </w:p>
        </w:tc>
        <w:tc>
          <w:tcPr>
            <w:tcW w:w="0" w:type="dxa"/>
            <w:vAlign w:val="bottom"/>
          </w:tcPr>
          <w:p>
            <w:pPr>
              <w:spacing w:after="0"/>
              <w:rPr>
                <w:sz w:val="1"/>
                <w:szCs w:val="1"/>
                <w:color w:val="auto"/>
              </w:rPr>
            </w:pPr>
          </w:p>
        </w:tc>
      </w:tr>
      <w:tr>
        <w:trPr>
          <w:trHeight w:val="54"/>
        </w:trPr>
        <w:tc>
          <w:tcPr>
            <w:tcW w:w="5380" w:type="dxa"/>
            <w:vAlign w:val="bottom"/>
            <w:vMerge w:val="continue"/>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53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gridSpan w:val="2"/>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60" w:type="dxa"/>
            <w:vAlign w:val="bottom"/>
            <w:gridSpan w:val="2"/>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tcPr>
          <w:p>
            <w:pPr>
              <w:ind w:left="160"/>
              <w:spacing w:after="0"/>
              <w:rPr>
                <w:sz w:val="20"/>
                <w:szCs w:val="20"/>
                <w:color w:val="auto"/>
              </w:rPr>
            </w:pPr>
            <w:r>
              <w:rPr>
                <w:rFonts w:ascii="Arial" w:cs="Arial" w:eastAsia="Arial" w:hAnsi="Arial"/>
                <w:sz w:val="16"/>
                <w:szCs w:val="16"/>
                <w:color w:val="auto"/>
              </w:rPr>
              <w:t>Cost of sales - Renewable Power</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7,645</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6,064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23,593</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23,952</w:t>
            </w:r>
          </w:p>
        </w:tc>
        <w:tc>
          <w:tcPr>
            <w:tcW w:w="0" w:type="dxa"/>
            <w:vAlign w:val="bottom"/>
          </w:tcPr>
          <w:p>
            <w:pPr>
              <w:spacing w:after="0"/>
              <w:rPr>
                <w:sz w:val="1"/>
                <w:szCs w:val="1"/>
                <w:color w:val="auto"/>
              </w:rPr>
            </w:pPr>
          </w:p>
        </w:tc>
      </w:tr>
      <w:tr>
        <w:trPr>
          <w:trHeight w:val="54"/>
        </w:trPr>
        <w:tc>
          <w:tcPr>
            <w:tcW w:w="53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15,751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7,922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34,561</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19,107</w:t>
            </w:r>
          </w:p>
        </w:tc>
        <w:tc>
          <w:tcPr>
            <w:tcW w:w="0" w:type="dxa"/>
            <w:vAlign w:val="bottom"/>
          </w:tcPr>
          <w:p>
            <w:pPr>
              <w:spacing w:after="0"/>
              <w:rPr>
                <w:sz w:val="1"/>
                <w:szCs w:val="1"/>
                <w:color w:val="auto"/>
              </w:rPr>
            </w:pPr>
          </w:p>
        </w:tc>
      </w:tr>
      <w:tr>
        <w:trPr>
          <w:trHeight w:val="54"/>
        </w:trPr>
        <w:tc>
          <w:tcPr>
            <w:tcW w:w="5380" w:type="dxa"/>
            <w:vAlign w:val="bottom"/>
            <w:vMerge w:val="continue"/>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53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gridSpan w:val="2"/>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60" w:type="dxa"/>
            <w:vAlign w:val="bottom"/>
            <w:gridSpan w:val="2"/>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tcPr>
          <w:p>
            <w:pPr>
              <w:ind w:left="160"/>
              <w:spacing w:after="0"/>
              <w:rPr>
                <w:sz w:val="20"/>
                <w:szCs w:val="20"/>
                <w:color w:val="auto"/>
              </w:rPr>
            </w:pPr>
            <w:r>
              <w:rPr>
                <w:rFonts w:ascii="Arial" w:cs="Arial" w:eastAsia="Arial" w:hAnsi="Arial"/>
                <w:sz w:val="16"/>
                <w:szCs w:val="16"/>
                <w:color w:val="auto"/>
              </w:rPr>
              <w:t>Depreciation, amortization, and accretion</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3,258</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2,613</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9,816</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6,672</w:t>
            </w:r>
          </w:p>
        </w:tc>
        <w:tc>
          <w:tcPr>
            <w:tcW w:w="0" w:type="dxa"/>
            <w:vAlign w:val="bottom"/>
          </w:tcPr>
          <w:p>
            <w:pPr>
              <w:spacing w:after="0"/>
              <w:rPr>
                <w:sz w:val="1"/>
                <w:szCs w:val="1"/>
                <w:color w:val="auto"/>
              </w:rPr>
            </w:pPr>
          </w:p>
        </w:tc>
      </w:tr>
      <w:tr>
        <w:trPr>
          <w:trHeight w:val="54"/>
        </w:trPr>
        <w:tc>
          <w:tcPr>
            <w:tcW w:w="53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3"/>
        </w:trPr>
        <w:tc>
          <w:tcPr>
            <w:tcW w:w="538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340" w:type="dxa"/>
            <w:vAlign w:val="bottom"/>
            <w:tcBorders>
              <w:bottom w:val="single" w:sz="8" w:color="auto"/>
            </w:tcBorders>
            <w:gridSpan w:val="2"/>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expenses</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68,499</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44,030</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169,456</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102,559</w:t>
            </w:r>
          </w:p>
        </w:tc>
        <w:tc>
          <w:tcPr>
            <w:tcW w:w="0" w:type="dxa"/>
            <w:vAlign w:val="bottom"/>
          </w:tcPr>
          <w:p>
            <w:pPr>
              <w:spacing w:after="0"/>
              <w:rPr>
                <w:sz w:val="1"/>
                <w:szCs w:val="1"/>
                <w:color w:val="auto"/>
              </w:rPr>
            </w:pPr>
          </w:p>
        </w:tc>
      </w:tr>
      <w:tr>
        <w:trPr>
          <w:trHeight w:val="74"/>
        </w:trPr>
        <w:tc>
          <w:tcPr>
            <w:tcW w:w="5380" w:type="dxa"/>
            <w:vAlign w:val="bottom"/>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tcBorders>
              <w:bottom w:val="single" w:sz="8" w:color="auto"/>
            </w:tcBorders>
            <w:gridSpan w:val="2"/>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gridSpan w:val="2"/>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340"/>
              <w:spacing w:after="0"/>
              <w:rPr>
                <w:sz w:val="20"/>
                <w:szCs w:val="20"/>
                <w:color w:val="auto"/>
              </w:rPr>
            </w:pPr>
            <w:r>
              <w:rPr>
                <w:rFonts w:ascii="Arial" w:cs="Arial" w:eastAsia="Arial" w:hAnsi="Arial"/>
                <w:sz w:val="16"/>
                <w:szCs w:val="16"/>
                <w:color w:val="auto"/>
              </w:rPr>
              <w:t>Operating (loss) income</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(1,949)</w:t>
            </w:r>
          </w:p>
        </w:tc>
        <w:tc>
          <w:tcPr>
            <w:tcW w:w="1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74"/>
        </w:trPr>
        <w:tc>
          <w:tcPr>
            <w:tcW w:w="538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(expense) income:</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73"/>
        </w:trPr>
        <w:tc>
          <w:tcPr>
            <w:tcW w:w="53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40" w:type="dxa"/>
            <w:vAlign w:val="bottom"/>
            <w:gridSpan w:val="2"/>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60" w:type="dxa"/>
            <w:vAlign w:val="bottom"/>
            <w:gridSpan w:val="2"/>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tcPr>
          <w:p>
            <w:pPr>
              <w:ind w:left="160"/>
              <w:spacing w:after="0"/>
              <w:rPr>
                <w:sz w:val="20"/>
                <w:szCs w:val="20"/>
                <w:color w:val="auto"/>
              </w:rPr>
            </w:pPr>
            <w:r>
              <w:rPr>
                <w:rFonts w:ascii="Arial" w:cs="Arial" w:eastAsia="Arial" w:hAnsi="Arial"/>
                <w:sz w:val="16"/>
                <w:szCs w:val="16"/>
                <w:color w:val="auto"/>
              </w:rPr>
              <w:t>Interest and financing expense, net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(2,354)</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(7,184)</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(5,659)</w:t>
            </w:r>
          </w:p>
        </w:tc>
        <w:tc>
          <w:tcPr>
            <w:tcW w:w="0" w:type="dxa"/>
            <w:vAlign w:val="bottom"/>
          </w:tcPr>
          <w:p>
            <w:pPr>
              <w:spacing w:after="0"/>
              <w:rPr>
                <w:sz w:val="1"/>
                <w:szCs w:val="1"/>
                <w:color w:val="auto"/>
              </w:rPr>
            </w:pPr>
          </w:p>
        </w:tc>
      </w:tr>
      <w:tr>
        <w:trPr>
          <w:trHeight w:val="54"/>
        </w:trPr>
        <w:tc>
          <w:tcPr>
            <w:tcW w:w="53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Change in fair value of derivative instruments, net</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(1,908)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w:t>
            </w:r>
          </w:p>
        </w:tc>
        <w:tc>
          <w:tcPr>
            <w:tcW w:w="0" w:type="dxa"/>
            <w:vAlign w:val="bottom"/>
          </w:tcPr>
          <w:p>
            <w:pPr>
              <w:spacing w:after="0"/>
              <w:rPr>
                <w:sz w:val="1"/>
                <w:szCs w:val="1"/>
                <w:color w:val="auto"/>
              </w:rPr>
            </w:pPr>
          </w:p>
        </w:tc>
      </w:tr>
      <w:tr>
        <w:trPr>
          <w:trHeight w:val="54"/>
        </w:trPr>
        <w:tc>
          <w:tcPr>
            <w:tcW w:w="5380" w:type="dxa"/>
            <w:vAlign w:val="bottom"/>
            <w:vMerge w:val="continue"/>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53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tcPr>
          <w:p>
            <w:pPr>
              <w:ind w:left="160"/>
              <w:spacing w:after="0"/>
              <w:rPr>
                <w:sz w:val="20"/>
                <w:szCs w:val="20"/>
                <w:color w:val="auto"/>
              </w:rPr>
            </w:pPr>
            <w:r>
              <w:rPr>
                <w:rFonts w:ascii="Arial" w:cs="Arial" w:eastAsia="Arial" w:hAnsi="Arial"/>
                <w:sz w:val="16"/>
                <w:szCs w:val="16"/>
                <w:color w:val="auto"/>
              </w:rPr>
              <w:t>Other income</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6,308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6,308</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53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shd w:val="clear" w:color="auto" w:fill="CCEEFF"/>
          </w:tcPr>
          <w:p>
            <w:pPr>
              <w:ind w:left="160"/>
              <w:spacing w:after="0"/>
              <w:rPr>
                <w:sz w:val="20"/>
                <w:szCs w:val="20"/>
                <w:color w:val="auto"/>
              </w:rPr>
            </w:pPr>
            <w:r>
              <w:rPr>
                <w:rFonts w:ascii="Arial" w:cs="Arial" w:eastAsia="Arial" w:hAnsi="Arial"/>
                <w:sz w:val="16"/>
                <w:szCs w:val="16"/>
                <w:color w:val="auto"/>
              </w:rPr>
              <w:t>Gain on acquisition of equity method investment</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19,818</w:t>
            </w:r>
          </w:p>
        </w:tc>
        <w:tc>
          <w:tcPr>
            <w:tcW w:w="0" w:type="dxa"/>
            <w:vAlign w:val="bottom"/>
          </w:tcPr>
          <w:p>
            <w:pPr>
              <w:spacing w:after="0"/>
              <w:rPr>
                <w:sz w:val="1"/>
                <w:szCs w:val="1"/>
                <w:color w:val="auto"/>
              </w:rPr>
            </w:pPr>
          </w:p>
        </w:tc>
      </w:tr>
      <w:tr>
        <w:trPr>
          <w:trHeight w:val="54"/>
        </w:trPr>
        <w:tc>
          <w:tcPr>
            <w:tcW w:w="5380" w:type="dxa"/>
            <w:vAlign w:val="bottom"/>
            <w:vMerge w:val="continue"/>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53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60" w:type="dxa"/>
            <w:vAlign w:val="bottom"/>
            <w:gridSpan w:val="2"/>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tcPr>
          <w:p>
            <w:pPr>
              <w:ind w:left="200"/>
              <w:spacing w:after="0"/>
              <w:rPr>
                <w:sz w:val="20"/>
                <w:szCs w:val="20"/>
                <w:color w:val="auto"/>
              </w:rPr>
            </w:pPr>
            <w:r>
              <w:rPr>
                <w:rFonts w:ascii="Arial" w:cs="Arial" w:eastAsia="Arial" w:hAnsi="Arial"/>
                <w:sz w:val="16"/>
                <w:szCs w:val="16"/>
                <w:color w:val="auto"/>
              </w:rPr>
              <w:t>Income from equity method investments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3,694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3,658</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2,392</w:t>
            </w:r>
          </w:p>
        </w:tc>
        <w:tc>
          <w:tcPr>
            <w:tcW w:w="0" w:type="dxa"/>
            <w:vAlign w:val="bottom"/>
          </w:tcPr>
          <w:p>
            <w:pPr>
              <w:spacing w:after="0"/>
              <w:rPr>
                <w:sz w:val="1"/>
                <w:szCs w:val="1"/>
                <w:color w:val="auto"/>
              </w:rPr>
            </w:pPr>
          </w:p>
        </w:tc>
      </w:tr>
      <w:tr>
        <w:trPr>
          <w:trHeight w:val="54"/>
        </w:trPr>
        <w:tc>
          <w:tcPr>
            <w:tcW w:w="53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538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before provision for income taxes</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18,950</w:t>
            </w:r>
          </w:p>
        </w:tc>
        <w:tc>
          <w:tcPr>
            <w:tcW w:w="0" w:type="dxa"/>
            <w:vAlign w:val="bottom"/>
          </w:tcPr>
          <w:p>
            <w:pPr>
              <w:spacing w:after="0"/>
              <w:rPr>
                <w:sz w:val="1"/>
                <w:szCs w:val="1"/>
                <w:color w:val="auto"/>
              </w:rPr>
            </w:pPr>
          </w:p>
        </w:tc>
      </w:tr>
      <w:tr>
        <w:trPr>
          <w:trHeight w:val="73"/>
        </w:trPr>
        <w:tc>
          <w:tcPr>
            <w:tcW w:w="5380" w:type="dxa"/>
            <w:vAlign w:val="bottom"/>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60"/>
              <w:spacing w:after="0"/>
              <w:rPr>
                <w:sz w:val="20"/>
                <w:szCs w:val="20"/>
                <w:color w:val="auto"/>
              </w:rPr>
            </w:pPr>
            <w:r>
              <w:rPr>
                <w:rFonts w:ascii="Arial" w:cs="Arial" w:eastAsia="Arial" w:hAnsi="Arial"/>
                <w:sz w:val="16"/>
                <w:szCs w:val="16"/>
                <w:color w:val="auto"/>
              </w:rPr>
              <w:t>Provision for income taxes</w:t>
            </w:r>
          </w:p>
        </w:tc>
        <w:tc>
          <w:tcPr>
            <w:tcW w:w="92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538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18,950</w:t>
            </w:r>
          </w:p>
        </w:tc>
        <w:tc>
          <w:tcPr>
            <w:tcW w:w="0" w:type="dxa"/>
            <w:vAlign w:val="bottom"/>
          </w:tcPr>
          <w:p>
            <w:pPr>
              <w:spacing w:after="0"/>
              <w:rPr>
                <w:sz w:val="1"/>
                <w:szCs w:val="1"/>
                <w:color w:val="auto"/>
              </w:rPr>
            </w:pPr>
          </w:p>
        </w:tc>
      </w:tr>
      <w:tr>
        <w:trPr>
          <w:trHeight w:val="73"/>
        </w:trPr>
        <w:tc>
          <w:tcPr>
            <w:tcW w:w="5380" w:type="dxa"/>
            <w:vAlign w:val="bottom"/>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60"/>
              <w:spacing w:after="0"/>
              <w:rPr>
                <w:sz w:val="20"/>
                <w:szCs w:val="20"/>
                <w:color w:val="auto"/>
              </w:rPr>
            </w:pPr>
            <w:r>
              <w:rPr>
                <w:rFonts w:ascii="Arial" w:cs="Arial" w:eastAsia="Arial" w:hAnsi="Arial"/>
                <w:sz w:val="16"/>
                <w:szCs w:val="16"/>
                <w:color w:val="auto"/>
              </w:rPr>
              <w:t>Net income (loss) attributable to redeemable non-controlling interests</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4,161</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(2,584)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loss attributable to non-redeemable non-controlling interests</w:t>
            </w:r>
          </w:p>
        </w:tc>
        <w:tc>
          <w:tcPr>
            <w:tcW w:w="9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74"/>
        </w:trPr>
        <w:tc>
          <w:tcPr>
            <w:tcW w:w="53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35"/>
        </w:trPr>
        <w:tc>
          <w:tcPr>
            <w:tcW w:w="5380" w:type="dxa"/>
            <w:vAlign w:val="bottom"/>
          </w:tcPr>
          <w:p>
            <w:pPr>
              <w:ind w:left="340"/>
              <w:spacing w:after="0"/>
              <w:rPr>
                <w:sz w:val="20"/>
                <w:szCs w:val="20"/>
                <w:color w:val="auto"/>
              </w:rPr>
            </w:pPr>
            <w:r>
              <w:rPr>
                <w:rFonts w:ascii="Arial" w:cs="Arial" w:eastAsia="Arial" w:hAnsi="Arial"/>
                <w:sz w:val="16"/>
                <w:szCs w:val="16"/>
                <w:color w:val="auto"/>
              </w:rPr>
              <w:t xml:space="preserve">Paid-in-kind preferred dividends </w:t>
            </w:r>
            <w:r>
              <w:rPr>
                <w:rFonts w:ascii="Arial" w:cs="Arial" w:eastAsia="Arial" w:hAnsi="Arial"/>
                <w:sz w:val="21"/>
                <w:szCs w:val="21"/>
                <w:color w:val="auto"/>
                <w:vertAlign w:val="superscript"/>
              </w:rPr>
              <w:t>(1)</w:t>
            </w:r>
          </w:p>
        </w:tc>
        <w:tc>
          <w:tcPr>
            <w:tcW w:w="9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2,658</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5,093</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38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Net income attributable to OPAL Fuels</w:t>
            </w:r>
          </w:p>
        </w:tc>
        <w:tc>
          <w:tcPr>
            <w:tcW w:w="9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19,364</w:t>
            </w:r>
          </w:p>
        </w:tc>
        <w:tc>
          <w:tcPr>
            <w:tcW w:w="0" w:type="dxa"/>
            <w:vAlign w:val="bottom"/>
          </w:tcPr>
          <w:p>
            <w:pPr>
              <w:spacing w:after="0"/>
              <w:rPr>
                <w:sz w:val="1"/>
                <w:szCs w:val="1"/>
                <w:color w:val="auto"/>
              </w:rPr>
            </w:pPr>
          </w:p>
        </w:tc>
      </w:tr>
      <w:tr>
        <w:trPr>
          <w:trHeight w:val="54"/>
        </w:trPr>
        <w:tc>
          <w:tcPr>
            <w:tcW w:w="5380" w:type="dxa"/>
            <w:vAlign w:val="bottom"/>
            <w:vMerge w:val="continue"/>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5380" w:type="dxa"/>
            <w:vAlign w:val="bottom"/>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340"/>
              <w:spacing w:after="0"/>
              <w:rPr>
                <w:sz w:val="20"/>
                <w:szCs w:val="20"/>
                <w:color w:val="auto"/>
              </w:rPr>
            </w:pPr>
            <w:r>
              <w:rPr>
                <w:rFonts w:ascii="Arial" w:cs="Arial" w:eastAsia="Arial" w:hAnsi="Arial"/>
                <w:sz w:val="16"/>
                <w:szCs w:val="16"/>
                <w:color w:val="auto"/>
              </w:rPr>
              <w:t>Net loss attributable to Class A common stockholders</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(1,125)</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(1,125)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53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80" w:type="dxa"/>
            <w:vAlign w:val="bottom"/>
          </w:tcPr>
          <w:p>
            <w:pPr>
              <w:ind w:left="340"/>
              <w:spacing w:after="0"/>
              <w:rPr>
                <w:sz w:val="20"/>
                <w:szCs w:val="20"/>
                <w:color w:val="auto"/>
              </w:rPr>
            </w:pPr>
            <w:r>
              <w:rPr>
                <w:rFonts w:ascii="Arial" w:cs="Arial" w:eastAsia="Arial" w:hAnsi="Arial"/>
                <w:sz w:val="16"/>
                <w:szCs w:val="16"/>
                <w:color w:val="auto"/>
              </w:rPr>
              <w:t>Weighted average shares outstanding of Class A common stock :</w:t>
            </w: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1440" w:type="dxa"/>
            <w:vAlign w:val="bottom"/>
            <w:gridSpan w:val="2"/>
            <w:vMerge w:val="restart"/>
            <w:shd w:val="clear" w:color="auto" w:fill="CCEEFF"/>
          </w:tcPr>
          <w:p>
            <w:pPr>
              <w:jc w:val="right"/>
              <w:ind w:right="299"/>
              <w:spacing w:after="0"/>
              <w:rPr>
                <w:sz w:val="20"/>
                <w:szCs w:val="20"/>
                <w:color w:val="auto"/>
              </w:rPr>
            </w:pPr>
            <w:r>
              <w:rPr>
                <w:rFonts w:ascii="Arial" w:cs="Arial" w:eastAsia="Arial" w:hAnsi="Arial"/>
                <w:sz w:val="16"/>
                <w:szCs w:val="16"/>
                <w:color w:val="auto"/>
              </w:rPr>
              <w:t>25,671,390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25,671,390</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5380" w:type="dxa"/>
            <w:vAlign w:val="bottom"/>
            <w:vMerge w:val="continue"/>
            <w:shd w:val="clear" w:color="auto" w:fill="CCEEFF"/>
          </w:tcPr>
          <w:p>
            <w:pPr>
              <w:spacing w:after="0"/>
              <w:rPr>
                <w:sz w:val="4"/>
                <w:szCs w:val="4"/>
                <w:color w:val="auto"/>
              </w:rPr>
            </w:pPr>
          </w:p>
        </w:tc>
        <w:tc>
          <w:tcPr>
            <w:tcW w:w="144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5380" w:type="dxa"/>
            <w:vAlign w:val="bottom"/>
            <w:shd w:val="clear" w:color="auto" w:fill="CCEEFF"/>
          </w:tcPr>
          <w:p>
            <w:pPr>
              <w:spacing w:after="0"/>
              <w:rPr>
                <w:sz w:val="6"/>
                <w:szCs w:val="6"/>
                <w:color w:val="auto"/>
              </w:rPr>
            </w:pPr>
          </w:p>
        </w:tc>
        <w:tc>
          <w:tcPr>
            <w:tcW w:w="1440" w:type="dxa"/>
            <w:vAlign w:val="bottom"/>
            <w:gridSpan w:val="2"/>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80" w:type="dxa"/>
            <w:vAlign w:val="bottom"/>
            <w:gridSpan w:val="2"/>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5380" w:type="dxa"/>
            <w:vAlign w:val="bottom"/>
            <w:vMerge w:val="restart"/>
          </w:tcPr>
          <w:p>
            <w:pPr>
              <w:ind w:left="340"/>
              <w:spacing w:after="0"/>
              <w:rPr>
                <w:sz w:val="20"/>
                <w:szCs w:val="20"/>
                <w:color w:val="auto"/>
              </w:rPr>
            </w:pPr>
            <w:r>
              <w:rPr>
                <w:rFonts w:ascii="Arial" w:cs="Arial" w:eastAsia="Arial" w:hAnsi="Arial"/>
                <w:sz w:val="16"/>
                <w:szCs w:val="16"/>
                <w:color w:val="auto"/>
              </w:rPr>
              <w:t>Diluted</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25,823,772</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25,823,772</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
        </w:trPr>
        <w:tc>
          <w:tcPr>
            <w:tcW w:w="538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5380" w:type="dxa"/>
            <w:vAlign w:val="bottom"/>
          </w:tcPr>
          <w:p>
            <w:pPr>
              <w:spacing w:after="0"/>
              <w:rPr>
                <w:sz w:val="6"/>
                <w:szCs w:val="6"/>
                <w:color w:val="auto"/>
              </w:rPr>
            </w:pPr>
          </w:p>
        </w:tc>
        <w:tc>
          <w:tcPr>
            <w:tcW w:w="9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Per share amounts:</w:t>
            </w:r>
          </w:p>
        </w:tc>
        <w:tc>
          <w:tcPr>
            <w:tcW w:w="9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73"/>
        </w:trPr>
        <w:tc>
          <w:tcPr>
            <w:tcW w:w="538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35"/>
        </w:trPr>
        <w:tc>
          <w:tcPr>
            <w:tcW w:w="5380" w:type="dxa"/>
            <w:vAlign w:val="bottom"/>
          </w:tcPr>
          <w:p>
            <w:pPr>
              <w:ind w:left="340"/>
              <w:spacing w:after="0"/>
              <w:rPr>
                <w:sz w:val="20"/>
                <w:szCs w:val="20"/>
                <w:color w:val="auto"/>
              </w:rPr>
            </w:pPr>
            <w:r>
              <w:rPr>
                <w:rFonts w:ascii="Arial" w:cs="Arial" w:eastAsia="Arial" w:hAnsi="Arial"/>
                <w:sz w:val="16"/>
                <w:szCs w:val="16"/>
                <w:color w:val="auto"/>
              </w:rPr>
              <w:t xml:space="preserve">Basic </w:t>
            </w:r>
            <w:r>
              <w:rPr>
                <w:rFonts w:ascii="Arial" w:cs="Arial" w:eastAsia="Arial" w:hAnsi="Arial"/>
                <w:sz w:val="21"/>
                <w:szCs w:val="21"/>
                <w:color w:val="auto"/>
                <w:vertAlign w:val="superscript"/>
              </w:rPr>
              <w:t>(2)</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40"/>
        </w:trPr>
        <w:tc>
          <w:tcPr>
            <w:tcW w:w="5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 xml:space="preserve">Diluted </w:t>
            </w:r>
            <w:r>
              <w:rPr>
                <w:rFonts w:ascii="Arial" w:cs="Arial" w:eastAsia="Arial" w:hAnsi="Arial"/>
                <w:sz w:val="21"/>
                <w:szCs w:val="21"/>
                <w:color w:val="auto"/>
                <w:vertAlign w:val="superscript"/>
              </w:rPr>
              <w:t>(2)</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right="120" w:firstLine="8"/>
        <w:spacing w:after="0" w:line="238" w:lineRule="auto"/>
        <w:tabs>
          <w:tab w:leader="none" w:pos="198" w:val="left"/>
        </w:tabs>
        <w:numPr>
          <w:ilvl w:val="0"/>
          <w:numId w:val="16"/>
        </w:numPr>
        <w:rPr>
          <w:rFonts w:ascii="Arial" w:cs="Arial" w:eastAsia="Arial" w:hAnsi="Arial"/>
          <w:sz w:val="23"/>
          <w:szCs w:val="23"/>
          <w:color w:val="auto"/>
          <w:vertAlign w:val="superscript"/>
        </w:rPr>
      </w:pPr>
      <w:r>
        <w:rPr>
          <w:rFonts w:ascii="Arial" w:cs="Arial" w:eastAsia="Arial" w:hAnsi="Arial"/>
          <w:sz w:val="14"/>
          <w:szCs w:val="14"/>
          <w:color w:val="auto"/>
        </w:rPr>
        <w:t>Paid-in-kind preferred dividend is allocated between redeemable non-controlling interests and Class A common stockholders basis their weighted average percentage of ownership.</w:t>
      </w:r>
    </w:p>
    <w:p>
      <w:pPr>
        <w:sectPr>
          <w:pgSz w:w="11900" w:h="16838" w:orient="portrait"/>
          <w:cols w:equalWidth="0" w:num="1">
            <w:col w:w="11240"/>
          </w:cols>
          <w:pgMar w:left="320" w:top="1431" w:right="339" w:bottom="413" w:gutter="0" w:footer="0" w:header="0"/>
        </w:sectPr>
      </w:pPr>
    </w:p>
    <w:bookmarkStart w:id="19" w:name="page20"/>
    <w:bookmarkEnd w:id="19"/>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474" w:right="1440"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 w:firstLine="8"/>
        <w:spacing w:after="0" w:line="283" w:lineRule="auto"/>
        <w:tabs>
          <w:tab w:leader="none" w:pos="155" w:val="left"/>
        </w:tabs>
        <w:numPr>
          <w:ilvl w:val="0"/>
          <w:numId w:val="17"/>
        </w:numPr>
        <w:rPr>
          <w:rFonts w:ascii="Arial" w:cs="Arial" w:eastAsia="Arial" w:hAnsi="Arial"/>
          <w:sz w:val="19"/>
          <w:szCs w:val="19"/>
          <w:color w:val="auto"/>
          <w:vertAlign w:val="superscript"/>
        </w:rPr>
      </w:pPr>
      <w:r>
        <w:rPr>
          <w:rFonts w:ascii="Arial" w:cs="Arial" w:eastAsia="Arial" w:hAnsi="Arial"/>
          <w:sz w:val="15"/>
          <w:szCs w:val="15"/>
          <w:color w:val="auto"/>
        </w:rPr>
        <w:t>Loss per share information has not been presented for the periods prior to the Business Combination as it would not be meaningful to the users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12"/>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0632"/>
          </w:cols>
          <w:pgMar w:left="328" w:top="1440" w:right="939" w:bottom="1440" w:gutter="0" w:footer="0" w:header="0"/>
        </w:sectPr>
      </w:pPr>
    </w:p>
    <w:bookmarkStart w:id="21" w:name="page22"/>
    <w:bookmarkEnd w:id="21"/>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OPAL FUELS INC.</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6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In thousands of U.S. dollars)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9019"/>
          </w:cols>
          <w:pgMar w:left="1440" w:top="1440" w:right="1440" w:bottom="1440" w:gutter="0" w:footer="0" w:header="0"/>
        </w:sectPr>
      </w:pPr>
    </w:p>
    <w:bookmarkStart w:id="22" w:name="page23"/>
    <w:bookmarkEnd w:id="22"/>
    <w:p>
      <w:pPr>
        <w:jc w:val="center"/>
        <w:ind w:left="8140"/>
        <w:spacing w:after="0"/>
        <w:rPr>
          <w:sz w:val="20"/>
          <w:szCs w:val="20"/>
          <w:color w:val="auto"/>
        </w:rPr>
      </w:pPr>
      <w:r>
        <w:rPr>
          <w:rFonts w:ascii="Arial" w:cs="Arial" w:eastAsia="Arial" w:hAnsi="Arial"/>
          <w:sz w:val="16"/>
          <w:szCs w:val="16"/>
          <w:b w:val="1"/>
          <w:bCs w:val="1"/>
          <w:color w:val="auto"/>
        </w:rPr>
        <w:t>Nine Months Ended</w:t>
      </w:r>
    </w:p>
    <w:p>
      <w:pPr>
        <w:jc w:val="center"/>
        <w:ind w:left="8140"/>
        <w:spacing w:after="0"/>
        <w:rPr>
          <w:sz w:val="20"/>
          <w:szCs w:val="20"/>
          <w:color w:val="auto"/>
        </w:rPr>
      </w:pPr>
      <w:r>
        <w:rPr>
          <w:rFonts w:ascii="Arial" w:cs="Arial" w:eastAsia="Arial" w:hAnsi="Arial"/>
          <w:sz w:val="16"/>
          <w:szCs w:val="16"/>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6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8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(Restated)</w:t>
            </w:r>
          </w:p>
        </w:tc>
        <w:tc>
          <w:tcPr>
            <w:tcW w:w="0" w:type="dxa"/>
            <w:vAlign w:val="bottom"/>
          </w:tcPr>
          <w:p>
            <w:pPr>
              <w:spacing w:after="0"/>
              <w:rPr>
                <w:sz w:val="1"/>
                <w:szCs w:val="1"/>
                <w:color w:val="auto"/>
              </w:rPr>
            </w:pPr>
          </w:p>
        </w:tc>
      </w:tr>
      <w:tr>
        <w:trPr>
          <w:trHeight w:val="278"/>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81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560</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18,950</w:t>
            </w:r>
          </w:p>
        </w:tc>
        <w:tc>
          <w:tcPr>
            <w:tcW w:w="0" w:type="dxa"/>
            <w:vAlign w:val="bottom"/>
          </w:tcPr>
          <w:p>
            <w:pPr>
              <w:spacing w:after="0"/>
              <w:rPr>
                <w:sz w:val="1"/>
                <w:szCs w:val="1"/>
                <w:color w:val="auto"/>
              </w:rPr>
            </w:pPr>
          </w:p>
        </w:tc>
      </w:tr>
      <w:tr>
        <w:trPr>
          <w:trHeight w:val="278"/>
        </w:trPr>
        <w:tc>
          <w:tcPr>
            <w:tcW w:w="81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81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Income from equity method investments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(3,658)</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(2,392)</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9,581</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6,510</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Amortization of deferred financing costs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Amortization of PPA liability</w:t>
            </w:r>
          </w:p>
        </w:tc>
        <w:tc>
          <w:tcPr>
            <w:tcW w:w="1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Accretion expense related to asset retirement obligation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Stock-based compensation</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Paid-in-kind interest income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Change in fair value of Convertible Note Payable</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Unrealized loss on derivative financial instruments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1,677</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0" w:type="dxa"/>
            <w:vAlign w:val="bottom"/>
          </w:tcPr>
          <w:p>
            <w:pPr>
              <w:spacing w:after="0"/>
              <w:rPr>
                <w:sz w:val="1"/>
                <w:szCs w:val="1"/>
                <w:color w:val="auto"/>
              </w:rPr>
            </w:pPr>
          </w:p>
        </w:tc>
      </w:tr>
      <w:tr>
        <w:trPr>
          <w:trHeight w:val="278"/>
        </w:trPr>
        <w:tc>
          <w:tcPr>
            <w:tcW w:w="8160" w:type="dxa"/>
            <w:vAlign w:val="bottom"/>
          </w:tcPr>
          <w:p>
            <w:pPr>
              <w:ind w:left="140"/>
              <w:spacing w:after="0"/>
              <w:rPr>
                <w:sz w:val="20"/>
                <w:szCs w:val="20"/>
                <w:color w:val="auto"/>
              </w:rPr>
            </w:pPr>
            <w:r>
              <w:rPr>
                <w:rFonts w:ascii="Arial" w:cs="Arial" w:eastAsia="Arial" w:hAnsi="Arial"/>
                <w:sz w:val="16"/>
                <w:szCs w:val="16"/>
                <w:color w:val="auto"/>
              </w:rPr>
              <w:t>Gain on extinguishment of contingent liability</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(4,362)</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8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Gain on repayment of Note receivable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(1,943)</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8160" w:type="dxa"/>
            <w:vAlign w:val="bottom"/>
          </w:tcPr>
          <w:p>
            <w:pPr>
              <w:ind w:left="140"/>
              <w:spacing w:after="0"/>
              <w:rPr>
                <w:sz w:val="20"/>
                <w:szCs w:val="20"/>
                <w:color w:val="auto"/>
              </w:rPr>
            </w:pPr>
            <w:r>
              <w:rPr>
                <w:rFonts w:ascii="Arial" w:cs="Arial" w:eastAsia="Arial" w:hAnsi="Arial"/>
                <w:sz w:val="16"/>
                <w:szCs w:val="16"/>
                <w:color w:val="auto"/>
              </w:rPr>
              <w:t>Gain on acquisition of equity method investment</w:t>
            </w:r>
          </w:p>
        </w:tc>
        <w:tc>
          <w:tcPr>
            <w:tcW w:w="1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(19,818)</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 net of effects of businesses acquired:</w:t>
            </w:r>
          </w:p>
        </w:tc>
        <w:tc>
          <w:tcPr>
            <w:tcW w:w="14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Accounts receivable</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(11,269)</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received on previously recorded paid-in-kind interest income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Fuel tax credits receivable</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(1,049)</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Capital spares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Brown gas and parts inventory</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(3,520)</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(804)</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Environmental credits held for sale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Prepaid expense and other current assets</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(996)</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1,348</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Contract assets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(6,192)</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Accounts payable</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(6,734)</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6,970</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Accounts payable, related party</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0" w:type="dxa"/>
            <w:vAlign w:val="bottom"/>
          </w:tcPr>
          <w:p>
            <w:pPr>
              <w:spacing w:after="0"/>
              <w:rPr>
                <w:sz w:val="1"/>
                <w:szCs w:val="1"/>
                <w:color w:val="auto"/>
              </w:rPr>
            </w:pPr>
          </w:p>
        </w:tc>
      </w:tr>
      <w:tr>
        <w:trPr>
          <w:trHeight w:val="277"/>
        </w:trPr>
        <w:tc>
          <w:tcPr>
            <w:tcW w:w="8160" w:type="dxa"/>
            <w:vAlign w:val="bottom"/>
          </w:tcPr>
          <w:p>
            <w:pPr>
              <w:ind w:left="160"/>
              <w:spacing w:after="0"/>
              <w:rPr>
                <w:sz w:val="20"/>
                <w:szCs w:val="20"/>
                <w:color w:val="auto"/>
              </w:rPr>
            </w:pPr>
            <w:r>
              <w:rPr>
                <w:rFonts w:ascii="Arial" w:cs="Arial" w:eastAsia="Arial" w:hAnsi="Arial"/>
                <w:sz w:val="16"/>
                <w:szCs w:val="16"/>
                <w:color w:val="auto"/>
              </w:rPr>
              <w:t>Fuel tax credits payable</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1,545</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Accrued payroll</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(2,386)</w:t>
            </w:r>
          </w:p>
        </w:tc>
        <w:tc>
          <w:tcPr>
            <w:tcW w:w="120" w:type="dxa"/>
            <w:vAlign w:val="bottom"/>
            <w:shd w:val="clear" w:color="auto" w:fill="CCEEFF"/>
          </w:tcPr>
          <w:p>
            <w:pPr>
              <w:spacing w:after="0"/>
              <w:rPr>
                <w:sz w:val="24"/>
                <w:szCs w:val="2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0" w:type="dxa"/>
            <w:vAlign w:val="bottom"/>
          </w:tcPr>
          <w:p>
            <w:pPr>
              <w:spacing w:after="0"/>
              <w:rPr>
                <w:sz w:val="1"/>
                <w:szCs w:val="1"/>
                <w:color w:val="auto"/>
              </w:rPr>
            </w:pPr>
          </w:p>
        </w:tc>
      </w:tr>
      <w:tr>
        <w:trPr>
          <w:trHeight w:val="60"/>
        </w:trPr>
        <w:tc>
          <w:tcPr>
            <w:tcW w:w="816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8160" w:type="dxa"/>
            <w:vAlign w:val="bottom"/>
          </w:tcPr>
          <w:p>
            <w:pPr>
              <w:ind w:left="160"/>
              <w:spacing w:after="0"/>
              <w:rPr>
                <w:sz w:val="20"/>
                <w:szCs w:val="20"/>
                <w:color w:val="auto"/>
              </w:rPr>
            </w:pPr>
            <w:r>
              <w:rPr>
                <w:rFonts w:ascii="Arial" w:cs="Arial" w:eastAsia="Arial" w:hAnsi="Arial"/>
                <w:sz w:val="16"/>
                <w:szCs w:val="16"/>
                <w:color w:val="auto"/>
              </w:rPr>
              <w:t>Accrued expenses</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8,561</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3,672</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current and non-current liabilities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8,794</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Contract liabilities</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(3,035)</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57"/>
        </w:trPr>
        <w:tc>
          <w:tcPr>
            <w:tcW w:w="816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(22,289)</w:t>
            </w:r>
          </w:p>
        </w:tc>
        <w:tc>
          <w:tcPr>
            <w:tcW w:w="120" w:type="dxa"/>
            <w:vAlign w:val="bottom"/>
            <w:shd w:val="clear" w:color="auto" w:fill="CCEEFF"/>
          </w:tcPr>
          <w:p>
            <w:pPr>
              <w:spacing w:after="0"/>
              <w:rPr>
                <w:sz w:val="20"/>
                <w:szCs w:val="20"/>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28,897</w:t>
            </w:r>
          </w:p>
        </w:tc>
        <w:tc>
          <w:tcPr>
            <w:tcW w:w="0" w:type="dxa"/>
            <w:vAlign w:val="bottom"/>
          </w:tcPr>
          <w:p>
            <w:pPr>
              <w:spacing w:after="0"/>
              <w:rPr>
                <w:sz w:val="1"/>
                <w:szCs w:val="1"/>
                <w:color w:val="auto"/>
              </w:rPr>
            </w:pPr>
          </w:p>
        </w:tc>
      </w:tr>
      <w:tr>
        <w:trPr>
          <w:trHeight w:val="79"/>
        </w:trPr>
        <w:tc>
          <w:tcPr>
            <w:tcW w:w="8160" w:type="dxa"/>
            <w:vAlign w:val="bottom"/>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81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Purchase of property, plant, and equipment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(84,949)</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(63,393)</w:t>
            </w:r>
          </w:p>
        </w:tc>
        <w:tc>
          <w:tcPr>
            <w:tcW w:w="0" w:type="dxa"/>
            <w:vAlign w:val="bottom"/>
          </w:tcPr>
          <w:p>
            <w:pPr>
              <w:spacing w:after="0"/>
              <w:rPr>
                <w:sz w:val="1"/>
                <w:szCs w:val="1"/>
                <w:color w:val="auto"/>
              </w:rPr>
            </w:pPr>
          </w:p>
        </w:tc>
      </w:tr>
      <w:tr>
        <w:trPr>
          <w:trHeight w:val="277"/>
        </w:trPr>
        <w:tc>
          <w:tcPr>
            <w:tcW w:w="8160" w:type="dxa"/>
            <w:vAlign w:val="bottom"/>
          </w:tcPr>
          <w:p>
            <w:pPr>
              <w:ind w:left="160"/>
              <w:spacing w:after="0"/>
              <w:rPr>
                <w:sz w:val="20"/>
                <w:szCs w:val="20"/>
                <w:color w:val="auto"/>
              </w:rPr>
            </w:pPr>
            <w:r>
              <w:rPr>
                <w:rFonts w:ascii="Arial" w:cs="Arial" w:eastAsia="Arial" w:hAnsi="Arial"/>
                <w:sz w:val="16"/>
                <w:szCs w:val="16"/>
                <w:color w:val="auto"/>
              </w:rPr>
              <w:t>Cash acquired on acquisition of equity method investment</w:t>
            </w:r>
          </w:p>
        </w:tc>
        <w:tc>
          <w:tcPr>
            <w:tcW w:w="1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1,955</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8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Cash paid for short term investments</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(146,936)</w:t>
            </w:r>
          </w:p>
        </w:tc>
        <w:tc>
          <w:tcPr>
            <w:tcW w:w="120" w:type="dxa"/>
            <w:vAlign w:val="bottom"/>
            <w:shd w:val="clear" w:color="auto" w:fill="CCEEFF"/>
          </w:tcPr>
          <w:p>
            <w:pPr>
              <w:spacing w:after="0"/>
              <w:rPr>
                <w:sz w:val="24"/>
                <w:szCs w:val="24"/>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816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8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8160" w:type="dxa"/>
            <w:vAlign w:val="bottom"/>
          </w:tcPr>
          <w:p>
            <w:pPr>
              <w:ind w:left="160"/>
              <w:spacing w:after="0"/>
              <w:rPr>
                <w:sz w:val="20"/>
                <w:szCs w:val="20"/>
                <w:color w:val="auto"/>
              </w:rPr>
            </w:pPr>
            <w:r>
              <w:rPr>
                <w:rFonts w:ascii="Arial" w:cs="Arial" w:eastAsia="Arial" w:hAnsi="Arial"/>
                <w:sz w:val="16"/>
                <w:szCs w:val="16"/>
                <w:color w:val="auto"/>
              </w:rPr>
              <w:t>Cash paid for investment in other entity</w:t>
            </w:r>
          </w:p>
        </w:tc>
        <w:tc>
          <w:tcPr>
            <w:tcW w:w="16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(1,570)</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600" w:type="dxa"/>
            <w:vAlign w:val="bottom"/>
            <w:gridSpan w:val="2"/>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Purchase of Note receivable</w:t>
            </w: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(10,450)</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Proceeds received from repayment of Note receivable</w:t>
            </w: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10,855</w:t>
            </w:r>
          </w:p>
        </w:tc>
        <w:tc>
          <w:tcPr>
            <w:tcW w:w="1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0"/>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Distributions received from equity method investment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1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3,695</w:t>
            </w:r>
          </w:p>
        </w:tc>
        <w:tc>
          <w:tcPr>
            <w:tcW w:w="0" w:type="dxa"/>
            <w:vAlign w:val="bottom"/>
          </w:tcPr>
          <w:p>
            <w:pPr>
              <w:spacing w:after="0"/>
              <w:rPr>
                <w:sz w:val="1"/>
                <w:szCs w:val="1"/>
                <w:color w:val="auto"/>
              </w:rPr>
            </w:pPr>
          </w:p>
        </w:tc>
      </w:tr>
      <w:tr>
        <w:trPr>
          <w:trHeight w:val="231"/>
        </w:trPr>
        <w:tc>
          <w:tcPr>
            <w:tcW w:w="816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(218,930)</w:t>
            </w:r>
          </w:p>
        </w:tc>
        <w:tc>
          <w:tcPr>
            <w:tcW w:w="120" w:type="dxa"/>
            <w:vAlign w:val="bottom"/>
          </w:tcPr>
          <w:p>
            <w:pPr>
              <w:spacing w:after="0"/>
              <w:rPr>
                <w:sz w:val="20"/>
                <w:szCs w:val="20"/>
                <w:color w:val="auto"/>
              </w:rPr>
            </w:pPr>
          </w:p>
        </w:tc>
        <w:tc>
          <w:tcPr>
            <w:tcW w:w="14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(69,763)</w:t>
            </w:r>
          </w:p>
        </w:tc>
        <w:tc>
          <w:tcPr>
            <w:tcW w:w="0" w:type="dxa"/>
            <w:vAlign w:val="bottom"/>
          </w:tcPr>
          <w:p>
            <w:pPr>
              <w:spacing w:after="0"/>
              <w:rPr>
                <w:sz w:val="1"/>
                <w:szCs w:val="1"/>
                <w:color w:val="auto"/>
              </w:rPr>
            </w:pPr>
          </w:p>
        </w:tc>
      </w:tr>
      <w:tr>
        <w:trPr>
          <w:trHeight w:val="76"/>
        </w:trPr>
        <w:tc>
          <w:tcPr>
            <w:tcW w:w="8160" w:type="dxa"/>
            <w:vAlign w:val="bottom"/>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16" w:right="339" w:bottom="1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216" w:right="339" w:bottom="118" w:gutter="0" w:footer="0" w:header="0"/>
          <w:type w:val="continuous"/>
        </w:sectPr>
      </w:pPr>
    </w:p>
    <w:bookmarkStart w:id="23" w:name="page24"/>
    <w:bookmarkEnd w:id="23"/>
    <w:p>
      <w:pPr>
        <w:spacing w:after="0" w:line="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60" w:type="dxa"/>
            <w:vAlign w:val="bottom"/>
          </w:tcPr>
          <w:p>
            <w:pPr>
              <w:ind w:left="160"/>
              <w:spacing w:after="0"/>
              <w:rPr>
                <w:sz w:val="20"/>
                <w:szCs w:val="20"/>
                <w:color w:val="auto"/>
              </w:rPr>
            </w:pPr>
            <w:r>
              <w:rPr>
                <w:rFonts w:ascii="Arial" w:cs="Arial" w:eastAsia="Arial" w:hAnsi="Arial"/>
                <w:sz w:val="16"/>
                <w:szCs w:val="16"/>
                <w:color w:val="auto"/>
              </w:rPr>
              <w:t>Proceeds from Sunoma loan</w:t>
            </w:r>
          </w:p>
        </w:tc>
        <w:tc>
          <w:tcPr>
            <w:tcW w:w="940" w:type="dxa"/>
            <w:vAlign w:val="bottom"/>
          </w:tcPr>
          <w:p>
            <w:pPr>
              <w:spacing w:after="0"/>
              <w:rPr>
                <w:sz w:val="17"/>
                <w:szCs w:val="17"/>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6"/>
                <w:szCs w:val="16"/>
                <w:color w:val="auto"/>
              </w:rPr>
              <w:t>4,593</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6"/>
                <w:szCs w:val="16"/>
                <w:color w:val="auto"/>
                <w:w w:val="98"/>
              </w:rPr>
              <w:t>14,191</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OPAL Term Loan</w:t>
            </w:r>
          </w:p>
        </w:tc>
        <w:tc>
          <w:tcPr>
            <w:tcW w:w="9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27,500</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Proceeds received from Business Combination</w:t>
            </w:r>
          </w:p>
        </w:tc>
        <w:tc>
          <w:tcPr>
            <w:tcW w:w="940" w:type="dxa"/>
            <w:vAlign w:val="bottom"/>
          </w:tcPr>
          <w:p>
            <w:pPr>
              <w:spacing w:after="0"/>
              <w:rPr>
                <w:sz w:val="24"/>
                <w:szCs w:val="2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6"/>
                <w:szCs w:val="16"/>
                <w:color w:val="auto"/>
                <w:w w:val="86"/>
              </w:rPr>
              <w:t>138,850</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Financing costs paid to other third parties</w:t>
            </w:r>
          </w:p>
        </w:tc>
        <w:tc>
          <w:tcPr>
            <w:tcW w:w="9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8"/>
              </w:rPr>
              <w:t>(8,462)</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(75)</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Repayment of Senior Secured Credit Facility</w:t>
            </w:r>
          </w:p>
        </w:tc>
        <w:tc>
          <w:tcPr>
            <w:tcW w:w="940" w:type="dxa"/>
            <w:vAlign w:val="bottom"/>
          </w:tcPr>
          <w:p>
            <w:pPr>
              <w:spacing w:after="0"/>
              <w:rPr>
                <w:sz w:val="24"/>
                <w:szCs w:val="2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6"/>
                <w:szCs w:val="16"/>
                <w:color w:val="auto"/>
                <w:w w:val="98"/>
              </w:rPr>
              <w:t>(3,674)</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6"/>
                <w:szCs w:val="16"/>
                <w:color w:val="auto"/>
                <w:w w:val="94"/>
              </w:rPr>
              <w:t>(3,835)</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Repayment of OPAL Term Loan</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(11,277)</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Repayment of Municipality loan</w:t>
            </w:r>
          </w:p>
        </w:tc>
        <w:tc>
          <w:tcPr>
            <w:tcW w:w="940" w:type="dxa"/>
            <w:vAlign w:val="bottom"/>
          </w:tcPr>
          <w:p>
            <w:pPr>
              <w:spacing w:after="0"/>
              <w:rPr>
                <w:sz w:val="24"/>
                <w:szCs w:val="24"/>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sale of non-redeemable non-controlling interest</w:t>
            </w:r>
          </w:p>
        </w:tc>
        <w:tc>
          <w:tcPr>
            <w:tcW w:w="9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23,152</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8"/>
              </w:rPr>
              <w:t>21,579</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Proceeds from sale of non-controlling interest, related party</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4"/>
                <w:szCs w:val="24"/>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6"/>
                <w:szCs w:val="16"/>
                <w:color w:val="auto"/>
                <w:w w:val="98"/>
              </w:rPr>
              <w:t>16,645</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Proceeds from issuance of redeemable preferred units</w:t>
            </w:r>
          </w:p>
        </w:tc>
        <w:tc>
          <w:tcPr>
            <w:tcW w:w="9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6"/>
              </w:rPr>
              <w:t>100,000</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8160" w:type="dxa"/>
            <w:vAlign w:val="bottom"/>
          </w:tcPr>
          <w:p>
            <w:pPr>
              <w:ind w:left="160"/>
              <w:spacing w:after="0"/>
              <w:rPr>
                <w:sz w:val="20"/>
                <w:szCs w:val="20"/>
                <w:color w:val="auto"/>
              </w:rPr>
            </w:pPr>
            <w:r>
              <w:rPr>
                <w:rFonts w:ascii="Arial" w:cs="Arial" w:eastAsia="Arial" w:hAnsi="Arial"/>
                <w:sz w:val="16"/>
                <w:szCs w:val="16"/>
                <w:color w:val="auto"/>
              </w:rPr>
              <w:t>Contributions from members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4"/>
                <w:szCs w:val="24"/>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6"/>
                <w:szCs w:val="16"/>
                <w:color w:val="auto"/>
              </w:rPr>
              <w:t>7,919</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2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5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41"/>
        </w:trPr>
        <w:tc>
          <w:tcPr>
            <w:tcW w:w="8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Distributions to members</w:t>
            </w:r>
          </w:p>
        </w:tc>
        <w:tc>
          <w:tcPr>
            <w:tcW w:w="9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4"/>
              </w:rPr>
              <w:t>(3,695)</w:t>
            </w:r>
          </w:p>
        </w:tc>
        <w:tc>
          <w:tcPr>
            <w:tcW w:w="0" w:type="dxa"/>
            <w:vAlign w:val="bottom"/>
          </w:tcPr>
          <w:p>
            <w:pPr>
              <w:spacing w:after="0"/>
              <w:rPr>
                <w:sz w:val="1"/>
                <w:szCs w:val="1"/>
                <w:color w:val="auto"/>
              </w:rPr>
            </w:pPr>
          </w:p>
        </w:tc>
      </w:tr>
      <w:tr>
        <w:trPr>
          <w:trHeight w:val="231"/>
        </w:trPr>
        <w:tc>
          <w:tcPr>
            <w:tcW w:w="8160" w:type="dxa"/>
            <w:vAlign w:val="bottom"/>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w w:val="86"/>
              </w:rPr>
              <w:t>270,525</w:t>
            </w:r>
          </w:p>
        </w:tc>
        <w:tc>
          <w:tcPr>
            <w:tcW w:w="1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color w:val="auto"/>
                <w:w w:val="98"/>
              </w:rPr>
              <w:t>52,729</w:t>
            </w:r>
          </w:p>
        </w:tc>
        <w:tc>
          <w:tcPr>
            <w:tcW w:w="0" w:type="dxa"/>
            <w:vAlign w:val="bottom"/>
          </w:tcPr>
          <w:p>
            <w:pPr>
              <w:spacing w:after="0"/>
              <w:rPr>
                <w:sz w:val="1"/>
                <w:szCs w:val="1"/>
                <w:color w:val="auto"/>
              </w:rPr>
            </w:pPr>
          </w:p>
        </w:tc>
      </w:tr>
      <w:tr>
        <w:trPr>
          <w:trHeight w:val="70"/>
        </w:trPr>
        <w:tc>
          <w:tcPr>
            <w:tcW w:w="816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in cash, restricted cash, and cash equivalents</w:t>
            </w:r>
          </w:p>
        </w:tc>
        <w:tc>
          <w:tcPr>
            <w:tcW w:w="940" w:type="dxa"/>
            <w:vAlign w:val="bottom"/>
            <w:shd w:val="clear" w:color="auto" w:fill="CCEEFF"/>
          </w:tcPr>
          <w:p>
            <w:pPr>
              <w:spacing w:after="0"/>
              <w:rPr>
                <w:sz w:val="20"/>
                <w:szCs w:val="20"/>
                <w:color w:val="auto"/>
              </w:rPr>
            </w:pP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29,306</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11,863</w:t>
            </w:r>
          </w:p>
        </w:tc>
        <w:tc>
          <w:tcPr>
            <w:tcW w:w="0" w:type="dxa"/>
            <w:vAlign w:val="bottom"/>
          </w:tcPr>
          <w:p>
            <w:pPr>
              <w:spacing w:after="0"/>
              <w:rPr>
                <w:sz w:val="1"/>
                <w:szCs w:val="1"/>
                <w:color w:val="auto"/>
              </w:rPr>
            </w:pPr>
          </w:p>
        </w:tc>
      </w:tr>
      <w:tr>
        <w:trPr>
          <w:trHeight w:val="73"/>
        </w:trPr>
        <w:tc>
          <w:tcPr>
            <w:tcW w:w="8160" w:type="dxa"/>
            <w:vAlign w:val="bottom"/>
            <w:shd w:val="clear" w:color="auto" w:fill="CCEEFF"/>
          </w:tcPr>
          <w:p>
            <w:pPr>
              <w:spacing w:after="0"/>
              <w:rPr>
                <w:sz w:val="6"/>
                <w:szCs w:val="6"/>
                <w:color w:val="auto"/>
              </w:rPr>
            </w:pPr>
          </w:p>
        </w:tc>
        <w:tc>
          <w:tcPr>
            <w:tcW w:w="94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6"/>
                <w:szCs w:val="16"/>
                <w:color w:val="auto"/>
              </w:rPr>
              <w:t>Cash, restricted cash, and cash equivalents, beginning of period</w:t>
            </w:r>
          </w:p>
        </w:tc>
        <w:tc>
          <w:tcPr>
            <w:tcW w:w="940" w:type="dxa"/>
            <w:vAlign w:val="bottom"/>
          </w:tcPr>
          <w:p>
            <w:pPr>
              <w:spacing w:after="0"/>
              <w:rPr>
                <w:sz w:val="20"/>
                <w:szCs w:val="2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6"/>
                <w:szCs w:val="16"/>
                <w:color w:val="auto"/>
              </w:rPr>
              <w:t>42,054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6"/>
                <w:szCs w:val="16"/>
                <w:color w:val="auto"/>
                <w:w w:val="98"/>
              </w:rPr>
              <w:t>15,388</w:t>
            </w:r>
          </w:p>
        </w:tc>
        <w:tc>
          <w:tcPr>
            <w:tcW w:w="0" w:type="dxa"/>
            <w:vAlign w:val="bottom"/>
          </w:tcPr>
          <w:p>
            <w:pPr>
              <w:spacing w:after="0"/>
              <w:rPr>
                <w:sz w:val="1"/>
                <w:szCs w:val="1"/>
                <w:color w:val="auto"/>
              </w:rPr>
            </w:pPr>
          </w:p>
        </w:tc>
      </w:tr>
      <w:tr>
        <w:trPr>
          <w:trHeight w:val="70"/>
        </w:trPr>
        <w:tc>
          <w:tcPr>
            <w:tcW w:w="8160" w:type="dxa"/>
            <w:vAlign w:val="bottom"/>
            <w:tcBorders>
              <w:bottom w:val="single" w:sz="8" w:color="CCEEFF"/>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2"/>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restricted cash, and cash equivalents, end of period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71,360</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8"/>
              </w:rPr>
              <w:t>27,251</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8160" w:type="dxa"/>
            <w:vAlign w:val="bottom"/>
            <w:vMerge w:val="continue"/>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8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paid, net of $— and $531 capitalized, respectively</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7,013</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2,405</w:t>
            </w:r>
          </w:p>
        </w:tc>
        <w:tc>
          <w:tcPr>
            <w:tcW w:w="0" w:type="dxa"/>
            <w:vAlign w:val="bottom"/>
          </w:tcPr>
          <w:p>
            <w:pPr>
              <w:spacing w:after="0"/>
              <w:rPr>
                <w:sz w:val="1"/>
                <w:szCs w:val="1"/>
                <w:color w:val="auto"/>
              </w:rPr>
            </w:pPr>
          </w:p>
        </w:tc>
      </w:tr>
      <w:tr>
        <w:trPr>
          <w:trHeight w:val="278"/>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81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Convertible Note Payable related to business acquisition, excluding paid-in-kind interest</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55,410</w:t>
            </w: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Fair value of Class A common stock issued for redemption of Convertible Note Payable</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30,595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Derivative warrant liabilities assumed related to Business Combination</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13,524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Fair value of Earnout liabilities related to Business Combination</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45,900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put option on a forward purchase agreement related to Business Combination</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60" w:type="dxa"/>
            <w:vAlign w:val="bottom"/>
          </w:tcPr>
          <w:p>
            <w:pPr>
              <w:ind w:left="20"/>
              <w:spacing w:after="0"/>
              <w:rPr>
                <w:sz w:val="20"/>
                <w:szCs w:val="20"/>
                <w:color w:val="auto"/>
              </w:rPr>
            </w:pPr>
            <w:r>
              <w:rPr>
                <w:rFonts w:ascii="Arial" w:cs="Arial" w:eastAsia="Arial" w:hAnsi="Arial"/>
                <w:sz w:val="16"/>
                <w:szCs w:val="16"/>
                <w:color w:val="auto"/>
              </w:rPr>
              <w:t>Fair value of contingent consideration to redeem the non-controlling interest included in other long-term liabilities</w:t>
            </w:r>
          </w:p>
        </w:tc>
        <w:tc>
          <w:tcPr>
            <w:tcW w:w="94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w w:val="97"/>
              </w:rPr>
              <w:t>183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0"/>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Paid-in-kind dividend on redeemable preferred non-controlling interests</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5,093</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8160" w:type="dxa"/>
            <w:vAlign w:val="bottom"/>
          </w:tcPr>
          <w:p>
            <w:pPr>
              <w:ind w:left="20"/>
              <w:spacing w:after="0"/>
              <w:rPr>
                <w:sz w:val="20"/>
                <w:szCs w:val="20"/>
                <w:color w:val="auto"/>
              </w:rPr>
            </w:pPr>
            <w:r>
              <w:rPr>
                <w:rFonts w:ascii="Arial" w:cs="Arial" w:eastAsia="Arial" w:hAnsi="Arial"/>
                <w:sz w:val="16"/>
                <w:szCs w:val="16"/>
                <w:color w:val="auto"/>
                <w:w w:val="99"/>
              </w:rPr>
              <w:t>Accrual for purchase of Property, plant and equipment included in Accounts payable and Accrued capital expenses</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vMerge w:val="restart"/>
          </w:tcPr>
          <w:p>
            <w:pPr>
              <w:jc w:val="right"/>
              <w:spacing w:after="0"/>
              <w:rPr>
                <w:sz w:val="20"/>
                <w:szCs w:val="20"/>
                <w:color w:val="auto"/>
              </w:rPr>
            </w:pPr>
            <w:r>
              <w:rPr>
                <w:rFonts w:ascii="Arial" w:cs="Arial" w:eastAsia="Arial" w:hAnsi="Arial"/>
                <w:sz w:val="16"/>
                <w:szCs w:val="16"/>
                <w:color w:val="auto"/>
              </w:rPr>
              <w:t>9,284</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320" w:type="dxa"/>
            <w:vAlign w:val="bottom"/>
            <w:vMerge w:val="restart"/>
          </w:tcPr>
          <w:p>
            <w:pPr>
              <w:jc w:val="right"/>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57"/>
        </w:trPr>
        <w:tc>
          <w:tcPr>
            <w:tcW w:w="81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Accrual for deferred financing costs included in Accrued expenses and other current liabilities</w:t>
            </w:r>
          </w:p>
        </w:tc>
        <w:tc>
          <w:tcPr>
            <w:tcW w:w="940" w:type="dxa"/>
            <w:vAlign w:val="bottom"/>
            <w:shd w:val="clear" w:color="auto" w:fill="CCEEFF"/>
          </w:tcPr>
          <w:p>
            <w:pPr>
              <w:spacing w:after="0"/>
              <w:rPr>
                <w:sz w:val="24"/>
                <w:szCs w:val="24"/>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7"/>
              </w:rPr>
              <w:t>282</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816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200" w:type="dxa"/>
            <w:vAlign w:val="bottom"/>
            <w:vMerge w:val="continue"/>
            <w:shd w:val="clear" w:color="auto" w:fill="CCEEFF"/>
          </w:tcPr>
          <w:p>
            <w:pPr>
              <w:spacing w:after="0"/>
              <w:rPr>
                <w:sz w:val="5"/>
                <w:szCs w:val="5"/>
                <w:color w:val="auto"/>
              </w:rPr>
            </w:pPr>
          </w:p>
        </w:tc>
        <w:tc>
          <w:tcPr>
            <w:tcW w:w="3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6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440" w:right="339" w:bottom="685" w:gutter="0" w:footer="0" w:header="0"/>
          <w:type w:val="continuous"/>
        </w:sectPr>
      </w:pPr>
    </w:p>
    <w:bookmarkStart w:id="24" w:name="page25"/>
    <w:bookmarkEnd w:id="24"/>
    <w:p>
      <w:pPr>
        <w:spacing w:after="0" w:line="3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 (Unaudited)</w:t>
      </w:r>
    </w:p>
    <w:p>
      <w:pPr>
        <w:spacing w:after="0" w:line="27" w:lineRule="exact"/>
        <w:rPr>
          <w:sz w:val="20"/>
          <w:szCs w:val="20"/>
          <w:color w:val="auto"/>
        </w:rPr>
      </w:pPr>
    </w:p>
    <w:p>
      <w:pPr>
        <w:jc w:val="both"/>
        <w:spacing w:after="0" w:line="331" w:lineRule="auto"/>
        <w:rPr>
          <w:sz w:val="20"/>
          <w:szCs w:val="20"/>
          <w:color w:val="auto"/>
        </w:rPr>
      </w:pPr>
      <w:r>
        <w:rPr>
          <w:rFonts w:ascii="Arial" w:cs="Arial" w:eastAsia="Arial" w:hAnsi="Arial"/>
          <w:sz w:val="19"/>
          <w:szCs w:val="19"/>
          <w:color w:val="auto"/>
        </w:rPr>
        <w:t>To supplement the Company’s unaudited condensed consolidated financial statements presented in accordance with accounting principles generally accepted in the United States of America (“GAAP”), the Company uses a non-GAAP financial measure that it calls adjusted EBITDA (“Adjusted EBITDA”). This non-GAAP Measure adjusts net income for realized and unrealized gain on interest rate swaps, net loss attributable to non-redeemable non-controlling interests, transaction costs and one time nonrecurring charges, non-cash charges, major maintenance for renewable power, unrealized loss (gain) for derivative instruments, non-cash gain on reversal of a liability to non-redeemable non-controlling interests, gain on redemption of Note receivable, environmental credits associated with renewable biogas that has been produced and is in storage pending completion of certification of the relevant environmental attribute pathway(s), such credits having been contracted for sale pursuant to a forward purchase agreement with an institutional counterparty, and gain on acquisition of equity method investment. Management believes this non-GAAP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and (3)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196" w:lineRule="exact"/>
        <w:rPr>
          <w:sz w:val="20"/>
          <w:szCs w:val="20"/>
          <w:color w:val="auto"/>
        </w:rPr>
      </w:pPr>
    </w:p>
    <w:p>
      <w:pPr>
        <w:jc w:val="both"/>
        <w:spacing w:after="0" w:line="337" w:lineRule="auto"/>
        <w:rPr>
          <w:sz w:val="20"/>
          <w:szCs w:val="20"/>
          <w:color w:val="auto"/>
        </w:rPr>
      </w:pPr>
      <w:r>
        <w:rPr>
          <w:rFonts w:ascii="Arial" w:cs="Arial" w:eastAsia="Arial" w:hAnsi="Arial"/>
          <w:sz w:val="19"/>
          <w:szCs w:val="19"/>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40"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color w:val="auto"/>
        </w:rPr>
        <w:t>The following table presents the reconciliation of our Net income to Adjusted EBITDA: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gridSpan w:val="7"/>
          </w:tcPr>
          <w:p>
            <w:pPr>
              <w:jc w:val="center"/>
              <w:ind w:left="2870"/>
              <w:spacing w:after="0"/>
              <w:rPr>
                <w:sz w:val="20"/>
                <w:szCs w:val="20"/>
                <w:color w:val="auto"/>
              </w:rPr>
            </w:pPr>
            <w:r>
              <w:rPr>
                <w:rFonts w:ascii="Arial" w:cs="Arial" w:eastAsia="Arial" w:hAnsi="Arial"/>
                <w:sz w:val="18"/>
                <w:szCs w:val="18"/>
                <w:b w:val="1"/>
                <w:bCs w:val="1"/>
                <w:color w:val="auto"/>
                <w:w w:val="92"/>
              </w:rPr>
              <w:t>Reconciliation of GAAP Net income to Adjusted EBITDA</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24"/>
        </w:trPr>
        <w:tc>
          <w:tcPr>
            <w:tcW w:w="8280" w:type="dxa"/>
            <w:vAlign w:val="bottom"/>
            <w:gridSpan w:val="7"/>
          </w:tcPr>
          <w:p>
            <w:pPr>
              <w:jc w:val="center"/>
              <w:ind w:left="2870"/>
              <w:spacing w:after="0"/>
              <w:rPr>
                <w:sz w:val="20"/>
                <w:szCs w:val="20"/>
                <w:color w:val="auto"/>
              </w:rPr>
            </w:pPr>
            <w:r>
              <w:rPr>
                <w:rFonts w:ascii="Arial" w:cs="Arial" w:eastAsia="Arial" w:hAnsi="Arial"/>
                <w:sz w:val="18"/>
                <w:szCs w:val="18"/>
                <w:b w:val="1"/>
                <w:bCs w:val="1"/>
                <w:color w:val="auto"/>
                <w:w w:val="90"/>
              </w:rPr>
              <w:t>For the Three and Nine Months Ended September 30, 2022 and 2021</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24"/>
        </w:trPr>
        <w:tc>
          <w:tcPr>
            <w:tcW w:w="4680" w:type="dxa"/>
            <w:vAlign w:val="bottom"/>
          </w:tcPr>
          <w:p>
            <w:pPr>
              <w:spacing w:after="0"/>
              <w:rPr>
                <w:sz w:val="24"/>
                <w:szCs w:val="24"/>
                <w:color w:val="auto"/>
              </w:rPr>
            </w:pPr>
          </w:p>
        </w:tc>
        <w:tc>
          <w:tcPr>
            <w:tcW w:w="20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9"/>
              </w:rPr>
              <w:t>(In thousands of dollars)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81"/>
        </w:trPr>
        <w:tc>
          <w:tcPr>
            <w:tcW w:w="46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80" w:type="dxa"/>
            <w:vAlign w:val="bottom"/>
            <w:gridSpan w:val="2"/>
          </w:tcPr>
          <w:p>
            <w:pPr>
              <w:spacing w:after="0"/>
              <w:rPr>
                <w:sz w:val="7"/>
                <w:szCs w:val="7"/>
                <w:color w:val="auto"/>
              </w:rPr>
            </w:pPr>
          </w:p>
        </w:tc>
        <w:tc>
          <w:tcPr>
            <w:tcW w:w="158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80" w:type="dxa"/>
            <w:vAlign w:val="bottom"/>
            <w:gridSpan w:val="3"/>
          </w:tcPr>
          <w:p>
            <w:pPr>
              <w:spacing w:after="0"/>
              <w:rPr>
                <w:sz w:val="7"/>
                <w:szCs w:val="7"/>
                <w:color w:val="auto"/>
              </w:rPr>
            </w:pPr>
          </w:p>
        </w:tc>
      </w:tr>
      <w:tr>
        <w:trPr>
          <w:trHeight w:val="230"/>
        </w:trPr>
        <w:tc>
          <w:tcPr>
            <w:tcW w:w="46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160" w:type="dxa"/>
            <w:vAlign w:val="bottom"/>
            <w:gridSpan w:val="5"/>
            <w:shd w:val="clear" w:color="auto" w:fill="CCEEFF"/>
          </w:tcPr>
          <w:p>
            <w:pPr>
              <w:ind w:left="140"/>
              <w:spacing w:after="0"/>
              <w:rPr>
                <w:sz w:val="20"/>
                <w:szCs w:val="20"/>
                <w:color w:val="auto"/>
              </w:rPr>
            </w:pPr>
            <w:r>
              <w:rPr>
                <w:rFonts w:ascii="Arial" w:cs="Arial" w:eastAsia="Arial" w:hAnsi="Arial"/>
                <w:sz w:val="18"/>
                <w:szCs w:val="18"/>
                <w:b w:val="1"/>
                <w:bCs w:val="1"/>
                <w:color w:val="auto"/>
                <w:w w:val="98"/>
              </w:rPr>
              <w:t>Three Months Ended September 30,</w:t>
            </w:r>
          </w:p>
        </w:tc>
        <w:tc>
          <w:tcPr>
            <w:tcW w:w="2960" w:type="dxa"/>
            <w:vAlign w:val="bottom"/>
            <w:gridSpan w:val="4"/>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4"/>
              </w:rPr>
              <w:t>Nine Months Ended September 30,</w:t>
            </w:r>
          </w:p>
        </w:tc>
      </w:tr>
      <w:tr>
        <w:trPr>
          <w:trHeight w:val="223"/>
        </w:trPr>
        <w:tc>
          <w:tcPr>
            <w:tcW w:w="468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2021</w:t>
            </w: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773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560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Adjustments to reconcile net income to Adjusted EBITDA</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financing expense, net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5,659</w:t>
            </w: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w w:val="90"/>
              </w:rPr>
              <w:t>Net loss attributable to non-redeemable non-controlling interests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311"/>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Depreciation, amortization and accretion </w:t>
            </w:r>
            <w:r>
              <w:rPr>
                <w:rFonts w:ascii="Arial" w:cs="Arial" w:eastAsia="Arial" w:hAnsi="Arial"/>
                <w:sz w:val="23"/>
                <w:szCs w:val="23"/>
                <w:color w:val="auto"/>
                <w:vertAlign w:val="superscript"/>
              </w:rPr>
              <w:t>(1)</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7,732</w:t>
            </w:r>
          </w:p>
        </w:tc>
      </w:tr>
      <w:tr>
        <w:trPr>
          <w:trHeight w:val="310"/>
        </w:trPr>
        <w:tc>
          <w:tcPr>
            <w:tcW w:w="4680" w:type="dxa"/>
            <w:vAlign w:val="bottom"/>
          </w:tcPr>
          <w:p>
            <w:pPr>
              <w:ind w:left="20"/>
              <w:spacing w:after="0"/>
              <w:rPr>
                <w:sz w:val="20"/>
                <w:szCs w:val="20"/>
                <w:color w:val="auto"/>
              </w:rPr>
            </w:pPr>
            <w:r>
              <w:rPr>
                <w:rFonts w:ascii="Arial" w:cs="Arial" w:eastAsia="Arial" w:hAnsi="Arial"/>
                <w:sz w:val="18"/>
                <w:szCs w:val="18"/>
                <w:color w:val="auto"/>
              </w:rPr>
              <w:t xml:space="preserve">Unrealized loss on derivative instruments </w:t>
            </w:r>
            <w:r>
              <w:rPr>
                <w:rFonts w:ascii="Arial" w:cs="Arial" w:eastAsia="Arial" w:hAnsi="Arial"/>
                <w:sz w:val="23"/>
                <w:szCs w:val="23"/>
                <w:color w:val="auto"/>
                <w:vertAlign w:val="superscript"/>
              </w:rPr>
              <w:t>(2)</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2,834</w:t>
            </w:r>
          </w:p>
        </w:tc>
      </w:tr>
      <w:tr>
        <w:trPr>
          <w:trHeight w:val="311"/>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Non-cash charges </w:t>
            </w:r>
            <w:r>
              <w:rPr>
                <w:rFonts w:ascii="Arial" w:cs="Arial" w:eastAsia="Arial" w:hAnsi="Arial"/>
                <w:sz w:val="23"/>
                <w:szCs w:val="23"/>
                <w:color w:val="auto"/>
                <w:vertAlign w:val="superscript"/>
              </w:rPr>
              <w:t>(3)</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310"/>
        </w:trPr>
        <w:tc>
          <w:tcPr>
            <w:tcW w:w="4680" w:type="dxa"/>
            <w:vAlign w:val="bottom"/>
          </w:tcPr>
          <w:p>
            <w:pPr>
              <w:ind w:left="20"/>
              <w:spacing w:after="0"/>
              <w:rPr>
                <w:sz w:val="20"/>
                <w:szCs w:val="20"/>
                <w:color w:val="auto"/>
              </w:rPr>
            </w:pPr>
            <w:r>
              <w:rPr>
                <w:rFonts w:ascii="Arial" w:cs="Arial" w:eastAsia="Arial" w:hAnsi="Arial"/>
                <w:sz w:val="18"/>
                <w:szCs w:val="18"/>
                <w:color w:val="auto"/>
              </w:rPr>
              <w:t xml:space="preserve">Transaction costs and one time non-recurring charges </w:t>
            </w:r>
            <w:r>
              <w:rPr>
                <w:rFonts w:ascii="Arial" w:cs="Arial" w:eastAsia="Arial" w:hAnsi="Arial"/>
                <w:sz w:val="23"/>
                <w:szCs w:val="23"/>
                <w:color w:val="auto"/>
                <w:vertAlign w:val="superscript"/>
              </w:rPr>
              <w:t>(4)</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8,169</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10,501</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1,779</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Major maintenance for Renewable Power</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4,756</w:t>
            </w: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w w:val="91"/>
              </w:rPr>
              <w:t>Gain on repayment of Note receivable and reversal of liability to</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70"/>
        </w:trPr>
        <w:tc>
          <w:tcPr>
            <w:tcW w:w="4680" w:type="dxa"/>
            <w:vAlign w:val="bottom"/>
          </w:tcPr>
          <w:p>
            <w:pPr>
              <w:ind w:left="20"/>
              <w:spacing w:after="0"/>
              <w:rPr>
                <w:sz w:val="20"/>
                <w:szCs w:val="20"/>
                <w:color w:val="auto"/>
              </w:rPr>
            </w:pPr>
            <w:r>
              <w:rPr>
                <w:rFonts w:ascii="Arial" w:cs="Arial" w:eastAsia="Arial" w:hAnsi="Arial"/>
                <w:sz w:val="18"/>
                <w:szCs w:val="18"/>
                <w:color w:val="auto"/>
              </w:rPr>
              <w:t xml:space="preserve">non-redeemable non-controlling interest </w:t>
            </w:r>
            <w:r>
              <w:rPr>
                <w:rFonts w:ascii="Arial" w:cs="Arial" w:eastAsia="Arial" w:hAnsi="Arial"/>
                <w:sz w:val="23"/>
                <w:szCs w:val="23"/>
                <w:color w:val="auto"/>
                <w:vertAlign w:val="superscript"/>
              </w:rPr>
              <w:t>(5)</w:t>
            </w: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(5,760)</w:t>
            </w:r>
          </w:p>
        </w:tc>
        <w:tc>
          <w:tcPr>
            <w:tcW w:w="100" w:type="dxa"/>
            <w:vAlign w:val="bottom"/>
          </w:tcPr>
          <w:p>
            <w:pPr>
              <w:spacing w:after="0"/>
              <w:rPr>
                <w:sz w:val="23"/>
                <w:szCs w:val="23"/>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(5,760)</w:t>
            </w: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xml:space="preserve">Second quarter gas in storage with forward sales contract </w:t>
            </w:r>
            <w:r>
              <w:rPr>
                <w:rFonts w:ascii="Arial" w:cs="Arial" w:eastAsia="Arial" w:hAnsi="Arial"/>
                <w:sz w:val="23"/>
                <w:szCs w:val="23"/>
                <w:color w:val="auto"/>
                <w:w w:val="96"/>
                <w:vertAlign w:val="superscript"/>
              </w:rPr>
              <w:t>(6)</w:t>
            </w:r>
          </w:p>
        </w:tc>
        <w:tc>
          <w:tcPr>
            <w:tcW w:w="4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11"/>
        </w:trPr>
        <w:tc>
          <w:tcPr>
            <w:tcW w:w="4680" w:type="dxa"/>
            <w:vAlign w:val="bottom"/>
          </w:tcPr>
          <w:p>
            <w:pPr>
              <w:ind w:left="20"/>
              <w:spacing w:after="0"/>
              <w:rPr>
                <w:sz w:val="20"/>
                <w:szCs w:val="20"/>
                <w:color w:val="auto"/>
              </w:rPr>
            </w:pPr>
            <w:r>
              <w:rPr>
                <w:rFonts w:ascii="Arial" w:cs="Arial" w:eastAsia="Arial" w:hAnsi="Arial"/>
                <w:sz w:val="18"/>
                <w:szCs w:val="18"/>
                <w:color w:val="auto"/>
              </w:rPr>
              <w:t xml:space="preserve">Third quarter gas in storage with forward sales contract </w:t>
            </w:r>
            <w:r>
              <w:rPr>
                <w:rFonts w:ascii="Arial" w:cs="Arial" w:eastAsia="Arial" w:hAnsi="Arial"/>
                <w:sz w:val="23"/>
                <w:szCs w:val="23"/>
                <w:color w:val="auto"/>
                <w:vertAlign w:val="superscript"/>
              </w:rPr>
              <w:t>(6)</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6,598</w:t>
            </w:r>
          </w:p>
        </w:tc>
        <w:tc>
          <w:tcPr>
            <w:tcW w:w="100" w:type="dxa"/>
            <w:vAlign w:val="bottom"/>
          </w:tcPr>
          <w:p>
            <w:pPr>
              <w:spacing w:after="0"/>
              <w:rPr>
                <w:sz w:val="24"/>
                <w:szCs w:val="24"/>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6,598</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acquisition of equity method investments</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(19,818)</w:t>
            </w:r>
          </w:p>
        </w:tc>
      </w:tr>
      <w:tr>
        <w:trPr>
          <w:trHeight w:val="223"/>
        </w:trPr>
        <w:tc>
          <w:tcPr>
            <w:tcW w:w="46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4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25,462</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11,079</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40,593</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22,785</w:t>
            </w:r>
          </w:p>
        </w:tc>
      </w:tr>
      <w:tr>
        <w:trPr>
          <w:trHeight w:val="20"/>
        </w:trPr>
        <w:tc>
          <w:tcPr>
            <w:tcW w:w="4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Includes depreciation, amortization and accretion on equity method investments.</w:t>
      </w:r>
    </w:p>
    <w:p>
      <w:pPr>
        <w:spacing w:after="0" w:line="201" w:lineRule="exact"/>
        <w:rPr>
          <w:rFonts w:ascii="Arial" w:cs="Arial" w:eastAsia="Arial" w:hAnsi="Arial"/>
          <w:sz w:val="21"/>
          <w:szCs w:val="21"/>
          <w:color w:val="auto"/>
          <w:vertAlign w:val="superscript"/>
        </w:rPr>
      </w:pPr>
    </w:p>
    <w:p>
      <w:pPr>
        <w:ind w:right="280" w:firstLine="8"/>
        <w:spacing w:after="0" w:line="228" w:lineRule="auto"/>
        <w:tabs>
          <w:tab w:leader="none" w:pos="181"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Unrealized loss on derivative instruments includes change in fair value of interest rate swaps, commodity swaps, earnout liabilities, warrant liabilities and put option on a forward purchase agreement.</w:t>
      </w:r>
    </w:p>
    <w:p>
      <w:pPr>
        <w:spacing w:after="0" w:line="189" w:lineRule="exact"/>
        <w:rPr>
          <w:rFonts w:ascii="Arial" w:cs="Arial" w:eastAsia="Arial" w:hAnsi="Arial"/>
          <w:sz w:val="21"/>
          <w:szCs w:val="21"/>
          <w:color w:val="auto"/>
          <w:vertAlign w:val="superscript"/>
        </w:rPr>
      </w:pPr>
    </w:p>
    <w:p>
      <w:pPr>
        <w:ind w:right="440" w:firstLine="8"/>
        <w:spacing w:after="0" w:line="230" w:lineRule="auto"/>
        <w:tabs>
          <w:tab w:leader="none" w:pos="198" w:val="left"/>
        </w:tabs>
        <w:numPr>
          <w:ilvl w:val="0"/>
          <w:numId w:val="18"/>
        </w:numPr>
        <w:rPr>
          <w:rFonts w:ascii="Arial" w:cs="Arial" w:eastAsia="Arial" w:hAnsi="Arial"/>
          <w:sz w:val="23"/>
          <w:szCs w:val="23"/>
          <w:color w:val="auto"/>
          <w:vertAlign w:val="superscript"/>
        </w:rPr>
      </w:pPr>
      <w:r>
        <w:rPr>
          <w:rFonts w:ascii="Arial" w:cs="Arial" w:eastAsia="Arial" w:hAnsi="Arial"/>
          <w:sz w:val="15"/>
          <w:szCs w:val="15"/>
          <w:color w:val="auto"/>
        </w:rPr>
        <w:t>Non-cash charges includes stock based compensation expense, certain expenses included in selling, general and administrative expenses relating to employee benefit accruals, inventory write down charges included in cost of sales - RNG fuel and loss on disposal of assets.</w:t>
      </w:r>
    </w:p>
    <w:p>
      <w:pPr>
        <w:spacing w:after="0" w:line="188" w:lineRule="exact"/>
        <w:rPr>
          <w:rFonts w:ascii="Arial" w:cs="Arial" w:eastAsia="Arial" w:hAnsi="Arial"/>
          <w:sz w:val="23"/>
          <w:szCs w:val="23"/>
          <w:color w:val="auto"/>
          <w:vertAlign w:val="superscript"/>
        </w:rPr>
      </w:pPr>
    </w:p>
    <w:p>
      <w:pPr>
        <w:jc w:val="both"/>
        <w:ind w:firstLine="8"/>
        <w:spacing w:after="0" w:line="217" w:lineRule="auto"/>
        <w:tabs>
          <w:tab w:leader="none" w:pos="212"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Transaction costs relate to consulting and professional fees incurred in connection with the Business Combination that could not be capitalized per GAAP. One-time non-recurring charges include certain expenses related to development expenses on our RNG facilities incurred during construction phase that could not be capitalized per GAAP.</w:t>
      </w:r>
    </w:p>
    <w:p>
      <w:pPr>
        <w:spacing w:after="0" w:line="156" w:lineRule="exact"/>
        <w:rPr>
          <w:rFonts w:ascii="Arial" w:cs="Arial" w:eastAsia="Arial" w:hAnsi="Arial"/>
          <w:sz w:val="25"/>
          <w:szCs w:val="25"/>
          <w:color w:val="auto"/>
          <w:vertAlign w:val="superscript"/>
        </w:rPr>
      </w:pPr>
    </w:p>
    <w:p>
      <w:pPr>
        <w:ind w:left="200" w:hanging="192"/>
        <w:spacing w:after="0"/>
        <w:tabs>
          <w:tab w:leader="none" w:pos="200" w:val="left"/>
        </w:tabs>
        <w:numPr>
          <w:ilvl w:val="0"/>
          <w:numId w:val="18"/>
        </w:numPr>
        <w:rPr>
          <w:rFonts w:ascii="Arial" w:cs="Arial" w:eastAsia="Arial" w:hAnsi="Arial"/>
          <w:sz w:val="23"/>
          <w:szCs w:val="23"/>
          <w:color w:val="auto"/>
          <w:vertAlign w:val="superscript"/>
        </w:rPr>
      </w:pPr>
      <w:r>
        <w:rPr>
          <w:rFonts w:ascii="Arial" w:cs="Arial" w:eastAsia="Arial" w:hAnsi="Arial"/>
          <w:sz w:val="15"/>
          <w:szCs w:val="15"/>
          <w:color w:val="auto"/>
        </w:rPr>
        <w:t>Gain on repayment of Note receivable excludes $0.5 million of prepayment penalty received in cash.</w:t>
      </w:r>
    </w:p>
    <w:p>
      <w:pPr>
        <w:spacing w:after="0" w:line="215" w:lineRule="exact"/>
        <w:rPr>
          <w:rFonts w:ascii="Arial" w:cs="Arial" w:eastAsia="Arial" w:hAnsi="Arial"/>
          <w:sz w:val="23"/>
          <w:szCs w:val="23"/>
          <w:color w:val="auto"/>
          <w:vertAlign w:val="superscript"/>
        </w:rPr>
      </w:pPr>
    </w:p>
    <w:p>
      <w:pPr>
        <w:ind w:right="120" w:firstLine="8"/>
        <w:spacing w:after="0" w:line="291" w:lineRule="auto"/>
        <w:tabs>
          <w:tab w:leader="none" w:pos="198" w:val="left"/>
        </w:tabs>
        <w:numPr>
          <w:ilvl w:val="0"/>
          <w:numId w:val="18"/>
        </w:numPr>
        <w:rPr>
          <w:rFonts w:ascii="Arial" w:cs="Arial" w:eastAsia="Arial" w:hAnsi="Arial"/>
          <w:sz w:val="23"/>
          <w:szCs w:val="23"/>
          <w:color w:val="auto"/>
          <w:vertAlign w:val="superscript"/>
        </w:rPr>
      </w:pPr>
      <w:r>
        <w:rPr>
          <w:rFonts w:ascii="Arial" w:cs="Arial" w:eastAsia="Arial" w:hAnsi="Arial"/>
          <w:sz w:val="15"/>
          <w:szCs w:val="15"/>
          <w:color w:val="auto"/>
        </w:rPr>
        <w:t>Represents stored biogas anticipated to generate approximately 2.4 million RINs upon completion of certification. These RINs will be monetized under forward sales contracts as they are generated at a weighted-average price of $3.20. Of the $7.5 million that is anticipated to be generated from these RIN sales, $6.5 million is allocated to third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01" w:right="339" w:bottom="1440" w:gutter="0" w:footer="0" w:header="0"/>
        </w:sectPr>
      </w:pPr>
    </w:p>
    <w:bookmarkStart w:id="26" w:name="page27"/>
    <w:bookmarkEnd w:id="26"/>
    <w:p>
      <w:pPr>
        <w:spacing w:after="0" w:line="293" w:lineRule="auto"/>
        <w:rPr>
          <w:sz w:val="20"/>
          <w:szCs w:val="20"/>
          <w:color w:val="auto"/>
        </w:rPr>
      </w:pPr>
      <w:r>
        <w:rPr>
          <w:rFonts w:ascii="Arial" w:cs="Arial" w:eastAsia="Arial" w:hAnsi="Arial"/>
          <w:sz w:val="18"/>
          <w:szCs w:val="18"/>
          <w:color w:val="auto"/>
        </w:rPr>
        <w:t>quarter Adjusted EBITDA and represents the volume of the stored biogas produced in the third quarter. The remainder would have been allocated to the second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19</w:t>
      </w:r>
    </w:p>
    <w:sectPr>
      <w:pgSz w:w="11900" w:h="16838" w:orient="portrait"/>
      <w:cols w:equalWidth="0" w:num="1">
        <w:col w:w="10960"/>
      </w:cols>
      <w:pgMar w:left="320" w:top="143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bullet"/>
      <w:start w:val="1"/>
    </w:lvl>
  </w:abstractNum>
  <w:abstractNum w:abstractNumId="4">
    <w:nsid w:val="1190CDE7"/>
    <w:multiLevelType w:val="hybridMultilevel"/>
    <w:lvl w:ilvl="0">
      <w:lvlJc w:val="left"/>
      <w:lvlText w:val="2"/>
      <w:numFmt w:val="bullet"/>
      <w:start w:val="1"/>
    </w:lvl>
  </w:abstractNum>
  <w:abstractNum w:abstractNumId="5">
    <w:nsid w:val="66EF438D"/>
    <w:multiLevelType w:val="hybridMultilevel"/>
    <w:lvl w:ilvl="0">
      <w:lvlJc w:val="left"/>
      <w:lvlText w:val="3"/>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4"/>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5"/>
      <w:numFmt w:val="bullet"/>
      <w:start w:val="1"/>
    </w:lvl>
  </w:abstractNum>
  <w:abstractNum w:abstractNumId="12">
    <w:nsid w:val="41A7C4C9"/>
    <w:multiLevelType w:val="hybridMultilevel"/>
    <w:lvl w:ilvl="0">
      <w:lvlJc w:val="left"/>
      <w:lvlText w:val="6"/>
      <w:numFmt w:val="bullet"/>
      <w:start w:val="1"/>
    </w:lvl>
  </w:abstractNum>
  <w:abstractNum w:abstractNumId="13">
    <w:nsid w:val="6B68079A"/>
    <w:multiLevelType w:val="hybridMultilevel"/>
    <w:lvl w:ilvl="0">
      <w:lvlJc w:val="left"/>
      <w:lvlText w:val="7"/>
      <w:numFmt w:val="bullet"/>
      <w:start w:val="1"/>
    </w:lvl>
  </w:abstractNum>
  <w:abstractNum w:abstractNumId="14">
    <w:nsid w:val="4E6AFB66"/>
    <w:multiLevelType w:val="hybridMultilevel"/>
    <w:lvl w:ilvl="0">
      <w:lvlJc w:val="left"/>
      <w:lvlText w:val="8"/>
      <w:numFmt w:val="bullet"/>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2"/>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2022-11-16T05:11:30Z</dcterms:created>
  <dcterms:modified xsi:type="dcterms:W3CDTF">2022-11-16T05:11:30Z</dcterms:modified>
</cp:coreProperties>
</file>