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Nisar Nadeem</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 STRAWBERRY LANE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OPAL Fuels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OPAL</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12/14/2022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WARREN</w:t>
            </w:r>
          </w:p>
        </w:tc>
        <w:tc>
          <w:tcPr>
            <w:tcW w:w="1060" w:type="dxa"/>
            <w:vAlign w:val="bottom"/>
          </w:tcPr>
          <w:p>
            <w:pPr>
              <w:ind w:left="240"/>
              <w:spacing w:after="0"/>
              <w:rPr>
                <w:sz w:val="20"/>
                <w:szCs w:val="20"/>
                <w:color w:val="auto"/>
              </w:rPr>
            </w:pPr>
            <w:r>
              <w:rPr>
                <w:rFonts w:ascii="Arial" w:cs="Arial" w:eastAsia="Arial" w:hAnsi="Arial"/>
                <w:sz w:val="17"/>
                <w:szCs w:val="17"/>
                <w:color w:val="0000FF"/>
              </w:rPr>
              <w:t>NJ</w:t>
            </w:r>
          </w:p>
        </w:tc>
        <w:tc>
          <w:tcPr>
            <w:tcW w:w="1600" w:type="dxa"/>
            <w:vAlign w:val="bottom"/>
          </w:tcPr>
          <w:p>
            <w:pPr>
              <w:ind w:left="400"/>
              <w:spacing w:after="0"/>
              <w:rPr>
                <w:sz w:val="20"/>
                <w:szCs w:val="20"/>
                <w:color w:val="auto"/>
              </w:rPr>
            </w:pPr>
            <w:r>
              <w:rPr>
                <w:rFonts w:ascii="Arial" w:cs="Arial" w:eastAsia="Arial" w:hAnsi="Arial"/>
                <w:sz w:val="17"/>
                <w:szCs w:val="17"/>
                <w:color w:val="0000FF"/>
              </w:rPr>
              <w:t>07059</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Arial" w:cs="Arial" w:eastAsia="Arial" w:hAnsi="Arial"/>
                <w:sz w:val="17"/>
                <w:szCs w:val="17"/>
                <w:color w:val="0000FF"/>
              </w:rPr>
              <w:t>12/14/2022</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P</w:t>
            </w: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w w:val="99"/>
              </w:rPr>
              <w:t>10,000</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7.24</w:t>
            </w:r>
            <w:r>
              <w:rPr>
                <w:rFonts w:ascii="Arial" w:cs="Arial" w:eastAsia="Arial" w:hAnsi="Arial"/>
                <w:sz w:val="22"/>
                <w:szCs w:val="22"/>
                <w:color w:val="008000"/>
                <w:w w:val="95"/>
                <w:vertAlign w:val="superscript"/>
              </w:rPr>
              <w:t>(1)</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10,000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60" w:firstLine="7"/>
        <w:spacing w:after="0" w:line="319" w:lineRule="auto"/>
        <w:tabs>
          <w:tab w:leader="none" w:pos="173"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Represents a weighted average purchase price per share. These shares were purchased in multiple tranches at prices ranging between $6.98 and $7.30. The reporting person undertakes to the Issuer or the Staff of the Securities and Exchange Commission, upon request, to provide full information regarding the number of shares purchased at each separate price within the range set forth in this footnote.</w:t>
      </w:r>
    </w:p>
    <w:p>
      <w:pPr>
        <w:ind w:left="4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John Coghlin as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12/16/2022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7382" TargetMode="External"/><Relationship Id="rId13"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2022-12-16T15:12:04Z</dcterms:created>
  <dcterms:modified xsi:type="dcterms:W3CDTF">2022-12-16T15:12:04Z</dcterms:modified>
</cp:coreProperties>
</file>