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5897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89724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Unger David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ONE NORTH LEXINGTON AVE, 14TH FLOOR</w:t>
      </w:r>
    </w:p>
    <w:p>
      <w:pPr>
        <w:spacing w:after="0" w:line="338"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2540" w:val="left"/>
        </w:tabs>
        <w:rPr>
          <w:sz w:val="20"/>
          <w:szCs w:val="20"/>
          <w:color w:val="auto"/>
        </w:rPr>
      </w:pPr>
      <w:r>
        <w:rPr>
          <w:rFonts w:ascii="Times New Roman" w:cs="Times New Roman" w:eastAsia="Times New Roman" w:hAnsi="Times New Roman"/>
          <w:sz w:val="17"/>
          <w:szCs w:val="17"/>
          <w:color w:val="0000FF"/>
        </w:rPr>
        <w:t>WHITE PLAINS NY</w:t>
      </w:r>
      <w:r>
        <w:rPr>
          <w:sz w:val="20"/>
          <w:szCs w:val="20"/>
          <w:color w:val="auto"/>
        </w:rPr>
        <w:tab/>
      </w:r>
      <w:r>
        <w:rPr>
          <w:rFonts w:ascii="Times New Roman" w:cs="Times New Roman" w:eastAsia="Times New Roman" w:hAnsi="Times New Roman"/>
          <w:sz w:val="16"/>
          <w:szCs w:val="16"/>
          <w:color w:val="0000FF"/>
        </w:rPr>
        <w:t>10601</w:t>
      </w:r>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OPAL Fuels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OPAL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240" w:type="dxa"/>
            <w:vAlign w:val="bottom"/>
            <w:tcBorders>
              <w:bottom w:val="single" w:sz="8" w:color="0000EE"/>
            </w:tcBorders>
          </w:tcPr>
          <w:p>
            <w:pPr>
              <w:spacing w:after="0"/>
              <w:rPr>
                <w:sz w:val="3"/>
                <w:szCs w:val="3"/>
                <w:color w:val="auto"/>
              </w:rPr>
            </w:pPr>
          </w:p>
        </w:tc>
        <w:tc>
          <w:tcPr>
            <w:tcW w:w="2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03/31/2024</w:t>
            </w: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Executive Vice President</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460" w:space="3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74"/>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jc w:val="center"/>
              <w:ind w:right="18"/>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694"/>
              <w:spacing w:after="0"/>
              <w:rPr>
                <w:sz w:val="20"/>
                <w:szCs w:val="20"/>
                <w:color w:val="auto"/>
              </w:rPr>
            </w:pPr>
            <w:r>
              <w:rPr>
                <w:rFonts w:ascii="Times New Roman" w:cs="Times New Roman" w:eastAsia="Times New Roman" w:hAnsi="Times New Roman"/>
                <w:sz w:val="17"/>
                <w:szCs w:val="17"/>
                <w:color w:val="0000FF"/>
                <w:w w:val="98"/>
              </w:rPr>
              <w:t>03/31/2024</w:t>
            </w: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80,704</w:t>
            </w:r>
          </w:p>
        </w:tc>
        <w:tc>
          <w:tcPr>
            <w:tcW w:w="6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94"/>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260" w:type="dxa"/>
            <w:vAlign w:val="bottom"/>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87,099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94"/>
              <w:spacing w:after="0"/>
              <w:rPr>
                <w:sz w:val="20"/>
                <w:szCs w:val="20"/>
                <w:color w:val="auto"/>
              </w:rPr>
            </w:pPr>
            <w:r>
              <w:rPr>
                <w:rFonts w:ascii="Times New Roman" w:cs="Times New Roman" w:eastAsia="Times New Roman" w:hAnsi="Times New Roman"/>
                <w:sz w:val="17"/>
                <w:szCs w:val="17"/>
                <w:color w:val="0000FF"/>
                <w:w w:val="98"/>
              </w:rPr>
              <w:t>03/31/2024</w:t>
            </w:r>
          </w:p>
        </w:tc>
        <w:tc>
          <w:tcPr>
            <w:tcW w:w="5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29,777</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5.02</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57,322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 (Instr. 3</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and 4)</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70,565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03/31/2024</w:t>
            </w:r>
          </w:p>
        </w:tc>
        <w:tc>
          <w:tcPr>
            <w:tcW w:w="1080" w:type="dxa"/>
            <w:vAlign w:val="bottom"/>
          </w:tcPr>
          <w:p>
            <w:pPr>
              <w:spacing w:after="0"/>
              <w:rPr>
                <w:sz w:val="12"/>
                <w:szCs w:val="12"/>
                <w:color w:val="auto"/>
              </w:rPr>
            </w:pPr>
          </w:p>
        </w:tc>
        <w:tc>
          <w:tcPr>
            <w:tcW w:w="760" w:type="dxa"/>
            <w:vAlign w:val="bottom"/>
          </w:tcPr>
          <w:p>
            <w:pPr>
              <w:jc w:val="center"/>
              <w:ind w:right="28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70,565</w:t>
            </w:r>
          </w:p>
        </w:tc>
        <w:tc>
          <w:tcPr>
            <w:tcW w:w="5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312,675</w:t>
            </w:r>
          </w:p>
        </w:tc>
        <w:tc>
          <w:tcPr>
            <w:tcW w:w="66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80,704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03/31/2024</w:t>
            </w:r>
          </w:p>
        </w:tc>
        <w:tc>
          <w:tcPr>
            <w:tcW w:w="1080" w:type="dxa"/>
            <w:vAlign w:val="bottom"/>
          </w:tcPr>
          <w:p>
            <w:pPr>
              <w:spacing w:after="0"/>
              <w:rPr>
                <w:sz w:val="12"/>
                <w:szCs w:val="12"/>
                <w:color w:val="auto"/>
              </w:rPr>
            </w:pPr>
          </w:p>
        </w:tc>
        <w:tc>
          <w:tcPr>
            <w:tcW w:w="760" w:type="dxa"/>
            <w:vAlign w:val="bottom"/>
          </w:tcPr>
          <w:p>
            <w:pPr>
              <w:jc w:val="center"/>
              <w:ind w:right="280"/>
              <w:spacing w:after="0" w:line="140" w:lineRule="exact"/>
              <w:rPr>
                <w:sz w:val="20"/>
                <w:szCs w:val="20"/>
                <w:color w:val="auto"/>
              </w:rPr>
            </w:pPr>
            <w:r>
              <w:rPr>
                <w:rFonts w:ascii="Times New Roman" w:cs="Times New Roman" w:eastAsia="Times New Roman" w:hAnsi="Times New Roman"/>
                <w:sz w:val="13"/>
                <w:szCs w:val="13"/>
                <w:color w:val="0000FF"/>
                <w:w w:val="86"/>
              </w:rPr>
              <w:t>M</w:t>
            </w:r>
          </w:p>
        </w:tc>
        <w:tc>
          <w:tcPr>
            <w:tcW w:w="520" w:type="dxa"/>
            <w:vAlign w:val="bottom"/>
          </w:tcPr>
          <w:p>
            <w:pPr>
              <w:spacing w:after="0"/>
              <w:rPr>
                <w:sz w:val="12"/>
                <w:szCs w:val="12"/>
                <w:color w:val="auto"/>
              </w:rPr>
            </w:pPr>
          </w:p>
        </w:tc>
        <w:tc>
          <w:tcPr>
            <w:tcW w:w="54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80,704</w:t>
            </w:r>
          </w:p>
        </w:tc>
        <w:tc>
          <w:tcPr>
            <w:tcW w:w="7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231,971</w:t>
            </w:r>
          </w:p>
        </w:tc>
        <w:tc>
          <w:tcPr>
            <w:tcW w:w="66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41,177</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5.02</w:t>
            </w: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03/31/2024</w:t>
            </w:r>
          </w:p>
        </w:tc>
        <w:tc>
          <w:tcPr>
            <w:tcW w:w="1080" w:type="dxa"/>
            <w:vAlign w:val="bottom"/>
          </w:tcPr>
          <w:p>
            <w:pPr>
              <w:spacing w:after="0"/>
              <w:rPr>
                <w:sz w:val="6"/>
                <w:szCs w:val="6"/>
                <w:color w:val="auto"/>
              </w:rPr>
            </w:pPr>
          </w:p>
        </w:tc>
        <w:tc>
          <w:tcPr>
            <w:tcW w:w="760" w:type="dxa"/>
            <w:vAlign w:val="bottom"/>
            <w:vMerge w:val="restart"/>
          </w:tcPr>
          <w:p>
            <w:pPr>
              <w:jc w:val="center"/>
              <w:ind w:right="28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line="140" w:lineRule="exact"/>
              <w:rPr>
                <w:sz w:val="20"/>
                <w:szCs w:val="20"/>
                <w:color w:val="auto"/>
              </w:rPr>
            </w:pPr>
            <w:r>
              <w:rPr>
                <w:rFonts w:ascii="Times New Roman" w:cs="Times New Roman" w:eastAsia="Times New Roman" w:hAnsi="Times New Roman"/>
                <w:sz w:val="13"/>
                <w:szCs w:val="13"/>
                <w:color w:val="0000FF"/>
              </w:rPr>
              <w:t>41,177</w:t>
            </w:r>
          </w:p>
        </w:tc>
        <w:tc>
          <w:tcPr>
            <w:tcW w:w="5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03/31/2034</w:t>
            </w:r>
          </w:p>
        </w:tc>
        <w:tc>
          <w:tcPr>
            <w:tcW w:w="64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41,177</w:t>
            </w:r>
          </w:p>
        </w:tc>
        <w:tc>
          <w:tcPr>
            <w:tcW w:w="660" w:type="dxa"/>
            <w:vAlign w:val="bottom"/>
            <w:vMerge w:val="restart"/>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-2604770</wp:posOffset>
            </wp:positionV>
            <wp:extent cx="28575" cy="2609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6098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6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Class A common stock. This transaction represents the settlement of restricted stock units in shares of Class A common stock on their scheduled vesting date.</w:t>
      </w:r>
    </w:p>
    <w:p>
      <w:pPr>
        <w:spacing w:after="0" w:line="19" w:lineRule="exact"/>
        <w:rPr>
          <w:rFonts w:ascii="Times New Roman" w:cs="Times New Roman" w:eastAsia="Times New Roman" w:hAnsi="Times New Roman"/>
          <w:sz w:val="13"/>
          <w:szCs w:val="13"/>
          <w:color w:val="008000"/>
        </w:rPr>
      </w:pPr>
    </w:p>
    <w:p>
      <w:pPr>
        <w:ind w:left="40" w:right="2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shares held by the Company to satisfy tax withholding requirements on vesting of restricted stock units. The total value of securities withheld was based on a price of $5.02 per share, the closing price of Class A common stock on March 28, 2024.</w:t>
      </w:r>
    </w:p>
    <w:p>
      <w:pPr>
        <w:spacing w:after="0" w:line="19" w:lineRule="exact"/>
        <w:rPr>
          <w:rFonts w:ascii="Times New Roman" w:cs="Times New Roman" w:eastAsia="Times New Roman" w:hAnsi="Times New Roman"/>
          <w:sz w:val="13"/>
          <w:szCs w:val="13"/>
          <w:color w:val="008000"/>
        </w:rPr>
      </w:pPr>
    </w:p>
    <w:p>
      <w:pPr>
        <w:ind w:left="40" w:right="38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was granted restricted stock units ("RSUs") pursuant to the terms under the Issuer's 2022 Omnibus Equity Incentive Plan (the "Plan"), which represent a contingent right to receive one share of common stock for each RSU. 80,704 RSUs vested on March 31, 2024, 104,225 RSUs are scheduled to vest on March 31, 2025, 104,225 RSUs on March 31, 2026 and 23,521 RSUs on March 31, 2027.</w:t>
      </w:r>
    </w:p>
    <w:p>
      <w:pPr>
        <w:jc w:val="both"/>
        <w:ind w:left="40" w:right="32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an option to purchase shares of the Issuer's Class A common stock (the "Option") pursuant to the terms under the Plan at an exercise price of $5.02 per share, which was the closing price per share of the Issuer's Class A common stock on March 28, 2024, as quoted on the Nasdaq Stock Market. The Option vests in three (3) equal installments on each of the following dates: (i) March 31, 2025, (ii) March 31, 2026, and (iii) March 31, 2027, provided, that the Reporting Person continues to provide services to the Issuer through the applicable vesting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7" w:lineRule="auto"/>
        <w:rPr>
          <w:sz w:val="20"/>
          <w:szCs w:val="20"/>
          <w:color w:val="auto"/>
        </w:rPr>
      </w:pPr>
      <w:r>
        <w:rPr>
          <w:rFonts w:ascii="Times New Roman" w:cs="Times New Roman" w:eastAsia="Times New Roman" w:hAnsi="Times New Roman"/>
          <w:sz w:val="17"/>
          <w:szCs w:val="17"/>
          <w:color w:val="0000FF"/>
        </w:rPr>
        <w:t xml:space="preserve">/s/ John Coghlin as Attorney-in- </w:t>
      </w:r>
      <w:r>
        <w:rPr>
          <w:rFonts w:ascii="Times New Roman" w:cs="Times New Roman" w:eastAsia="Times New Roman" w:hAnsi="Times New Roman"/>
          <w:sz w:val="33"/>
          <w:szCs w:val="33"/>
          <w:color w:val="0000FF"/>
          <w:vertAlign w:val="subscript"/>
        </w:rPr>
        <w:t>04/02/2024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53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180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32698"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2024-04-02T06:09:20Z</dcterms:created>
  <dcterms:modified xsi:type="dcterms:W3CDTF">2024-04-02T06:09:20Z</dcterms:modified>
</cp:coreProperties>
</file>