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753" w:right="0" w:hanging="0"/>
        <w:jc w:val="right"/>
        <w:rPr>
          <w:rFonts w:ascii="Times New Roman;Times;Serif" w:hAnsi="Times New Roman;Times;Serif"/>
          <w:b/>
          <w:i w:val="false"/>
          <w:caps w:val="false"/>
          <w:smallCaps w:val="false"/>
          <w:sz w:val="20"/>
        </w:rPr>
      </w:pPr>
      <w:bookmarkStart w:id="0" w:name="ea188644-424b3_opalfuels.htm"/>
      <w:bookmarkStart w:id="1" w:name="ksea188644424b3_opalfuels"/>
      <w:bookmarkEnd w:id="0"/>
      <w:bookmarkEnd w:id="1"/>
      <w:r>
        <w:rPr>
          <w:rFonts w:ascii="Times New Roman;Times;Serif" w:hAnsi="Times New Roman;Times;Serif"/>
          <w:b/>
          <w:i w:val="false"/>
          <w:caps w:val="false"/>
          <w:smallCaps w:val="false"/>
          <w:sz w:val="20"/>
        </w:rPr>
        <w:t>Filed Pursuant to Rule 424(b)(3)</w:t>
        <w:br/>
        <w:t>Registration No. 333-273584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September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146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Market Issuance Sales Agreement, dated November 17, 2023, (the “Sales Agreement”), with B. Riley Securities, Inc. (“B. Riley Securities”), Cantor Fitzgerald &amp; Co. (“Cantor”) and Stifel, Nicolaus &amp; Company, Incorporated (“Stifel”) relating to shares of our Class A common stock, $0.0001 par value per share (“Class A common stock”), offered by this prospectus supplement and the accompanying prospectus. We refer to each of B. Riley Securities, Cantor and Stifel as a “sales agent” and collectively as the “sales agents.” In accordance with the terms of the Sales Agreement, we may offer and sell shares of our Class A common stock under this prospectus supplement having an aggregate offering price of up to $75,000,000, from time to time through or to any sales agent, as sales agent or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“OPAL.” On November 16, 2023, the last reported sale price of our Class A common stock was $6.19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of our Class A common stock under this prospectus supplement, if any, may be made by any method deemed to be an “at the market offering” as defined in Rule 415(a)(4) promulgated under the Securities Act of 1933, as amended (the “Securities Act”). The sales agents are not required to sell any specific number of shares of our common stock. The sales agents have agreed to use their commercially reasonable efforts consistent with their normal trading and sales practices, on mutually agreed terms between the sales agents and us.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will be entitled to compensation under the terms of the Sales Agreement at a commission rate equal to up to 3.0% of the gross proceeds of the sales price of Class A common stock that they sell as sales agents. The net proceeds from any sales under this prospectus supplement will be used as described under “Use of Proceeds.” The proceeds we receive from sales of our Class A common stock, if any, will depend on the number of shares actually sold and the offering price of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shares of Class A common stock on our behalf, each sales agent will be deemed to be an “underwriter” within the meaning of the Securities Act, and its compensation as sales agent will be deemed to be underwriting commissions or discounts. We have also agreed to provide indemnification and contribution to each sales agent with respect to certain liabilities, including liabilities under the Securities Act. See the section titled “Plan of Distribution” beginning on page S-12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the federal securities laws and, as such, we have elected to comply with certain reduced reporting requirements for this prospectus supplement and may elect to do so in future filings.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this offering, we will remain a “controlled company” under the corporate governance rules for Nasdaq listed companies and will be exempt from certain corporate governance requirements of such rules.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common stock involves a high degree of risk. See “Risk Factors” beginning on page S-4 of this prospectus supplement, as well as the documents incorporated by reference in this prospectus supplement, for a discussion of the factors you should carefully consider before deciding to purchase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tbl>
      <w:tblPr>
        <w:tblW w:w="2790" w:type="dxa"/>
        <w:jc w:val="left"/>
        <w:tblInd w:w="0" w:type="dxa"/>
        <w:tblLayout w:type="fixed"/>
        <w:tblCellMar>
          <w:top w:w="0" w:type="dxa"/>
          <w:left w:w="0" w:type="dxa"/>
          <w:bottom w:w="0" w:type="dxa"/>
          <w:right w:w="0" w:type="dxa"/>
        </w:tblCellMar>
      </w:tblPr>
      <w:tblGrid>
        <w:gridCol w:w="1580"/>
        <w:gridCol w:w="60"/>
        <w:gridCol w:w="620"/>
        <w:gridCol w:w="60"/>
        <w:gridCol w:w="470"/>
      </w:tblGrid>
      <w:tr>
        <w:trPr/>
        <w:tc>
          <w:tcPr>
            <w:tcW w:w="15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 Riley Securities</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Cantor</w:t>
            </w:r>
          </w:p>
        </w:tc>
        <w:tc>
          <w:tcPr>
            <w:tcW w:w="60" w:type="dxa"/>
            <w:tcBorders/>
            <w:vAlign w:val="center"/>
          </w:tcPr>
          <w:p>
            <w:pPr>
              <w:pStyle w:val="TableContents"/>
              <w:bidi w:val="0"/>
              <w:spacing w:before="0" w:after="283"/>
              <w:jc w:val="center"/>
              <w:rPr/>
            </w:pPr>
            <w:r>
              <w:rPr/>
              <w:t> </w:t>
            </w:r>
          </w:p>
        </w:tc>
        <w:tc>
          <w:tcPr>
            <w:tcW w:w="4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Stifel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November 17,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890" w:type="dxa"/>
            <w:tcBorders/>
            <w:shd w:fill="CCEEFF" w:val="clear"/>
            <w:vAlign w:val="center"/>
          </w:tcPr>
          <w:p>
            <w:pPr>
              <w:pStyle w:val="TableContents"/>
              <w:bidi w:val="0"/>
              <w:spacing w:before="0" w:after="283"/>
              <w:jc w:val="left"/>
              <w:rPr/>
            </w:pPr>
            <w:hyperlink w:anchor="Kalai_001">
              <w:r>
                <w:rPr>
                  <w:rStyle w:val="InternetLink"/>
                  <w:rFonts w:ascii="Times New Roman;Times;Serif" w:hAnsi="Times New Roman;Times;Serif"/>
                  <w:sz w:val="20"/>
                </w:rPr>
                <w:t>SELECTED DEFINITIONS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6890" w:type="dxa"/>
            <w:tcBorders/>
            <w:shd w:fill="FFFFFF" w:val="clear"/>
            <w:vAlign w:val="center"/>
          </w:tcPr>
          <w:p>
            <w:pPr>
              <w:pStyle w:val="TableContents"/>
              <w:bidi w:val="0"/>
              <w:spacing w:before="0" w:after="283"/>
              <w:jc w:val="left"/>
              <w:rPr/>
            </w:pPr>
            <w:hyperlink w:anchor="Kalai_002">
              <w:r>
                <w:rPr>
                  <w:rStyle w:val="InternetLink"/>
                  <w:rFonts w:ascii="Times New Roman;Times;Serif" w:hAnsi="Times New Roman;Times;Serif"/>
                  <w:sz w:val="20"/>
                </w:rPr>
                <w:t>ABOUT THIS PROSPECTUS SUPPLEMENT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6890" w:type="dxa"/>
            <w:tcBorders/>
            <w:shd w:fill="CCEEFF" w:val="clear"/>
            <w:vAlign w:val="center"/>
          </w:tcPr>
          <w:p>
            <w:pPr>
              <w:pStyle w:val="TableContents"/>
              <w:bidi w:val="0"/>
              <w:spacing w:before="0" w:after="283"/>
              <w:jc w:val="left"/>
              <w:rPr/>
            </w:pPr>
            <w:hyperlink w:anchor="Kalai_003">
              <w:r>
                <w:rPr>
                  <w:rStyle w:val="InternetLink"/>
                  <w:rFonts w:ascii="Times New Roman;Times;Serif" w:hAnsi="Times New Roman;Times;Serif"/>
                  <w:sz w:val="20"/>
                </w:rPr>
                <w:t>CAUTIONARY STATEMENT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S-iv</w:t>
            </w:r>
          </w:p>
        </w:tc>
      </w:tr>
      <w:tr>
        <w:trPr/>
        <w:tc>
          <w:tcPr>
            <w:tcW w:w="6890" w:type="dxa"/>
            <w:tcBorders/>
            <w:shd w:fill="FFFFFF" w:val="clear"/>
            <w:vAlign w:val="center"/>
          </w:tcPr>
          <w:p>
            <w:pPr>
              <w:pStyle w:val="TableContents"/>
              <w:bidi w:val="0"/>
              <w:spacing w:before="0" w:after="283"/>
              <w:jc w:val="left"/>
              <w:rPr/>
            </w:pPr>
            <w:hyperlink w:anchor="Kalai_004">
              <w:r>
                <w:rPr>
                  <w:rStyle w:val="InternetLink"/>
                  <w:rFonts w:ascii="Times New Roman;Times;Serif" w:hAnsi="Times New Roman;Times;Serif"/>
                  <w:sz w:val="20"/>
                </w:rPr>
                <w:t>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6890" w:type="dxa"/>
            <w:tcBorders/>
            <w:shd w:fill="CCEEFF" w:val="clear"/>
            <w:vAlign w:val="center"/>
          </w:tcPr>
          <w:p>
            <w:pPr>
              <w:pStyle w:val="TableContents"/>
              <w:bidi w:val="0"/>
              <w:spacing w:before="0" w:after="283"/>
              <w:jc w:val="left"/>
              <w:rPr/>
            </w:pPr>
            <w:hyperlink w:anchor="Kalai_005">
              <w:r>
                <w:rPr>
                  <w:rStyle w:val="InternetLink"/>
                  <w:rFonts w:ascii="Times New Roman;Times;Serif" w:hAnsi="Times New Roman;Times;Serif"/>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r>
        <w:trPr/>
        <w:tc>
          <w:tcPr>
            <w:tcW w:w="6890" w:type="dxa"/>
            <w:tcBorders/>
            <w:shd w:fill="FFFFFF" w:val="clear"/>
            <w:vAlign w:val="center"/>
          </w:tcPr>
          <w:p>
            <w:pPr>
              <w:pStyle w:val="TableContents"/>
              <w:bidi w:val="0"/>
              <w:spacing w:before="0" w:after="283"/>
              <w:jc w:val="left"/>
              <w:rPr/>
            </w:pPr>
            <w:hyperlink w:anchor="Kalai_006">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r>
      <w:tr>
        <w:trPr/>
        <w:tc>
          <w:tcPr>
            <w:tcW w:w="6890" w:type="dxa"/>
            <w:tcBorders/>
            <w:shd w:fill="CCEEFF" w:val="clear"/>
            <w:vAlign w:val="center"/>
          </w:tcPr>
          <w:p>
            <w:pPr>
              <w:pStyle w:val="TableContents"/>
              <w:bidi w:val="0"/>
              <w:spacing w:before="0" w:after="283"/>
              <w:jc w:val="left"/>
              <w:rPr/>
            </w:pPr>
            <w:hyperlink w:anchor="Kalai_007">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r>
        <w:trPr/>
        <w:tc>
          <w:tcPr>
            <w:tcW w:w="6890" w:type="dxa"/>
            <w:tcBorders/>
            <w:shd w:fill="FFFFFF" w:val="clear"/>
            <w:vAlign w:val="center"/>
          </w:tcPr>
          <w:p>
            <w:pPr>
              <w:pStyle w:val="TableContents"/>
              <w:bidi w:val="0"/>
              <w:spacing w:before="0" w:after="283"/>
              <w:jc w:val="left"/>
              <w:rPr/>
            </w:pPr>
            <w:hyperlink w:anchor="Kalai_008">
              <w:r>
                <w:rPr>
                  <w:rStyle w:val="InternetLink"/>
                  <w:rFonts w:ascii="Times New Roman;Times;Serif" w:hAnsi="Times New Roman;Times;Serif"/>
                  <w:sz w:val="20"/>
                </w:rPr>
                <w:t>DIVIDEND POLICY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r>
        <w:trPr/>
        <w:tc>
          <w:tcPr>
            <w:tcW w:w="6890" w:type="dxa"/>
            <w:tcBorders/>
            <w:shd w:fill="CCEEFF" w:val="clear"/>
            <w:vAlign w:val="center"/>
          </w:tcPr>
          <w:p>
            <w:pPr>
              <w:pStyle w:val="TableContents"/>
              <w:bidi w:val="0"/>
              <w:spacing w:before="0" w:after="283"/>
              <w:jc w:val="left"/>
              <w:rPr/>
            </w:pPr>
            <w:hyperlink w:anchor="Kalai_009">
              <w:r>
                <w:rPr>
                  <w:rStyle w:val="InternetLink"/>
                  <w:rFonts w:ascii="Times New Roman;Times;Serif" w:hAnsi="Times New Roman;Times;Serif"/>
                  <w:sz w:val="20"/>
                </w:rPr>
                <w:t>MATERIAL U.S. FEDERAL INCOME TAX CONSEQUENCES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6890" w:type="dxa"/>
            <w:tcBorders/>
            <w:shd w:fill="FFFFFF" w:val="clear"/>
            <w:vAlign w:val="center"/>
          </w:tcPr>
          <w:p>
            <w:pPr>
              <w:pStyle w:val="TableContents"/>
              <w:bidi w:val="0"/>
              <w:spacing w:before="0" w:after="283"/>
              <w:jc w:val="left"/>
              <w:rPr/>
            </w:pPr>
            <w:hyperlink w:anchor="Kalai_010">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6890" w:type="dxa"/>
            <w:tcBorders/>
            <w:shd w:fill="CCEEFF" w:val="clear"/>
            <w:vAlign w:val="center"/>
          </w:tcPr>
          <w:p>
            <w:pPr>
              <w:pStyle w:val="TableContents"/>
              <w:bidi w:val="0"/>
              <w:spacing w:before="0" w:after="283"/>
              <w:jc w:val="left"/>
              <w:rPr/>
            </w:pPr>
            <w:hyperlink w:anchor="Kalai_011">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6890" w:type="dxa"/>
            <w:tcBorders/>
            <w:shd w:fill="FFFFFF" w:val="clear"/>
            <w:vAlign w:val="center"/>
          </w:tcPr>
          <w:p>
            <w:pPr>
              <w:pStyle w:val="TableContents"/>
              <w:bidi w:val="0"/>
              <w:spacing w:before="0" w:after="283"/>
              <w:jc w:val="left"/>
              <w:rPr/>
            </w:pPr>
            <w:hyperlink w:anchor="Kalai_012">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6890" w:type="dxa"/>
            <w:tcBorders/>
            <w:shd w:fill="CCEEFF" w:val="clear"/>
            <w:vAlign w:val="center"/>
          </w:tcPr>
          <w:p>
            <w:pPr>
              <w:pStyle w:val="TableContents"/>
              <w:bidi w:val="0"/>
              <w:spacing w:before="0" w:after="283"/>
              <w:jc w:val="left"/>
              <w:rPr/>
            </w:pPr>
            <w:hyperlink w:anchor="Kalai_013">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6890" w:type="dxa"/>
            <w:tcBorders/>
            <w:shd w:fill="FFFFFF" w:val="clear"/>
            <w:vAlign w:val="center"/>
          </w:tcPr>
          <w:p>
            <w:pPr>
              <w:pStyle w:val="TableContents"/>
              <w:bidi w:val="0"/>
              <w:spacing w:before="0" w:after="283"/>
              <w:jc w:val="left"/>
              <w:rPr/>
            </w:pPr>
            <w:hyperlink w:anchor="Kalai_014">
              <w:r>
                <w:rPr>
                  <w:rStyle w:val="InternetLink"/>
                  <w:rFonts w:ascii="Times New Roman;Times;Serif" w:hAnsi="Times New Roman;Times;Serif"/>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TRADEMARKS</w:t>
              </w:r>
            </w:hyperlink>
          </w:p>
        </w:tc>
        <w:tc>
          <w:tcPr>
            <w:tcW w:w="455"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SELECTED DEFINITIONS</w:t>
              </w:r>
            </w:hyperlink>
          </w:p>
        </w:tc>
        <w:tc>
          <w:tcPr>
            <w:tcW w:w="455" w:type="dxa"/>
            <w:tcBorders/>
            <w:shd w:fill="FFFFFF" w:val="clear"/>
            <w:vAlign w:val="center"/>
          </w:tcPr>
          <w:p>
            <w:pPr>
              <w:pStyle w:val="TableContents"/>
              <w:bidi w:val="0"/>
              <w:spacing w:before="0" w:after="283"/>
              <w:jc w:val="center"/>
              <w:rPr/>
            </w:pPr>
            <w:r>
              <w:rPr/>
              <w:t>ii</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center"/>
              <w:rPr/>
            </w:pPr>
            <w:r>
              <w:rPr/>
              <w:t>v</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STATEMENT REGARDING FORWARD-LOOKING STATEMENTS</w:t>
              </w:r>
            </w:hyperlink>
          </w:p>
        </w:tc>
        <w:tc>
          <w:tcPr>
            <w:tcW w:w="455" w:type="dxa"/>
            <w:tcBorders/>
            <w:shd w:fill="FFFFFF" w:val="clear"/>
            <w:vAlign w:val="center"/>
          </w:tcPr>
          <w:p>
            <w:pPr>
              <w:pStyle w:val="TableContents"/>
              <w:bidi w:val="0"/>
              <w:spacing w:before="0" w:after="283"/>
              <w:jc w:val="center"/>
              <w:rPr/>
            </w:pPr>
            <w:r>
              <w:rPr/>
              <w:t>vi</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SUMMARY</w:t>
              </w:r>
            </w:hyperlink>
          </w:p>
        </w:tc>
        <w:tc>
          <w:tcPr>
            <w:tcW w:w="455"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283"/>
              <w:jc w:val="center"/>
              <w:rPr/>
            </w:pPr>
            <w:r>
              <w:rPr/>
              <w:t>4</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center"/>
              <w:rPr/>
            </w:pPr>
            <w:r>
              <w:rPr/>
              <w:t>4</w:t>
            </w:r>
          </w:p>
        </w:tc>
      </w:tr>
      <w:tr>
        <w:trPr/>
        <w:tc>
          <w:tcPr>
            <w:tcW w:w="68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CAPITAL STOCK</w:t>
              </w:r>
            </w:hyperlink>
            <w:r>
              <w:rPr/>
              <w:t xml:space="preserve"> </w:t>
            </w:r>
          </w:p>
        </w:tc>
        <w:tc>
          <w:tcPr>
            <w:tcW w:w="455" w:type="dxa"/>
            <w:tcBorders/>
            <w:shd w:fill="FFFFFF" w:val="clear"/>
            <w:vAlign w:val="center"/>
          </w:tcPr>
          <w:p>
            <w:pPr>
              <w:pStyle w:val="TableContents"/>
              <w:bidi w:val="0"/>
              <w:spacing w:before="0" w:after="283"/>
              <w:jc w:val="center"/>
              <w:rPr/>
            </w:pPr>
            <w:r>
              <w:rPr/>
              <w:t xml:space="preserve">4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455" w:type="dxa"/>
            <w:tcBorders/>
            <w:shd w:fill="CCEEFF" w:val="clear"/>
            <w:vAlign w:val="center"/>
          </w:tcPr>
          <w:p>
            <w:pPr>
              <w:pStyle w:val="TableContents"/>
              <w:bidi w:val="0"/>
              <w:spacing w:before="0" w:after="283"/>
              <w:jc w:val="center"/>
              <w:rPr/>
            </w:pPr>
            <w:r>
              <w:rPr/>
              <w:t>12</w:t>
            </w:r>
          </w:p>
        </w:tc>
      </w:tr>
      <w:tr>
        <w:trPr/>
        <w:tc>
          <w:tcPr>
            <w:tcW w:w="689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455" w:type="dxa"/>
            <w:tcBorders/>
            <w:shd w:fill="FFFFFF" w:val="clear"/>
            <w:vAlign w:val="center"/>
          </w:tcPr>
          <w:p>
            <w:pPr>
              <w:pStyle w:val="TableContents"/>
              <w:bidi w:val="0"/>
              <w:spacing w:before="0" w:after="283"/>
              <w:jc w:val="center"/>
              <w:rPr/>
            </w:pPr>
            <w:r>
              <w:rPr/>
              <w:t>14</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OWNERSHIP OF SECURITIES</w:t>
              </w:r>
            </w:hyperlink>
          </w:p>
        </w:tc>
        <w:tc>
          <w:tcPr>
            <w:tcW w:w="455" w:type="dxa"/>
            <w:tcBorders/>
            <w:shd w:fill="CCEEFF" w:val="clear"/>
            <w:vAlign w:val="center"/>
          </w:tcPr>
          <w:p>
            <w:pPr>
              <w:pStyle w:val="TableContents"/>
              <w:bidi w:val="0"/>
              <w:spacing w:before="0" w:after="283"/>
              <w:jc w:val="center"/>
              <w:rPr/>
            </w:pPr>
            <w:r>
              <w:rPr/>
              <w:t>15</w:t>
            </w:r>
          </w:p>
        </w:tc>
      </w:tr>
      <w:tr>
        <w:trPr/>
        <w:tc>
          <w:tcPr>
            <w:tcW w:w="689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center"/>
              <w:rPr/>
            </w:pPr>
            <w:r>
              <w:rPr/>
              <w:t>18</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pPr>
            <w:r>
              <w:rPr/>
              <w:t>20</w:t>
            </w:r>
          </w:p>
        </w:tc>
      </w:tr>
      <w:tr>
        <w:trPr/>
        <w:tc>
          <w:tcPr>
            <w:tcW w:w="689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center"/>
              <w:rPr/>
            </w:pPr>
            <w:r>
              <w:rPr/>
              <w:t>20</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pPr>
            <w:r>
              <w:rPr/>
              <w:t>20</w:t>
            </w:r>
          </w:p>
        </w:tc>
      </w:tr>
      <w:tr>
        <w:trPr/>
        <w:tc>
          <w:tcPr>
            <w:tcW w:w="689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pPr>
            <w:r>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no sales agent has, authorized anyone to provide any information or to make any representations other than that contained in this prospectus supplement or the accompanying prospectus prepared by or on behalf of us or to which we may have referred you. We and the sales agents take no responsibility for, and can provide no assurance as to the reliability of, any other information that others may give you. No one has been authorized to provide you with information that is different from that contained in this prospectus supplement or the accompanying prospectus. This prospectus supplement is dated as of the date set forth on the cover hereof. You should not assume that the information contained in this prospectus supplement is accurate as of any date other than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Kalai_001"/>
      <w:bookmarkEnd w:id="2"/>
      <w:r>
        <w:rPr>
          <w:rFonts w:ascii="Times New Roman;Times;Serif" w:hAnsi="Times New Roman;Times;Serif"/>
          <w:b/>
          <w:i w:val="false"/>
          <w:caps w:val="false"/>
          <w:smallCaps w:val="false"/>
          <w:sz w:val="20"/>
        </w:rPr>
        <w:t>SELECTED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supplement, unless the context otherwise requires: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Combination” refers to the transaction contemplated by the Business Combination Agreement dated as of December 2, 2021 (as the same has been or may be amended, modified, supplemented or waived from time to time), by and among Arclight Clean Transition Corp. II, an exempted company incorporated in the Cayman Islands with limited liability, Opco and OPAL Holdco.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common stock” refers to the shares of Class A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common stock” refers to the shares of Class B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C common stock” refers to the shares of Class C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D common stock” refers to the shares of Class D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“we”, “our”, “us” or similar terms refers to OPAL Fuels Inc. individually or on a consolidated basis, as the context may require.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Fortistar” refers to Fortistar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renewable fuel standard or LCFS programs and other current and potential future programs aimed at providing support for RNG into the transportation market. At the Fueling Stations, the natural gas is pressurized using compressor systems and, in this state, is referred to as </w:t>
      </w:r>
      <w:r>
        <w:rPr>
          <w:rFonts w:ascii="Times New Roman;Times;Serif" w:hAnsi="Times New Roman;Times;Serif"/>
          <w:b w:val="false"/>
          <w:i w:val="false"/>
          <w:caps w:val="false"/>
          <w:smallCaps w:val="false"/>
          <w:sz w:val="20"/>
        </w:rPr>
        <w:t>CNG. </w:t>
      </w:r>
      <w:r>
        <w:rPr>
          <w:rFonts w:ascii="Times New Roman;Times;Serif" w:hAnsi="Times New Roman;Times;Serif"/>
          <w:b w:val="false"/>
          <w:i/>
          <w:caps w:val="false"/>
          <w:smallCaps w:val="false"/>
          <w:sz w:val="20"/>
        </w:rPr>
        <w:t>Because Environmental Attributes associated with RNG are nominated/assigned to the physical quantity of CNG dispensed at the Fueling Station, when the CNG is dispensed into to fuel tanks for use as transportation fuel and subsequently reported to the U.S. Environmental Protection Agency and/or state environmental agency and matched with the production of RNG, the respective renewable identification numbers and LCFS credits are generated. Some of these stations are designed, developed, constructed, operated and maintained by us while others are third party stations where we may only provide maintenance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Hillman” refers to Hillman RNG Investments,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refers to OPAL Fuels Inc., a Delaware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Holdco” refers to Opal HoldCo LLC, a Delaware limited liability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Opco” </w:t>
      </w:r>
      <w:r>
        <w:rPr>
          <w:rFonts w:ascii="Times New Roman;Times;Serif" w:hAnsi="Times New Roman;Times;Serif"/>
          <w:b w:val="false"/>
          <w:i w:val="false"/>
          <w:caps w:val="false"/>
          <w:smallCaps w:val="false"/>
          <w:sz w:val="20"/>
        </w:rPr>
        <w:t>refers to Opal Fuels LLC, a Delaware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is a glossary of key industry terms used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Btu” refers to British thermal units.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CNG” refers to compressed natural gas.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 refer to federal, state and local government incentives in the United States, provided in the form of renewable identification numbers, renewable energy credits, LCFS credits, ISCC Carbon Credits, rebates, tax credits and other incentives to end users, distributors, system integrators and manufacturers of renewable energy projects, that promote the use of renewable energy.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LCFS” refers to Low Carbon Fuel Standard or similar types of federal and state programs.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Renewable Power” refers to electricity generated from renewable sources.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RNG” refers to renewable natural gas.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 w:name="Kalai_002"/>
      <w:bookmarkEnd w:id="3"/>
      <w:r>
        <w:rPr>
          <w:rFonts w:ascii="Times New Roman;Times;Serif" w:hAnsi="Times New Roman;Times;Serif"/>
          <w:b/>
          <w:i w:val="false"/>
          <w:caps w:val="false"/>
          <w:smallCaps w:val="false"/>
          <w:sz w:val="20"/>
        </w:rPr>
        <w:t>ABOUT THIS PROSPECTUS SUPPLEMENT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is part of registration statement (File No. 333-273584) that we filed with the Securities and Exchange Commission, or the SEC, using a “shelf” registration process. Under the shelf registration statement, we may offer and sell the securities described in the accompanying prospectus in one or more offerings. The shelf registration statement covering the shares offered by us became effective on September 6, 2023. We provide information to you about this offering of shares of our Class A common stock in two separate documents that are bound together: (1) this prospectus supplement, which describes the specific details regarding this offering and also adds to and updates information contained in the accompanying prospectus and the documents incorporated by reference into the prospectus; and (2) the accompanying prospectus related to the securities offered by us, which provides general information, some of which may not apply to this offering, and both this prospectus supplement and the accompanying prospectus include important information about us, our Class A common stock and other information you should know before investing in our Class A common stock. Generally, when we refer to this “prospectus,” we are referring to these documents on a combined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may also add, update and change information contained in the accompanying prospectus.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contained in this prospectus supplement as the statement in the document having the later date modifies or supersedes the earlier statement. However,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when making your investment decision. You should also read and consider the information in the documents we have referred you to under the headings “Where You Can Find More Information” and “Incorporation of Certain Information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different information. We have not authorized anyone to provide you with any information or to make any representations other than those contained in this prospectus supplement and the accompanying prospectus. We do not take responsibility for, and can provide no assurance as to the reliability of, any other information that others may give you.</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do not constitute an offer, or an invitation on behalf of us or the sales agents, to subscribe to or purchase any of our Class A common stock, and may not be used for or in connection with an offer or solicitation by anyone, in any jurisdiction in which such an offer or solicitation is not authorized or to any person to whom it is unlawful to make such an offer or solicitation.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delivery of this prospectus supplement nor any sale made using this prospectus supplement implies that there has been no change in our affairs or that the information in this prospectus supplement is correct as of any date after the date of this prospectus supplement. You should not assume that the information in or incorporated by reference in this prospectus supplement prepared by us is accurate as of any date other than the date on the front cover of this prospectus supplement. Our business, financial condition, results of operations and prospects may have changed since that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references to “our company,” “the Company,” “we,” “us,” “our” and “OPAL” refer to OPAL Fuels Inc. and its direct and indirect subsidiaries on a consolidated basis.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Kalai_003"/>
      <w:bookmarkEnd w:id="4"/>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contained in this prospectus supplement, the accompanying prospectus, or in our other documents that are incorporated by reference herein, that are not purely historical are forward-looking statements within the meaning of Section 27A of the Securities Act and Section 21E of the Securities Exchange Act of 1934, as amended (the “Exchange Act”), including statements regarding our expectations, hopes, intentions or strategies regarding the future.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Examples of forward-looking statements include, but are not limited to, statements we make regarding the outlook for our future business and financial performance, such as those contained in “Management’s Discussion and Analysis of Financial Condition and Results of Operations” in our annual report on Form 10-K for the year ended December 31, 2022 (the “Annual Report”), which is incorporated by reference herein. See “Where You Can Find More Information” and “Incorporation of Certain Information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among others, that may affect actual results or outcomes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grow and manage growth profitably, and maintain relationships with customers and suppliers;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success in retaining or recruiting our principal officers, key employees or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intense competition and competitive pressures from other companies in the industry in which we operate;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costs of, or delays in obtaining, key components or labor for the construction and completion of landfill gas (“LFG”) and livestock waste projects that generate electricity and RNG, CNG and hydrogen dispensing stations;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factors relating to our business, operations and financial performance, including market conditions and global and economic factors beyond our control;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macroeconomic conditions related to the global COVID-19 pandemic;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reduction or elimination of government economic incentives to the renewable energy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LCFS credits and other incentives;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to identify, acquire, develop and operate renewable projects and Fueling Stations;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issue equity or equity-linked securities or obtain or amend debt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demand for renewable energy not being sustained;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impacts of climate change, changing weather patterns and conditions and natural disasters;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effect of legal, tax and regulatory changes;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factors detailed under the section entitled “</w:t>
            </w:r>
            <w:r>
              <w:rPr>
                <w:rFonts w:ascii="Times New Roman;Times;Serif" w:hAnsi="Times New Roman;Times;Serif"/>
                <w:i/>
                <w:sz w:val="20"/>
              </w:rPr>
              <w:t>Risk Factors.</w:t>
            </w: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supplement and the accompanying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and in the Annual Report, which is incorporated by reference herein.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6" w:color="000000"/>
        </w:rPr>
      </w:pPr>
      <w:bookmarkStart w:id="5" w:name="Kalai_004"/>
      <w:bookmarkEnd w:id="5"/>
      <w:r>
        <w:rPr>
          <w:rFonts w:ascii="Times New Roman;Times;Serif" w:hAnsi="Times New Roman;Times;Serif"/>
          <w:b/>
          <w:i w:val="false"/>
          <w:caps w:val="false"/>
          <w:smallCaps w:val="false"/>
          <w:sz w:val="20"/>
          <w:bdr w:val="single" w:sz="12" w:space="6" w:color="000000"/>
        </w:rPr>
        <w:t>SUMMARY</w:t>
      </w:r>
    </w:p>
    <w:p>
      <w:pPr>
        <w:pStyle w:val="TextBody"/>
        <w:shd w:fill="FFFFFF" w:val="clear"/>
        <w:bidi w:val="0"/>
        <w:spacing w:before="0" w:after="0"/>
        <w:ind w:left="0" w:right="0" w:hanging="0"/>
        <w:jc w:val="center"/>
        <w:rPr>
          <w:caps w:val="false"/>
          <w:smallCaps w:val="false"/>
          <w:bdr w:val="single" w:sz="12" w:space="6" w:color="000000"/>
        </w:rPr>
      </w:pPr>
      <w:r>
        <w:rPr>
          <w:caps w:val="false"/>
          <w:smallCaps w:val="false"/>
          <w:bdr w:val="single" w:sz="12" w:space="6"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6" w:color="000000"/>
        </w:rPr>
      </w:pPr>
      <w:r>
        <w:rPr>
          <w:rFonts w:ascii="Times New Roman;Times;Serif" w:hAnsi="Times New Roman;Times;Serif"/>
          <w:b w:val="false"/>
          <w:i/>
          <w:caps w:val="false"/>
          <w:smallCaps w:val="false"/>
          <w:sz w:val="20"/>
          <w:bdr w:val="single" w:sz="12" w:space="6" w:color="000000"/>
        </w:rPr>
        <w:t>The following summary highlights information about us and this offering that is included elsewhere or incorporated by reference in this prospectus supplement and the accompanying prospectus. This summary does not contain all of the information that may be important to you. You should read and carefully consider the following summary together with the entire prospectus supplement and the accompanying prospectus, including information incorporated by reference therein, before deciding to invest in our Class A common stock. Some of the statements in this prospectus supplement constitute forward-looking statements that involve risks and uncertainties. See “Cautionary Statement Regarding Forward-Looking Statement.” Our actual results could differ materially from those anticipated in such forward-looking statements as a result of certain factors, including those discussed in the “Risk factors” and other sections of this prospectus supplement.</w:t>
      </w:r>
    </w:p>
    <w:p>
      <w:pPr>
        <w:pStyle w:val="TextBody"/>
        <w:shd w:fill="FFFFFF" w:val="clear"/>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6" w:color="000000"/>
        </w:rPr>
      </w:pPr>
      <w:r>
        <w:rPr>
          <w:rFonts w:ascii="Times New Roman;Times;Serif" w:hAnsi="Times New Roman;Times;Serif"/>
          <w:b/>
          <w:i w:val="false"/>
          <w:caps w:val="false"/>
          <w:smallCaps w:val="false"/>
          <w:sz w:val="20"/>
          <w:bdr w:val="single" w:sz="12" w:space="6" w:color="000000"/>
        </w:rPr>
        <w:t>Business Overview</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  </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  </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Additional information about us can be found in our Annual Report which is incorporated by reference herein, together with any material changes thereto contained in subsequently filed quarterly reports on Form 10-Q.</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6" w:color="000000"/>
        </w:rPr>
      </w:pPr>
      <w:r>
        <w:rPr>
          <w:rFonts w:ascii="Times New Roman;Times;Serif" w:hAnsi="Times New Roman;Times;Serif"/>
          <w:b/>
          <w:i w:val="false"/>
          <w:caps w:val="false"/>
          <w:smallCaps w:val="false"/>
          <w:sz w:val="20"/>
          <w:bdr w:val="single" w:sz="12" w:space="6" w:color="000000"/>
        </w:rPr>
        <w:t>Corporate Information</w:t>
      </w:r>
    </w:p>
    <w:p>
      <w:pPr>
        <w:pStyle w:val="TextBody"/>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 xml:space="preserve">We are a Delaware corporation. Our principal executive offices are located at One North Lexington Avenue, Suite 1450, White Plains, New York 10601 and our telephone number is (914) 705-4000. Our website is </w:t>
      </w:r>
      <w:r>
        <w:rPr>
          <w:rFonts w:ascii="Times New Roman;Times;Serif" w:hAnsi="Times New Roman;Times;Serif"/>
          <w:b w:val="false"/>
          <w:i/>
          <w:caps w:val="false"/>
          <w:smallCaps w:val="false"/>
          <w:sz w:val="20"/>
          <w:bdr w:val="single" w:sz="12" w:space="6" w:color="000000"/>
        </w:rPr>
        <w:t>www.opalfuels.com</w:t>
      </w:r>
      <w:r>
        <w:rPr>
          <w:rFonts w:ascii="Times New Roman;Times;Serif" w:hAnsi="Times New Roman;Times;Serif"/>
          <w:b w:val="false"/>
          <w:i w:val="false"/>
          <w:caps w:val="false"/>
          <w:smallCaps w:val="false"/>
          <w:sz w:val="20"/>
          <w:bdr w:val="single" w:sz="12" w:space="6" w:color="000000"/>
        </w:rPr>
        <w:t>. Our website and the information contained on, or accessed through, its website are not part of this prospectus, and you should rely only on the information contained in this prospectus when making a decision as to whether to invest in our securities.  </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6" w:color="000000"/>
        </w:rPr>
      </w:pPr>
      <w:r>
        <w:rPr>
          <w:rFonts w:ascii="Times New Roman;Times;Serif" w:hAnsi="Times New Roman;Times;Serif"/>
          <w:b/>
          <w:i w:val="false"/>
          <w:caps w:val="false"/>
          <w:smallCaps w:val="false"/>
          <w:sz w:val="20"/>
          <w:bdr w:val="single" w:sz="12" w:space="6" w:color="000000"/>
        </w:rPr>
        <w:t>Implications of Being an Emerging Growth Company and a Smaller Reporting Company</w:t>
      </w:r>
    </w:p>
    <w:p>
      <w:pPr>
        <w:pStyle w:val="TextBody"/>
        <w:shd w:fill="FFFFFF" w:val="clear"/>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We are an “emerging growth company” as defined in the Jumpstart Our Business Startups Act of 2012, as amended. An emerging growth company may take advantage of specified exemptions from various requirements that are otherwise applicable generally to public companies in the United States. These provisions include:</w:t>
      </w:r>
    </w:p>
    <w:p>
      <w:pPr>
        <w:pStyle w:val="TextBody"/>
        <w:shd w:fill="FFFFFF" w:val="clear"/>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of Section 404 of the Sarbanes-Oxley Act of 2002;</w:t>
            </w:r>
          </w:p>
        </w:tc>
      </w:tr>
    </w:tbl>
    <w:p>
      <w:pPr>
        <w:pStyle w:val="TextBody"/>
        <w:shd w:fill="FFFFFF" w:val="clear"/>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tc>
      </w:tr>
    </w:tbl>
    <w:p>
      <w:pPr>
        <w:pStyle w:val="TextBody"/>
        <w:shd w:fill="FFFFFF" w:val="clear"/>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required to provide only two years of audited financial statements in addition to any required unaudited interim financial statements;</w:t>
            </w:r>
          </w:p>
        </w:tc>
      </w:tr>
    </w:tbl>
    <w:p>
      <w:pPr>
        <w:pStyle w:val="TextBody"/>
        <w:shd w:fill="FFFFFF" w:val="clear"/>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permitting an extended transition period for complying with new or revised accounting standards, which allows an emerging growth company to delay the adoption of certain accounting standards until those standards would otherwise apply to private companies;</w:t>
            </w:r>
          </w:p>
        </w:tc>
      </w:tr>
    </w:tbl>
    <w:p>
      <w:pPr>
        <w:pStyle w:val="TextBody"/>
        <w:shd w:fill="FFFFFF" w:val="clear"/>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and</w:t>
            </w:r>
          </w:p>
        </w:tc>
      </w:tr>
    </w:tbl>
    <w:p>
      <w:pPr>
        <w:pStyle w:val="TextBody"/>
        <w:shd w:fill="FFFFFF" w:val="clear"/>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a nonbinding advisory vote on executive compensation and shareholder approval of any golden parachute payments not previously approved.</w:t>
            </w:r>
          </w:p>
        </w:tc>
      </w:tr>
    </w:tbl>
    <w:p>
      <w:pPr>
        <w:pStyle w:val="TextBody"/>
        <w:shd w:fill="FFFFFF" w:val="clear"/>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We have elected to take advantage of certain of the reduced disclosure obligations in this prospectus supplement and the documents incorporated by reference in this prospectus supplement and may elect to take advantage of other reduced reporting requirements in future filings. In addition, we have elected to use the extended transition period for new or revised accounting standards during the period in which we remain an emerging growth company. As a result, the information that we provide to our investors may be different from the information you might receive from other public reporting companies that are not emerging growth companies in which you hold securities.</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6" w:color="000000"/>
        </w:rPr>
      </w:pPr>
      <w:bookmarkStart w:id="6" w:name="Kalai_005"/>
      <w:bookmarkEnd w:id="6"/>
      <w:r>
        <w:rPr>
          <w:rFonts w:ascii="Times New Roman;Times;Serif" w:hAnsi="Times New Roman;Times;Serif"/>
          <w:b/>
          <w:i w:val="false"/>
          <w:caps w:val="false"/>
          <w:smallCaps w:val="false"/>
          <w:sz w:val="20"/>
          <w:bdr w:val="single" w:sz="12" w:space="6" w:color="000000"/>
        </w:rPr>
        <w:t>THE OFFERING</w:t>
      </w:r>
    </w:p>
    <w:p>
      <w:pPr>
        <w:pStyle w:val="TextBody"/>
        <w:shd w:fill="FFFFFF" w:val="clear"/>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1760"/>
        <w:gridCol w:w="60"/>
        <w:gridCol w:w="8385"/>
      </w:tblGrid>
      <w:tr>
        <w:trPr/>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Class A Common Stock Offered by Us</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Class A common stock having an aggregate offering price up to $75,000,000.</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Class A Common Stock Outstanding Before this Offering</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27,975,260 shares of Class A common stock</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Class A Common Stock Outstanding After this Offering</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40,091,576 shares (as more fully described in the notes following this table), assuming sales of 12,116,316 shares of our Class A common stock in this offering at an offering price of $6.19 per share, which was the last reported sale price of our Class A common stock on the Nasdaq Capital Market on November 16, 2023. The actual number of shares issued will vary depending on how many shares of our Class A common stock we choose to sell and the prices at which such sales occur.</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Plan of Distribution</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w:t>
            </w:r>
            <w:r>
              <w:rPr>
                <w:rFonts w:ascii="Times New Roman;Times;Serif" w:hAnsi="Times New Roman;Times;Serif"/>
                <w:sz w:val="20"/>
              </w:rPr>
              <w:t>At the market offering” that may be made, from time to time, through or to B. Riley Securities, Cantor or Stifel, as sales agent or principal. See “Plan of Distribution” beginning on page S-12.</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intend to use the net proceeds that we receive from this offering for general corporate purposes.</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Any investment in the Class A common stock offered hereby is speculative and involves a high degree of risk. You should carefully consider the information set forth under “</w:t>
            </w:r>
            <w:r>
              <w:rPr>
                <w:rFonts w:ascii="Times New Roman;Times;Serif" w:hAnsi="Times New Roman;Times;Serif"/>
                <w:b/>
                <w:i/>
                <w:sz w:val="20"/>
              </w:rPr>
              <w:t>Risk Factors</w:t>
            </w:r>
            <w:r>
              <w:rPr>
                <w:rFonts w:ascii="Times New Roman;Times;Serif" w:hAnsi="Times New Roman;Times;Serif"/>
                <w:b/>
                <w:sz w:val="20"/>
              </w:rPr>
              <w:t>” elsewhere in this prospectus supplement and the accompanying prospectus and in the information incorporated by reference herein.</w:t>
            </w:r>
          </w:p>
        </w:tc>
      </w:tr>
      <w:tr>
        <w:trPr/>
        <w:tc>
          <w:tcPr>
            <w:tcW w:w="1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Nasdaq Capital Market Symbol</w:t>
            </w:r>
          </w:p>
        </w:tc>
        <w:tc>
          <w:tcPr>
            <w:tcW w:w="6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w:t>
            </w:r>
            <w:r>
              <w:rPr>
                <w:rFonts w:ascii="Times New Roman;Times;Serif" w:hAnsi="Times New Roman;Times;Serif"/>
                <w:sz w:val="20"/>
              </w:rPr>
              <w:t>OPAL”</w:t>
            </w:r>
          </w:p>
        </w:tc>
      </w:tr>
    </w:tbl>
    <w:p>
      <w:pPr>
        <w:pStyle w:val="TextBody"/>
        <w:shd w:fill="FFFFFF" w:val="clear"/>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The number of shares of our Class A common stock to be outstanding after this offering is based on 27,975,260 shares of our Class A common stock outstanding as of November 16, 2023 and excludes:</w:t>
      </w:r>
    </w:p>
    <w:p>
      <w:pPr>
        <w:pStyle w:val="TextBody"/>
        <w:shd w:fill="FFFFFF" w:val="clear"/>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175,890 shares of our Class A common stock issuable upon the exercise of outstanding options under the 2022 Omnibus Equity Incentive Plan (the “2022 Plan”), with a weighted average exercise price of $6.97 per share;</w:t>
            </w:r>
          </w:p>
        </w:tc>
      </w:tr>
    </w:tbl>
    <w:p>
      <w:pPr>
        <w:pStyle w:val="TextBody"/>
        <w:bidi w:val="0"/>
        <w:spacing w:before="0" w:after="0"/>
        <w:ind w:left="720" w:right="0" w:hanging="360"/>
        <w:jc w:val="left"/>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953,380 shares of our Class A common stock issuable upon the vesting of outstanding restricted stock units granted under the 2022 Plan; </w:t>
            </w:r>
          </w:p>
        </w:tc>
      </w:tr>
    </w:tbl>
    <w:p>
      <w:pPr>
        <w:pStyle w:val="TextBody"/>
        <w:bidi w:val="0"/>
        <w:spacing w:before="0" w:after="0"/>
        <w:ind w:left="720" w:right="0" w:hanging="360"/>
        <w:jc w:val="left"/>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238,605 shares of our Class A common stock issuable upon the vesting of performance stock units under the 2022 Plan; and</w:t>
            </w:r>
          </w:p>
        </w:tc>
      </w:tr>
    </w:tbl>
    <w:p>
      <w:pPr>
        <w:pStyle w:val="TextBody"/>
        <w:bidi w:val="0"/>
        <w:spacing w:before="0" w:after="0"/>
        <w:ind w:left="720" w:right="0" w:hanging="360"/>
        <w:jc w:val="left"/>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144,399,037 shares of our Class A common stock issuable upon exchange of 144,399,037 Class B LLC Units and the related shares of Class D common stock that are held by certain members of OPAL Fuels LLC.</w:t>
            </w:r>
          </w:p>
        </w:tc>
      </w:tr>
    </w:tbl>
    <w:p>
      <w:pPr>
        <w:pStyle w:val="TextBody"/>
        <w:bidi w:val="0"/>
        <w:spacing w:before="0" w:after="0"/>
        <w:ind w:left="720" w:right="0" w:hanging="36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7" w:name="Kalai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 Before making a decision to invest in our securities, you should carefully consider the following risks and the risks described under “Risk Factors” in our Annual Report, and any updates to those risk factors in our subsequent Quarterly Reports on Form 10-Q and Current Reports on Form 8-K, together with all of the other information appearing or incorporated by reference in this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Ownership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Class A common stock has been, and is likely to continue to be, volatile and could fluctuate in response to a number of factors, many of which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Class A common stock may fluctuate significantly in response to a number of factors, many of which are beyond our control. For instance, if our financial results are below the expectations of securities analysts and investors, the market price of the Class A common stock could decrease, perhaps significantly. Factors that may affect the market price of the Class A common stock include changes in market prices of oil, natural gas and natural gas liquids; announcements relating to significant corporate transactions; fluctuations in our quarterly and annual financial results; operating and stock price performance of companies that investors deem comparable to us; and changes in government regulation or proposals relating to us. In addition, the U.S. securities markets have experienced significant price and volume fluctuations, and these fluctuations often have been unrelated to the operating performance of companies in these markets. Any volatility of, or a significant decrease in, the market price of the Class A common stock could also negatively affect our ability to make acquisitions using Class A common stock. Further, if we were to be the object of securities class action litigation as a result of volatility in the Class A common stock price or for other reasons, it could result in substantial costs and diversion of our management’s attention and resources, which could negatively affect our financial results.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in this offering may experience future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additional capital, effect acquisitions or for other purposes, we may in the future offer additional shares of Class A common stock or other securities convertible into, or exchangeable for, Class A common stock at prices that may be less than the price per share of this offering. We have an effective shelf registration statement from which additional shares of Class A common stock and other securities can be offered. We cannot assure you that we will be able to sell shares or other securities in any other offering at a price per share that is equal to or greater than the price per share paid by investors in this offering. If the price per share at which we sell additional shares of Class A common stock or related securities in future transactions is less than the price per share in this offering, investors who purchase Class A common stock in this offering will suffer a dilution of their investment. In addition, equity awards under our share-based compensation plans may cause further dilution.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markets, or the perception that such sales could occur, could reduce the market price of the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or the perception that such sales could occur, could adversely affect the market price of the Class A common stock. We are unable to predict the effect that such sales may have on the prevailing market price of the Class A common stock.</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Class A common stock or equity securities senior to the Class A common stock in the future for a number of reasons, including to finance our operations and growth plans, to adjust our ratio of debt-to-equity, to satisfy our obligations upon the exercise of options or for other reasons. Future sales or issuances of shares of Class A common stock or other equity securities, or the availability of shares of Class A common stock or such other equity securities for future sale or issuance, may negatively affect the trading price of the Class A common stock. No prediction can be made as to the effect, if any, that future sales or issuance of shares of Class A common stock or other equity or equity-linked securities will have on the trading price of the Class A common stock.</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Chairman of our Board of Directors and entities controlled by our Chairman hold, and will continue to hold after this offering, a significant portion of the outstanding shares of our Class D common stock, which may limit the ability of our public stockholders to influence significant corporate decisions.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84.3% of our outstanding common stock as of November 16, 2023. All of these shares (with the exception of 880,600 shares of Class A common stock purchased by Fortistar immediately prior to the closing of Business Combination) are Class D common stock, which have no economic rights but are entitled to five votes per share, giving Mr. Mark Comora control over 96.4% of our voting power. OPAL Holdco and Hillman are controlled, indirectly, by Mr. Mark Comora through entities affiliated with Mr. Mark Comora, including Fortistar and certain of its other affiliates. Mr. Mark Comora is the Chairman of our board of directors.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certificate of incorporation and the bylaws,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Amended and Restated Limited Liability Company Agreement of Opco).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Fortistar and certain of its affiliates (other than our subsidiaries)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the shares of Class A common stock that we sell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Class A common stock. Our failure to apply these funds effectively could result in financial losses, which could have a material adverse effect on our business, results of operations, financial condition and prospects.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credit ratings downgrade or other negative action by a credit rating organization could adversely affect the trading price of the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rating agencies continually revise their ratings for companies they follow. The condition of the financial and credit markets and prevailing interest rates have fluctuated in the past and are likely to fluctuate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may have the effect of delaying or preventing a change of control or changes in our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provisions that could depress the trading price of our Class A common stock by discouraging, delaying or preventing a change of control of our Company or changes in our management that the stockholders of our Company may believe advantageous. These provisions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authorizing “blank check” preferred stock that our board of directors could issue to increase the number of outstanding shares to discourage a takeover attempt;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providing for cumulative voting in the election of directors, which limits the ability of minority stockholders to elect director candidates;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the ability of stockholders to call a special stockholder meeting;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advance notice requirements for nominations for election to our board of directors or for proposing matters that can be acted upon by stockholders at stockholder meetings;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that our board of directors is expressly authorized to amend, alter, rescind or repeal our bylaws.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also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in writing to the selection of an alternate forum, the Court of Chancery of the State of Delaware will, to the fullest extent permitted by applicable law, be the exclusive forum for (i) any derivative action, suit or proceeding brought on behalf of the Company; (ii) any action, suit or proceeding (including any class action) asserting a claim of breach of a fiduciary duty owed by any current or former director, officer, other employee, agent or stockholder of the Company to the Company or the Company’s stockholders; (iii) any action, suit or proceeding (including any class action) asserting a claim against the Company or any current or former director, officer, other employee, agent or stockholder of the Company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To prevent having to litigate claims in multiple jurisdictions and the threat of inconsistent or contrary rulings by different courts, among other considerations, our certificate of incorporation provides that, unless we consent in writing to the selection of an alternate forum, the federal district courts of the United States of America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Sales Agreement, or the gross proceeds resulting from those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the sales agents at any time throughout the term of the Sales Agreement. The number of shares that are sold through the sales agents after delivering a placement notice will fluctuate based on a number of factors, including the market price of our Class A common stock during the sales period, the limits we set with the sales agents in any applicable placement notice, and the demand for our Class A common stock during the sales period. Because the price per share of each share sold will fluctuate during the sales period, it is not currently possible to predict the number of shares that will be sold or the gross proceeds to be raised in connection with those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Class A common stock offered hereby will be sold in “at the market offerings,” 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Kalai_007"/>
      <w:bookmarkEnd w:id="8"/>
      <w:r>
        <w:rPr>
          <w:rFonts w:ascii="Times New Roman;Times;Serif" w:hAnsi="Times New Roman;Times;Serif"/>
          <w:b/>
          <w:i w:val="false"/>
          <w:caps w:val="false"/>
          <w:smallCaps w:val="false"/>
          <w:sz w:val="20"/>
        </w:rPr>
        <w:t>USE OF PROCEEDS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proceeds from this offering will depend upon the number of shares of our Class A common stock sold and the market price at which they are sold. There can be no assurance that we will be able to sell any shares under the Sales Agreement or fully utilize the Sales Agreement with the sales agents.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that we receive from this offering for general corporate purposes. 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of directors and our management retains broad discretion in the application of the net proceeds from this offering.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Kalai_008"/>
      <w:bookmarkEnd w:id="9"/>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regular cash dividends on our Class A common stock in the near term. Any future declaration and payment of cash dividends or other distributions of capital will be at the discretion of our board of directors and will depend on our financial condition, earnings, cash needs, capital requirements (including requirements of our subsidiaries), contractual, legal, tax and regulatory restrictions, and any other factors that our board of directors deems relevant in making such a determination. Therefore, we cannot assure you that we will pay any cash dividends or other distributions to holders of our Class A common stock, or as to the amount of any such cash dividends or other distributions if and when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Kalai_009"/>
      <w:bookmarkEnd w:id="10"/>
      <w:r>
        <w:rPr>
          <w:rFonts w:ascii="Times New Roman;Times;Serif" w:hAnsi="Times New Roman;Times;Serif"/>
          <w:b/>
          <w:i w:val="false"/>
          <w:caps w:val="false"/>
          <w:smallCaps w:val="false"/>
          <w:sz w:val="20"/>
        </w:rPr>
        <w:t>MATERIAL U.S. FEDERAL INCOME TAX CONSEQUENCES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related to the acquisition, ownership and disposition of Class A common stock by non-U.S. holder (defined below), but does not purport to be a complete analysis of all potential tax effects. This discussion is limited to certain U.S. federal income tax considerations to beneficial owners of our Class A common stock that hold such stock as capital assets within the meaning of Section 1221 of the U.S.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This discussion assumes that any distributions made by us on our Class A common stock and any consideration received by a holder in consideration for the sale or other disposition of our Class A common stock will be in U.S. dollars.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holder” means a beneficial owner of our Class A common stock who or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non-resident alien individual (other than certain former citizens and residents of the United States subject to U.S. tax as expatriates);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created or organized under the laws of a jurisdiction other than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other than one the income of which is subject to U.S. federal income taxation regardless of its source; or an estate or trust that is not a U.S. 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other than a trust if (A) with respect to which a court within the United States is able to exercise primary supervision over the trust’s administration and one or more U.S. persons have the authority to control all substantial decisions, or (B) that has a valid election in effect to be treated as a U.S. person for U.S. federal income tax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does not include an individual who is present in the United States for 183 days or more in the taxable year of disposition. Such an individual should consult his or her tax advisor regarding the U.S. federal income and estate tax consequences of the acquisition, ownership and disposition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or other pass-through entity for U.S. federal income tax purposes) holds our Class A common stock,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Class A common stock, you are urged to consult your own tax advisor regarding the tax consequences of the acquisition, ownership and disposition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financial institutions or financial services entities;</w:t>
            </w:r>
          </w:p>
        </w:tc>
      </w:tr>
    </w:tbl>
    <w:p>
      <w:pPr>
        <w:pStyle w:val="TextBody"/>
        <w:bidi w:val="0"/>
        <w:spacing w:before="0" w:after="0"/>
        <w:ind w:left="0"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hanging="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bl>
    <w:p>
      <w:pPr>
        <w:pStyle w:val="TextBody"/>
        <w:bidi w:val="0"/>
        <w:spacing w:before="0" w:after="0"/>
        <w:ind w:left="0" w:right="0" w:hanging="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 former citizens or long-term residents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five percent or more (by vote or value) of our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our Class A common stock pursuant to an exercise of employee share options, in connection with employee share incentive plans or otherwise as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subject to a mark-to-market method of tax accounting with respect to our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Class A common stock as part of a “straddle,” constructive sale, hedge, conversion or other integrated or similar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(or entities or arrangements classified as partnerships or other pass-through entities for U.S. federal income tax purposes) and any beneficial owners of such entities or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0" w:right="0" w:hanging="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 and</w:t>
            </w:r>
          </w:p>
        </w:tc>
      </w:tr>
    </w:tbl>
    <w:p>
      <w:pPr>
        <w:pStyle w:val="TextBody"/>
        <w:bidi w:val="0"/>
        <w:spacing w:before="0" w:after="0"/>
        <w:ind w:left="0" w:right="0" w:hanging="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 and other corporations that accumulate earnings to avoid U.S. federal income tax.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or differing interpretation, possibly on a retroactive basis, and changes to any of which subsequent to the date of this prospectus supplement may affect the tax consequences described herein. This discussion does not address any aspect of state, local or non-U.S. taxation, or any U.S. federal taxes other than income taxes (such as gift and estate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do not expect to seek, a ruling from the U.S. Internal Revenue Service (the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ONLY A SUMMARY OF CERTAIN U.S. FEDERAL INCOME TAX CONSIDERATIONS ASSOCIATED WITH THE ACQUISITION, OWNERSHIP AND DISPOSITION OF OUR CLASS A COMMON STOCK. EACH PROSPECTIVE INVESTOR IN OUR CLASS A COMMON STOCK IS URGED TO CONSULT ITS OWN TAX ADVISOR WITH RESPECT TO THE PARTICULAR TAX CONSEQUENCES TO SUCH INVESTOR OF THE ACQUISITION, OWNERSHIP AND DISPOSITION OF OUR CLASS A COMMON STOCK, INCLUDING THE APPLICABILITY AND EFFECT OF ANY U.S. FEDERAL NON-INCOME, STATE, LOCAL, AND NON-U.S.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Distributions on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(other than certain pro rata distributions of our stock and rights to acquire our stock) we make to a non-U.S. holder on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Times;Serif" w:hAnsi="Times New Roman;Times;Serif"/>
          <w:b w:val="false"/>
          <w:i/>
          <w:caps w:val="false"/>
          <w:smallCaps w:val="false"/>
          <w:sz w:val="20"/>
        </w:rPr>
        <w:t>Gain on Sale, Taxable Exchange or Other Taxable Disposition of Class A Common Stock</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any applicable tax treaties that may provide for different rules.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Gain on Sale, Taxable Exchange or Other Taxable Disposition of Class A Common Stock</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“Information Reporting and Backup Withholding” and “FATCA,” a non-U.S. holder generally will not be subject to U.S. federal income or withholding tax in respect of gain recognized on a sale, taxable exchange or other taxable disposition of our Class A common stock,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withhold U.S. federal income tax at a rate of 15% of the amount realized upon such disposition. We believe that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potentially applicable income tax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Information Reporting and Backup Withholding</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Information returns will be filed with the IRS in connection with payments of dividends and may be filed with the IRS in connection with the payment of the proceeds from a sale or other disposition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Copies of information returns that are filed with the IRS may also be made available under the provisions of an applicable treaty or agreement to the tax authorities of the country in which the non-U.S. holder resides or is established.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FATCA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Provisions commonly referred to as “FATCA” impose withholding of 30% 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Under the applicable proposed Treasury regulations, this withholding tax will not apply to the gross proceeds from the sale or other disposition of our capital stock. The preamble to these proposed Treasury regulations indicates that taxpayers may rely on them pending their finalization. All holders should consult their own tax advisors regarding the effects of FATCA on their investment in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Kalai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the sales agents on November 17, 2023, which we filed as an exhibit to a report filed under the Exchange Act and incorporate by reference herein. In accordance with the terms of the Sales Agreement, we may offer and sell shares of our Class A common stock under this prospectus supplement having an aggregate offering price of up to $75,000,000, from time to time through or to B. Riley Securities, Cantor or Stifel, as sales agent or principal. Sales of shares of our Class A common stock, if any, under this prospectus supplement may be made by any method deemed to be an “at the market offering” as defined in Rule 415(a)(4) under the Securities Act. We may instruct the sales agents not to sell Class A common stock if the sales cannot be effected at or above the price designated by us from time to time. We or the sales agents may suspend the offering of Class A common stock upon notice and subject to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will offer our Class A common stock subject to the terms and conditions of the Sales Agreement as agreed upon by us and the sales agents. Each time we wish to issue and sell Class A common stock under the Sales Agreement, we will notify a sales agent of the number or dollar value of shares to be issued, the time period during which such sales are requested to be made, any limitation on the number of shares that may be sold in one day, any minimum price below which sales may not be made and other sales parameters as we deem appropriate. Once we have so instructed such sales agent, unless the sales agent declines to accept the terms of the notice, such sales agent has agreed to use its commercially reasonable efforts consistent with its normal trading and sales practices to sell such shares up to the amount specified on such terms. The obligations of the sales agents under the Sales Agreement to sell our common stock are subject to a number of conditions that we must meet.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agents commissions for their services in the sale of our common stock at a commission rate equal to up to 3.0% of the gross sale price per share sold. We estimate that the total expenses for the offering, excluding any commissions or expense reimbursement payable to the sales agents under the terms of the Sales Agreement, will be approximately $350,000. The remaining sale proceeds, after deducting any other transaction fees, will equal our net proceeds from the sale of such shares. We have also agreed to reimburse the sales agents for their reasonable out-of-pocket expenses, including attorney’s fees, in an amount not to exceed an aggregate of $85,000 incurred in connection with entering into the transactions contemplated by the Sales Agreement and up to $12,500 per calendar quarter, for ongoing diligence arising from the transactions contemplated by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Class A common stock will occur on the second business day following the date on which any sales are made, or on some other date that is agreed upon by us and the sales agents in connection with a particular transaction, in return for payment of the net proceeds to us.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Class A common stock on our behalf, each sales agent will be deemed to be an underwriter within the meaning of the Securities Act, and its compensation as sales agent will be deemed to be underwriting commissions or discounts. We have agreed to provide indemnification and contribution to the sales agents against certain civil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pursuant to the Sales Agreement will terminate upon the earlier of (1) the issuance and sale of all shares of our Class A common stock subject to the Sales Agreement; and (2) the termination of the Sales Agreement as permitted therein. We and each of the sales agents have the right to terminate the Sales Agreement at any time upon two days’ prior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 Riley Securities, Cantor and Stifel and their respective affiliates have in the past and may in the future provide various investment banking, commercial banking, financial advisory and other financial services for us and our affiliates, for which services they may in the future receive customary fees and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business, the sales agents may actively trade our securities for their own accounts or for the accounts of clients, and, accordingly, the sales agents may at any time hold long or short positions in such securities. The sales agents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To the extent required by Regulation M, the sales agents will not engage in any market making activities involving our Class A common stock while the offering is ongoing under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Kalai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Class A common stock offered hereby will be passed upon for us by Sheppard, Mullin, Richter &amp; Hampton LLP, New York, New York. Certain legal matters in connection with this offering will be passed upon for the sales agents by Davis Polk &amp; Wardwell LLP,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Kalai_012"/>
      <w:bookmarkEnd w:id="13"/>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for each of the two years in the period ended December 31, 2022, incorporated by reference in this prospectus supplement, the accompanying prospectus and in the registration statement have been so incorporated in reliance on the report of BDO USA, LLP (n/k/a BDO USA, P.C.), an independent registered public accounting firm, incorporated herein by reference,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Kalai_013"/>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Class A common stock offered by this prospectus supplement. This prospectus supplement and the accompanying prospectus, which form a part of such registration statement, do not contain all of the information included in the registration statement or the exhibits thereto. For further information pertaining to us and the Class A common stock being offered, you should refer to the registration statement and to its exhibits. The registration statement has been filed electronically and may be obtained in any manner listed below. Whenever we make reference in this prospectus supplement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supplement relating to a contract or document filed as an exhibit to the registration statement or report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that is hyperlinked to, our website is not part of, and is not incorporated into, this prospectus supplement. You may inspect a copy of the registration statement through the SEC’s website,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Kalai_014"/>
      <w:bookmarkEnd w:id="15"/>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before="0" w:after="0"/>
        <w:ind w:left="1440" w:right="0" w:hanging="72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December 31, 2022, filed with the SEC on March 29,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our quarterly reports on Form 10–Q for the quarters months ended March 31, 2023, filed with the SEC on </w:t>
            </w:r>
            <w:hyperlink r:id="rId4">
              <w:r>
                <w:rPr>
                  <w:rStyle w:val="InternetLink"/>
                  <w:rFonts w:ascii="Times New Roman;Times;Serif" w:hAnsi="Times New Roman;Times;Serif"/>
                  <w:sz w:val="20"/>
                </w:rPr>
                <w:t>May 15, 2023</w:t>
              </w:r>
            </w:hyperlink>
            <w:r>
              <w:rPr>
                <w:rFonts w:ascii="Times New Roman;Times;Serif" w:hAnsi="Times New Roman;Times;Serif"/>
                <w:sz w:val="20"/>
              </w:rPr>
              <w:t xml:space="preserve">, June 30, 2023, filed with the SEC on </w:t>
            </w:r>
            <w:hyperlink r:id="rId5">
              <w:r>
                <w:rPr>
                  <w:rStyle w:val="InternetLink"/>
                  <w:rFonts w:ascii="Times New Roman;Times;Serif" w:hAnsi="Times New Roman;Times;Serif"/>
                  <w:sz w:val="20"/>
                </w:rPr>
                <w:t>August 14, 2023</w:t>
              </w:r>
            </w:hyperlink>
            <w:r>
              <w:rPr>
                <w:rFonts w:ascii="Times New Roman;Times;Serif" w:hAnsi="Times New Roman;Times;Serif"/>
                <w:sz w:val="20"/>
              </w:rPr>
              <w:t xml:space="preserve">, and September 30, 2023, filed with the SEC on </w:t>
            </w:r>
            <w:hyperlink r:id="rId6">
              <w:r>
                <w:rPr>
                  <w:rStyle w:val="InternetLink"/>
                  <w:rFonts w:ascii="Times New Roman;Times;Serif" w:hAnsi="Times New Roman;Times;Serif"/>
                  <w:sz w:val="20"/>
                </w:rPr>
                <w:t>November 14, 2023</w:t>
              </w:r>
            </w:hyperlink>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7">
              <w:r>
                <w:rPr>
                  <w:rStyle w:val="InternetLink"/>
                  <w:rFonts w:ascii="Times New Roman;Times;Serif" w:hAnsi="Times New Roman;Times;Serif"/>
                  <w:sz w:val="20"/>
                </w:rPr>
                <w:t>April 5, 2023</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April 19, 2023</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May 8, 2023</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June 2, 2023</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June 23, 2023</w:t>
              </w:r>
            </w:hyperlink>
            <w:r>
              <w:rPr>
                <w:rFonts w:ascii="Times New Roman;Times;Serif" w:hAnsi="Times New Roman;Times;Serif"/>
                <w:sz w:val="20"/>
                <w:u w:val="single"/>
              </w:rPr>
              <w:t>,</w:t>
            </w:r>
            <w:r>
              <w:rPr>
                <w:rFonts w:ascii="Times New Roman;Times;Serif" w:hAnsi="Times New Roman;Times;Serif"/>
                <w:sz w:val="20"/>
              </w:rPr>
              <w:t xml:space="preserve"> </w:t>
            </w:r>
            <w:hyperlink r:id="rId12">
              <w:r>
                <w:rPr>
                  <w:rStyle w:val="InternetLink"/>
                  <w:rFonts w:ascii="Times New Roman;Times;Serif" w:hAnsi="Times New Roman;Times;Serif"/>
                  <w:sz w:val="20"/>
                </w:rPr>
                <w:t>June 29, 2023</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August 31, 2023</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September 5, 2023</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September 20, 2023</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October 12, 2023</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October 20, 2023</w:t>
              </w:r>
            </w:hyperlink>
            <w:r>
              <w:rPr>
                <w:rFonts w:ascii="Times New Roman;Times;Serif" w:hAnsi="Times New Roman;Times;Serif"/>
                <w:sz w:val="20"/>
              </w:rPr>
              <w:t xml:space="preserve"> and </w:t>
            </w:r>
            <w:hyperlink r:id="rId18">
              <w:r>
                <w:rPr>
                  <w:rStyle w:val="InternetLink"/>
                  <w:rFonts w:ascii="Times New Roman;Times;Serif" w:hAnsi="Times New Roman;Times;Serif"/>
                  <w:sz w:val="20"/>
                </w:rPr>
                <w:t>October 26, 2023</w:t>
              </w:r>
            </w:hyperlink>
            <w:r>
              <w:rPr>
                <w:rFonts w:ascii="Times New Roman;Times;Serif" w:hAnsi="Times New Roman;Times;Serif"/>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pPr>
            <w:r>
              <w:rPr>
                <w:rFonts w:ascii="Times New Roman;Times;Serif" w:hAnsi="Times New Roman;Times;Serif"/>
                <w:sz w:val="20"/>
              </w:rPr>
              <w:t xml:space="preserve">our definitive proxy filed with the SEC on </w:t>
            </w:r>
            <w:hyperlink r:id="rId19">
              <w:r>
                <w:rPr>
                  <w:rStyle w:val="InternetLink"/>
                  <w:rFonts w:ascii="Times New Roman;Times;Serif" w:hAnsi="Times New Roman;Times;Serif"/>
                  <w:sz w:val="20"/>
                </w:rPr>
                <w:t>May 9, 2023</w:t>
              </w:r>
            </w:hyperlink>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prior to completion of this offering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your request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North Lexington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1450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 10601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(914) 705-4000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sales agents have authorized anyone else to provide you with information different from the information incorporated by reference or provided in this prospectus supplement or the accompanying prospectus. Neither we nor the sales agents are making an offer of these securities in any state where the offer is not permitted. You should not assume that the information in this prospectus supplement or the accompanying prospectus is accurate as of any date other than the date on the front of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51460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251460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offer and sell, from time to time in one or more offerings, any combination of Class A common stock, preferred stock, warrants to purchase Class A common stock, preferred stock, or any combination of the foregoing, either individually or as units comprised of one or more of the other securities, having aggregate offering proceeds not exceeding $200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sell a particular class or series of securities, we will provide specific terms of the securities offered in a supplement to this prospectus. The prospectus supplement and any related free writing prospectus may also add, update or change information contained in this prospectus. We may also authorize one or more free writing prospectuses to be provided to you in connection with these offerings. You should read carefully this prospectus, the applicable prospectus supplement and any related free writing prospectus, as well as any documents incorporated by reference herein or therein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securities to be offered, and the specific manner in which they may be offered, will be described in one or more supplements to this prospectus. This prospectus may not be used to consummate sales of any of these securities unless it is accompanied by a prospectus supplement. Before investing, you should carefully read this prospectus and any related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presently listed on The Nasdaq Capital Market under the symbol “OPAL.” On August 10, 2023, the last reported sale price of our Class A common stock was $7.33 per share. The applicable prospectus supplement will contain information, where applicable, as to any other listing on The Nasdaq Capital Market or any securities market or other exchange of the securities, if any, covered by the prospectus supplement. Prospective purchasers of our securities are urged to obtain current information as to the market prices of our securities, where applicable.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sold directly by us, through dealers or agents designated from time to time, to or through underwriters, dealers, or through a combination of these methods on a continuous or delayed basis. See “Plan of Distribution” 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defined under the federal securities laws and, as such, are subject to certain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4 of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89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TRADEMARKS</w:t>
              </w:r>
            </w:hyperlink>
          </w:p>
        </w:tc>
        <w:tc>
          <w:tcPr>
            <w:tcW w:w="275"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SELECTED DEFINITIONS</w:t>
              </w:r>
            </w:hyperlink>
          </w:p>
        </w:tc>
        <w:tc>
          <w:tcPr>
            <w:tcW w:w="275" w:type="dxa"/>
            <w:tcBorders/>
            <w:shd w:fill="FFFFFF" w:val="clear"/>
            <w:vAlign w:val="center"/>
          </w:tcPr>
          <w:p>
            <w:pPr>
              <w:pStyle w:val="TableContents"/>
              <w:bidi w:val="0"/>
              <w:spacing w:before="0" w:after="283"/>
              <w:jc w:val="center"/>
              <w:rPr/>
            </w:pPr>
            <w:r>
              <w:rPr/>
              <w:t>ii</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pPr>
            <w:r>
              <w:rPr/>
              <w:t>v</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STATEMENT REGARDING FORWARD-LOOKING STATEMENTS</w:t>
              </w:r>
            </w:hyperlink>
          </w:p>
        </w:tc>
        <w:tc>
          <w:tcPr>
            <w:tcW w:w="275" w:type="dxa"/>
            <w:tcBorders/>
            <w:shd w:fill="FFFFFF" w:val="clear"/>
            <w:vAlign w:val="center"/>
          </w:tcPr>
          <w:p>
            <w:pPr>
              <w:pStyle w:val="TableContents"/>
              <w:bidi w:val="0"/>
              <w:spacing w:before="0" w:after="283"/>
              <w:jc w:val="center"/>
              <w:rPr/>
            </w:pPr>
            <w:r>
              <w:rPr/>
              <w:t>vi</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SUMMARY</w:t>
              </w:r>
            </w:hyperlink>
          </w:p>
        </w:tc>
        <w:tc>
          <w:tcPr>
            <w:tcW w:w="275"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275" w:type="dxa"/>
            <w:tcBorders/>
            <w:shd w:fill="FFFFFF" w:val="clear"/>
            <w:vAlign w:val="center"/>
          </w:tcPr>
          <w:p>
            <w:pPr>
              <w:pStyle w:val="TableContents"/>
              <w:bidi w:val="0"/>
              <w:spacing w:before="0" w:after="283"/>
              <w:jc w:val="center"/>
              <w:rPr/>
            </w:pPr>
            <w:r>
              <w:rPr/>
              <w:t>4</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275" w:type="dxa"/>
            <w:tcBorders/>
            <w:shd w:fill="CCEEFF" w:val="clear"/>
            <w:vAlign w:val="center"/>
          </w:tcPr>
          <w:p>
            <w:pPr>
              <w:pStyle w:val="TableContents"/>
              <w:bidi w:val="0"/>
              <w:spacing w:before="0" w:after="283"/>
              <w:jc w:val="center"/>
              <w:rPr/>
            </w:pPr>
            <w:r>
              <w:rPr/>
              <w:t>4</w:t>
            </w:r>
          </w:p>
        </w:tc>
      </w:tr>
      <w:tr>
        <w:trPr/>
        <w:tc>
          <w:tcPr>
            <w:tcW w:w="68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CAPITAL STOCK</w:t>
              </w:r>
            </w:hyperlink>
            <w:r>
              <w:rPr/>
              <w:t xml:space="preserve"> </w:t>
            </w:r>
          </w:p>
        </w:tc>
        <w:tc>
          <w:tcPr>
            <w:tcW w:w="275" w:type="dxa"/>
            <w:tcBorders/>
            <w:shd w:fill="FFFFFF" w:val="clear"/>
            <w:vAlign w:val="center"/>
          </w:tcPr>
          <w:p>
            <w:pPr>
              <w:pStyle w:val="TableContents"/>
              <w:bidi w:val="0"/>
              <w:spacing w:before="0" w:after="283"/>
              <w:jc w:val="center"/>
              <w:rPr/>
            </w:pPr>
            <w:r>
              <w:rPr/>
              <w:t xml:space="preserve">4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75" w:type="dxa"/>
            <w:tcBorders/>
            <w:shd w:fill="CCEEFF" w:val="clear"/>
            <w:vAlign w:val="center"/>
          </w:tcPr>
          <w:p>
            <w:pPr>
              <w:pStyle w:val="TableContents"/>
              <w:bidi w:val="0"/>
              <w:spacing w:before="0" w:after="283"/>
              <w:jc w:val="center"/>
              <w:rPr/>
            </w:pPr>
            <w:r>
              <w:rPr/>
              <w:t>12</w:t>
            </w:r>
          </w:p>
        </w:tc>
      </w:tr>
      <w:tr>
        <w:trPr/>
        <w:tc>
          <w:tcPr>
            <w:tcW w:w="689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75" w:type="dxa"/>
            <w:tcBorders/>
            <w:shd w:fill="FFFFFF" w:val="clear"/>
            <w:vAlign w:val="center"/>
          </w:tcPr>
          <w:p>
            <w:pPr>
              <w:pStyle w:val="TableContents"/>
              <w:bidi w:val="0"/>
              <w:spacing w:before="0" w:after="283"/>
              <w:jc w:val="center"/>
              <w:rPr/>
            </w:pPr>
            <w:r>
              <w:rPr/>
              <w:t>14</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OWNERSHIP OF SECURITIES</w:t>
              </w:r>
            </w:hyperlink>
          </w:p>
        </w:tc>
        <w:tc>
          <w:tcPr>
            <w:tcW w:w="275" w:type="dxa"/>
            <w:tcBorders/>
            <w:shd w:fill="CCEEFF" w:val="clear"/>
            <w:vAlign w:val="center"/>
          </w:tcPr>
          <w:p>
            <w:pPr>
              <w:pStyle w:val="TableContents"/>
              <w:bidi w:val="0"/>
              <w:spacing w:before="0" w:after="283"/>
              <w:jc w:val="center"/>
              <w:rPr/>
            </w:pPr>
            <w:r>
              <w:rPr/>
              <w:t>15</w:t>
            </w:r>
          </w:p>
        </w:tc>
      </w:tr>
      <w:tr>
        <w:trPr/>
        <w:tc>
          <w:tcPr>
            <w:tcW w:w="689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275" w:type="dxa"/>
            <w:tcBorders/>
            <w:shd w:fill="FFFFFF" w:val="clear"/>
            <w:vAlign w:val="center"/>
          </w:tcPr>
          <w:p>
            <w:pPr>
              <w:pStyle w:val="TableContents"/>
              <w:bidi w:val="0"/>
              <w:spacing w:before="0" w:after="283"/>
              <w:jc w:val="center"/>
              <w:rPr/>
            </w:pPr>
            <w:r>
              <w:rPr/>
              <w:t>18</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75" w:type="dxa"/>
            <w:tcBorders/>
            <w:shd w:fill="CCEEFF" w:val="clear"/>
            <w:vAlign w:val="center"/>
          </w:tcPr>
          <w:p>
            <w:pPr>
              <w:pStyle w:val="TableContents"/>
              <w:bidi w:val="0"/>
              <w:spacing w:before="0" w:after="283"/>
              <w:jc w:val="center"/>
              <w:rPr/>
            </w:pPr>
            <w:r>
              <w:rPr/>
              <w:t>20</w:t>
            </w:r>
          </w:p>
        </w:tc>
      </w:tr>
      <w:tr>
        <w:trPr/>
        <w:tc>
          <w:tcPr>
            <w:tcW w:w="689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75" w:type="dxa"/>
            <w:tcBorders/>
            <w:shd w:fill="FFFFFF" w:val="clear"/>
            <w:vAlign w:val="center"/>
          </w:tcPr>
          <w:p>
            <w:pPr>
              <w:pStyle w:val="TableContents"/>
              <w:bidi w:val="0"/>
              <w:spacing w:before="0" w:after="283"/>
              <w:jc w:val="center"/>
              <w:rPr/>
            </w:pPr>
            <w:r>
              <w:rPr/>
              <w:t>20</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MORE INFORMATION</w:t>
              </w:r>
            </w:hyperlink>
          </w:p>
        </w:tc>
        <w:tc>
          <w:tcPr>
            <w:tcW w:w="275" w:type="dxa"/>
            <w:tcBorders/>
            <w:shd w:fill="CCEEFF" w:val="clear"/>
            <w:vAlign w:val="center"/>
          </w:tcPr>
          <w:p>
            <w:pPr>
              <w:pStyle w:val="TableContents"/>
              <w:bidi w:val="0"/>
              <w:spacing w:before="0" w:after="283"/>
              <w:jc w:val="center"/>
              <w:rPr/>
            </w:pPr>
            <w:r>
              <w:rPr/>
              <w:t>20</w:t>
            </w:r>
          </w:p>
        </w:tc>
      </w:tr>
      <w:tr>
        <w:trPr/>
        <w:tc>
          <w:tcPr>
            <w:tcW w:w="689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INFORMATION BY REFERENCE</w:t>
              </w:r>
            </w:hyperlink>
          </w:p>
        </w:tc>
        <w:tc>
          <w:tcPr>
            <w:tcW w:w="275" w:type="dxa"/>
            <w:tcBorders/>
            <w:shd w:fill="FFFFFF" w:val="clear"/>
            <w:vAlign w:val="center"/>
          </w:tcPr>
          <w:p>
            <w:pPr>
              <w:pStyle w:val="TableContents"/>
              <w:bidi w:val="0"/>
              <w:spacing w:before="0" w:after="283"/>
              <w:jc w:val="center"/>
              <w:rPr/>
            </w:pPr>
            <w:r>
              <w:rPr/>
              <w:t>21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1"/>
      <w:bookmarkEnd w:id="16"/>
      <w:r>
        <w:rPr>
          <w:rFonts w:ascii="Times New Roman;Times;Serif" w:hAnsi="Times New Roman;Times;Serif"/>
          <w:b/>
          <w:i w:val="false"/>
          <w:caps w:val="false"/>
          <w:smallCaps w:val="false"/>
          <w:sz w:val="20"/>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2"/>
      <w:bookmarkEnd w:id="17"/>
      <w:r>
        <w:rPr>
          <w:rFonts w:ascii="Times New Roman;Times;Serif" w:hAnsi="Times New Roman;Times;Serif"/>
          <w:b/>
          <w:i w:val="false"/>
          <w:caps w:val="false"/>
          <w:smallCaps w:val="false"/>
          <w:sz w:val="20"/>
        </w:rPr>
        <w:t>SELECTED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unless the context otherwise requires: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Combination” refers to the transaction contemplated by the BCA.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Bylaws” refers to the bylaws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Charter” refers to certificate of incorporation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common stock” refers to the shares of Class A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Units” refers to the Class A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common stock” refers to the shares of Class B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Units” refers to the Class B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C common stock” refers to the shares of Class C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Class D common stock” refers to the shares of Class D common stock, par value $0.0001 per share,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Closing” refers to the closing of the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Common Stock” refers to the collective shares of Class A common stock, Class B common stock, Class C common stock and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“we”, “our”, “us” or similar terms refers to OPAL Fuels Inc. individually or on a consolidated basis, as the context may require.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 refers to the Securities Exchange Act of 1934,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Fortistar” refers to Fortistar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w:t>
      </w:r>
      <w:r>
        <w:rPr>
          <w:rFonts w:ascii="Times New Roman;Times;Serif" w:hAnsi="Times New Roman;Times;Serif"/>
          <w:b w:val="false"/>
          <w:i w:val="false"/>
          <w:caps w:val="false"/>
          <w:smallCaps w:val="false"/>
          <w:sz w:val="20"/>
        </w:rPr>
        <w:t xml:space="preserve">CNG. </w:t>
      </w:r>
      <w:r>
        <w:rPr>
          <w:rFonts w:ascii="Times New Roman;Times;Serif" w:hAnsi="Times New Roman;Times;Serif"/>
          <w:b w:val="false"/>
          <w:i/>
          <w:caps w:val="false"/>
          <w:smallCaps w:val="false"/>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Hillman” refers to Hillman RNG Investments,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refers to ArcLight’s initial public offering of its Class A ordinary shares and ArcLight Public Warrants pursuant to the IPO Registration Statement and completed on March 25,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Registration Statement” refers to ArcLight’s Registration Statement on Form S-1, filed with the SEC (File No. 333-252730), on March 22,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NextEra” refers to Mendocino Capital,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and “OPAL Fuels” refers to OPAL Fuels Inc., a Delaware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Preferred Stock” refers to our shares of preferred stock, par value $0.0001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Opco Common Units” refers to the Class B Units resulting from the re-classification of the collective Opco common units existing immediately prior to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refers to the Charter and the Bylaws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 means an individual, partnership, corporation, limited liability company, joint stock company, unincorporated organization or association, trust, joint venture or other similar entity, whether or not a legal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PIPE Investors” refers, collectively, to the institutional and accredited investors that entered into Subscription Agreements with ArcLight.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Warrants” refers to the 9,223,261 redeemable warrants that were exchanged for the ArcLight Private Placement Warrants in connection with the Closing, and which were subsequently exchanged for Class A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Public Warrants” refers to the 6,223,233 redeemable warrants exchanged for the ArcLight Public Warrants in connection with the Closing, and which were subsequently exchanged for Class A common stock</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Sarbanes-Oxley Act” refers to the Sarbanes-Oxley Act of 2002.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A&amp;R LLC Agreement” refers to the Second Amended and Restated Limited Liability Company Agreement of Opco.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 refers to the Securities Act of 1933,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Subscription Agreements” refer to the subscription agreements (as amended from time to time) that ArcLight entered into in connection with the Business Combination Agreement, each dated as of December 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Warrants” refers collectively to the Private Placement Warrants together with the Public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is a glossary of key industry terms used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Btu” refers to British thermal units.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CNG” refers to compressed natural gas.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EPA” refers to the U.S. Environmental Protection Agency.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LCFS” refers to Low Carbon Fuel Standard or similar types of federal and state programs.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 refers to renewable energy credits.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Renewable Power” refers to electricity generated from renewable sources.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RFS” refers to the EPA’s Renewable Fuel Standard.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RINs” refers to Renewable Identification Numbers.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RNG” refers to renewable natural gas.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3"/>
      <w:bookmarkEnd w:id="1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part of a registration statement that we filed with the U.S. Securities and Exchange Commission (“SEC”) using a “shelf” registration process. Under this shelf registration statement, we may sell from time to time in one or more offerings of Class A common stock, preferred stock and/or warrants to purchase any of such securities, either individually or as units comprised of a combination of one or more of the other securities in one or more offerings up to a total dollar amount of $200 million. This prospectus provides you with a general description of the securities we may offer. Each time we sell any type or series of securities under this prospectus, we will provide a prospectus supplement that will contain more specific information about the terms of that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We may add, update or change, in a prospectus supplement or free writing prospectus, any of the information contained in this prospectus or in the documents we have incorporated by reference into this prospectus. We may also authorize one or more free writing prospectuses to be provided to you that may contain material information relating to these offerings.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agent or other person to give any information or to make any representation other than those contained or incorporated by reference in this prospectus,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the accompanying prospectus supplement and any related free writing prospectus, if any, do not constitute an offer to sell or the solicitation of an offer to buy any securities other than the registered securities to which they relate, nor do this prospectus, the accompanying prospectus supplement or any related free writing prospectus, if any,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Company,” “we,” “us,” and “our” refer to OPAL Fuels Inc., a Delaware corporation, and its subsidiaries,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4"/>
      <w:bookmarkEnd w:id="19"/>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are “forward-looking statements.” Words such as “estimates,” “projected,” “expects,”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failure to realize the benefits of the Business Combination, which may be affected by, among other things, competition, our ability to grow and manage growth profitably, maintain relationships with customers and suppliers and retain key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sz w:val="20"/>
              </w:rPr>
            </w:pPr>
            <w:r>
              <w:rPr>
                <w:sz w:val="20"/>
              </w:rPr>
              <w:t>our success in retaining or recruiting, our principal officers, key employees or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sz w:val="20"/>
              </w:rPr>
            </w:pPr>
            <w:r>
              <w:rPr>
                <w:sz w:val="20"/>
              </w:rPr>
              <w:t>intense competition and competitive pressures from other companies in the industry in which we operate;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increased costs of, or delays in obtaining, key components or labor for the construction and completion of landfill gas and livestock waste projects that generate electricity, and RNG, CNG and hydrogen dispensing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factors relating to our business, operations and financial performance, including market conditions and global and economic factors beyond our control;</w:t>
            </w:r>
          </w:p>
        </w:tc>
      </w:tr>
    </w:tbl>
    <w:p>
      <w:pPr>
        <w:pStyle w:val="TextBody"/>
        <w:bidi w:val="0"/>
        <w:spacing w:before="0" w:after="0"/>
        <w:ind w:left="960" w:right="0" w:hanging="48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macroeconomic conditions related to the global COVID-19 pandemic;</w:t>
            </w:r>
          </w:p>
        </w:tc>
      </w:tr>
    </w:tbl>
    <w:p>
      <w:pPr>
        <w:pStyle w:val="TextBody"/>
        <w:bidi w:val="0"/>
        <w:spacing w:before="0" w:after="0"/>
        <w:ind w:left="960" w:right="0" w:hanging="48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the reduction or elimination of government economic incentives to the renewable energy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tc>
      </w:tr>
    </w:tbl>
    <w:p>
      <w:pPr>
        <w:pStyle w:val="TextBody"/>
        <w:bidi w:val="0"/>
        <w:spacing w:before="0" w:after="0"/>
        <w:ind w:left="960" w:right="0" w:hanging="48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sz w:val="20"/>
              </w:rPr>
            </w:pPr>
            <w:r>
              <w:rPr>
                <w:sz w:val="20"/>
              </w:rPr>
              <w:t>the ability to identify, acquire, develop and operate renewable projects and Fueling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our ability to issue equity or equity-linked securities or obtain debt financing;</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sz w:val="20"/>
              </w:rPr>
            </w:pPr>
            <w:r>
              <w:rPr>
                <w:sz w:val="20"/>
              </w:rPr>
              <w:t>the demand for renewable energy not being sustained;</w:t>
            </w:r>
          </w:p>
        </w:tc>
      </w:tr>
    </w:tbl>
    <w:p>
      <w:pPr>
        <w:pStyle w:val="TextBody"/>
        <w:bidi w:val="0"/>
        <w:spacing w:before="0" w:after="0"/>
        <w:ind w:left="960" w:right="0" w:hanging="48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impacts of climate change, changing weather patterns and conditions and natural disasters;</w:t>
            </w:r>
          </w:p>
        </w:tc>
      </w:tr>
    </w:tbl>
    <w:p>
      <w:pPr>
        <w:pStyle w:val="TextBody"/>
        <w:bidi w:val="0"/>
        <w:spacing w:before="0" w:after="0"/>
        <w:ind w:left="960" w:right="0" w:hanging="48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sz w:val="20"/>
              </w:rPr>
            </w:pPr>
            <w:r>
              <w:rPr>
                <w:sz w:val="20"/>
              </w:rPr>
              <w:t>the effect of legal, tax and regulatory changes; and</w:t>
            </w:r>
          </w:p>
        </w:tc>
      </w:tr>
    </w:tbl>
    <w:p>
      <w:pPr>
        <w:pStyle w:val="TextBody"/>
        <w:bidi w:val="0"/>
        <w:spacing w:before="0" w:after="0"/>
        <w:ind w:left="960" w:right="0" w:hanging="48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other factors detailed under the section entitled “</w:t>
            </w:r>
            <w:r>
              <w:rPr>
                <w:i/>
                <w:sz w:val="20"/>
              </w:rPr>
              <w:t>Risk Factors.</w:t>
            </w:r>
            <w:r>
              <w:rPr>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3" w:color="000000"/>
        </w:rPr>
      </w:pPr>
      <w:bookmarkStart w:id="20" w:name="a_005"/>
      <w:bookmarkEnd w:id="20"/>
      <w:r>
        <w:rPr>
          <w:rFonts w:ascii="Times New Roman;Times;Serif" w:hAnsi="Times New Roman;Times;Serif"/>
          <w:b/>
          <w:i w:val="false"/>
          <w:caps w:val="false"/>
          <w:smallCaps w:val="false"/>
          <w:sz w:val="20"/>
          <w:bdr w:val="single" w:sz="12" w:space="3" w:color="000000"/>
        </w:rPr>
        <w:t>SUMMARY</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This summary highlights selected information contained elsewhere in this prospectus and does not contain all of the information you should consider when making your investment decision. Before investing in our securities, you should carefully read this entire prospectus. See also the section entitled “Where You Can Find More Information.” The definition of some of the terms used in this prospectus are set forth under the section “Selected Definitions.”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Business Overview</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Additional information about us can be found in our most recent annual report on Form 10-K incorporated by reference herein together with any material changes thereto contained in subsequently filed quarterly reports on Form 10-Q.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Corporation Information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are a Delaware corporation. Our principal executive offices are located at One North Lexington Avenue, Suite 1450, White Plains, New York 10601 and our telephone number is (914) 705-4000. Our website is </w:t>
      </w:r>
      <w:r>
        <w:rPr>
          <w:rFonts w:ascii="Times New Roman;Times;Serif" w:hAnsi="Times New Roman;Times;Serif"/>
          <w:b w:val="false"/>
          <w:i/>
          <w:caps w:val="false"/>
          <w:smallCaps w:val="false"/>
          <w:sz w:val="20"/>
          <w:bdr w:val="single" w:sz="12" w:space="3" w:color="000000"/>
        </w:rPr>
        <w:t>www.opalfuels.com</w:t>
      </w:r>
      <w:r>
        <w:rPr>
          <w:rFonts w:ascii="Times New Roman;Times;Serif" w:hAnsi="Times New Roman;Times;Serif"/>
          <w:b w:val="false"/>
          <w:i w:val="false"/>
          <w:caps w:val="false"/>
          <w:smallCaps w:val="false"/>
          <w:sz w:val="20"/>
          <w:bdr w:val="single" w:sz="12" w:space="3" w:color="000000"/>
        </w:rPr>
        <w:t>. Our website and the information contained on, or accessed through, its website are not part of this prospectus, and you should rely only on the information contained in this prospectus when making a decision as to whether to invest in our securities.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The Securities We May Offer</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may offer shares of our Class A common stock and preferred stock, and warrants to purchase any of such securities, either individually or in units, from time to time under this prospectus, together with any applicable prospectus supplement and related free writing prospectus, at prices and on terms to be determined by market conditions at the time of offering. Each time we offer securities under this prospectus, we will provide offerees with a prospectus supplement that will describe the specific amounts, prices and other important terms of the securities being offered, including, to the extent applicable: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designation or classification;</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aggregate principal amount or aggregate offering price;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both"/>
              <w:rPr/>
            </w:pPr>
            <w:r>
              <w:rPr/>
              <w:t>maturity, if applicable;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both"/>
              <w:rPr/>
            </w:pPr>
            <w:r>
              <w:rPr/>
              <w:t>original issue discount,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pPr>
            <w:r>
              <w:rPr/>
              <w:t>rates and times of payment of interest or dividends,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redemption, conversion, exchange or sinking fund terms,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conversion or exchange prices or rates, if any, and, if applicable, any provisions for changes to or adjustments in the conversion or exchange prices or rates and in the securities or other property receivable upon conversion or exchange;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1023" w:type="dxa"/>
        <w:jc w:val="left"/>
        <w:tblInd w:w="0" w:type="dxa"/>
        <w:tblLayout w:type="fixed"/>
        <w:tblCellMar>
          <w:top w:w="0" w:type="dxa"/>
          <w:left w:w="0" w:type="dxa"/>
          <w:bottom w:w="0" w:type="dxa"/>
          <w:right w:w="0" w:type="dxa"/>
        </w:tblCellMar>
      </w:tblPr>
      <w:tblGrid>
        <w:gridCol w:w="38"/>
        <w:gridCol w:w="17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both"/>
              <w:rPr/>
            </w:pPr>
            <w:r>
              <w:rPr/>
              <w:t>ranking;</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restrictive covenants,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pPr>
            <w:r>
              <w:rPr/>
              <w:t>voting or other rights, if any; and</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important United States federal income tax considerations.</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 details regarding any over-allotment option granted to them, and net proceeds to us. The following is a summary of the securities we may offer with this prospectus.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Class A Common Stock </w:t>
      </w:r>
    </w:p>
    <w:p>
      <w:pPr>
        <w:pStyle w:val="TextBody"/>
        <w:bidi w:val="0"/>
        <w:spacing w:before="0" w:after="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currently have authorized 1,120,000,000 shares, consisting of 820,000,000 shares of common Stock, par value $0.0001 per share, divided into: 340,000,000 shares of Class A common stock, 160,000,000 shares of Class B common stock, 160,000,000 shares of Class C common stock, and 160,000,000 shares of Class D common stock. As of August 10, 2023, there were 27,694,332 shares of Class A common stock issued and outstanding, no shares of Class B common stock issued and outstanding, no shares of Class C common stock issued and outstanding, and 144,399,037 shares of Class D common stock issued and outstanding. We may offer shares of our Class A common stock either alone or underlying other registered securities convertible into or exercisable for our Class A common stock. Holders of our Class A common stock are entitled to such dividends as our board of directors (the “Board of Directors” or “Board”) may declare from time to time out of legally available funds, subject to the preferential rights of the holders of any shares of our preferred stock that are outstanding or that we may issue in the future. Currently, we do not pay any dividends on our Class A common stock. Each holder of our Class A common stock is entitled to one vote per share held on all matters submitted to a vote of our stockholders. In this prospectus, we provide a general description of, among other things, the rights and restrictions that apply to holders of our Class A common stock.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Preferred Stock</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currently have authorized 300,000,000 shares of preferred stock, par value $0.0001, none of which are issued and outstanding. </w:t>
      </w:r>
    </w:p>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Any authorized and undesignated shares of preferred stock may be issued from time to time in one or more series pursuant to a resolution or resolutions providing for such issue duly adopted by our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rights, preferences, privileges, and restrictions granted to or imposed upon any series of preferred stock that we offer and sell under this prospectus and applicable prospectus supplements will be set forth in a certificate of designation relating to the series. We will incorporate by reference into the registration statement of which this prospectus is a part the form of any certificate of designation that describes the terms of the series of preferred stock we are offering before the issuance of shares of that series of preferred stock. You should read any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Warrants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may offer warrants for the purchase of shares of our Class A common stock or preferred stock. We may issue the warrants by themselves or together with Class A common stock or preferred stock, and the warrants may be attached to or separate from any offered securities. Any warrants issued under this prospectus may be evidenced by warrant certificates. Warrants may be issued under a separate warrant agreement to be entered into between us and the investors or a warrant agent. Our Board of Directors will determine the terms of the warrants. This prospectus contains only general terms and provisions of the warrants. The applicable prospectus supplement will describe the particular terms of the warrants being offered thereby. You should read any prospectus supplement and any free writing prospectus that we may authorize to be provided to you related to the series of warrants being offered, as well as the complete warrant agreements that contain the terms of the warrants. Specific warrant agreements will contain additional important terms and provisions and will be incorporated by reference into the registration statement of which this prospectus is a part from reports we file with the SEC.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Units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may offer units consisting of our Class A common stock or preferred stock, and/or warrants to purchase any of these securities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This prospectus contains only a summary of certain general features of the units. The applicable prospectus supplement will describe the particular features of the units being offered thereby.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will be incorporated by reference into the registration statement of which this prospectus is a part from reports we file with the SEC.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This prospectus contains, and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this prospectus and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2022, filed with the SEC on March 29, 2023, and incorporated herein by reference, as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prospectus supplement and any free writing prospectus in connection with a specific offering, we currently intend to use the net proceeds from the sale of the securities offered under this prospectus for general corporate purposes, including (i) sales and marketing, (ii) operational costs, (iii) design, development, construction, operation and maintenance of renewable energy and Fueling Stations, (iv) strategic transactions and (v) working capital and other general corporate purposes. We may also use the net proceeds to repay any debts and/or invest in or acquire complementary businesses, products, or technologies, although we have no current commitments or agreements with respect to any such investments or acquisitions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Pending use of the net proceeds, we intend to invest the proceeds in short-term, investment-grade, interest-bearing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offer securities under this prospectus, we will describe the intended use of the net proceeds from that offering in the applicable prospectus supplement. The actual amount of net proceeds we spend on a particular use will depend on many factors, including, our future capital expenditures, the amount of cash required by our operations, and our future revenue growth, if any. Therefore, we will retain broad discretion in the use of the net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3" w:name="a_008"/>
      <w:bookmarkEnd w:id="23"/>
      <w:r>
        <w:rPr>
          <w:rFonts w:ascii="Times New Roman;Times;Serif" w:hAnsi="Times New Roman;Times;Serif"/>
          <w:b/>
          <w:i w:val="false"/>
          <w:caps w:val="false"/>
          <w:smallCaps w:val="false"/>
          <w:sz w:val="20"/>
        </w:rPr>
        <w:t>DESCRIPTION OF CAPITAL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OPAL’s capital stock is only a summary, and it does not contain all the information that may be important to you. For a complete description of the matters set forth in this section, you should refer to the Charter, the Bylaws, the Second A&amp;R LLC Agreement, the Investor Rights Agreement, and to the applicable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stock that OPAL has the authority to issue is 1,120,000,000 shares, consisting of:</w:t>
      </w:r>
    </w:p>
    <w:p>
      <w:pPr>
        <w:pStyle w:val="TextBody"/>
        <w:bidi w:val="0"/>
        <w:spacing w:before="0" w:after="0"/>
        <w:ind w:left="960" w:right="0" w:hanging="36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sz w:val="20"/>
              </w:rPr>
            </w:pPr>
            <w:r>
              <w:rPr>
                <w:sz w:val="20"/>
              </w:rPr>
              <w:t>820,000,000 shares of Common Stock, par value of $0.0001 per share, divided into:</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340,000,000 shares of Class A common stock;</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160,000,000 shares of Class B common stock;</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C common stock; and</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D common stock; and</w:t>
            </w:r>
          </w:p>
        </w:tc>
      </w:tr>
    </w:tbl>
    <w:p>
      <w:pPr>
        <w:pStyle w:val="TextBody"/>
        <w:bidi w:val="0"/>
        <w:spacing w:before="0" w:after="0"/>
        <w:ind w:left="96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300,000,000 shares of OPAL Preferred Stock, par value $0.0001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10, 2023, we had 27,694,332 shares of Class A common stock issued and outstanding.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holders of shares of each class of the Common Stock, as such, have no voting power with respect to, and are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of directors in its discretion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any stock dividend, stock split, reverse stock split, combination of stock, reclassification or recapitalization be declared or made on any series of Common Stock (each, a “Stock Adjustment”) unless:</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(a)</w:t>
            </w:r>
          </w:p>
        </w:tc>
        <w:tc>
          <w:tcPr>
            <w:tcW w:w="9956" w:type="dxa"/>
            <w:tcBorders/>
            <w:vAlign w:val="center"/>
          </w:tcPr>
          <w:p>
            <w:pPr>
              <w:pStyle w:val="TableContents"/>
              <w:bidi w:val="0"/>
              <w:spacing w:before="0" w:after="283"/>
              <w:jc w:val="both"/>
              <w:rPr>
                <w:sz w:val="20"/>
              </w:rPr>
            </w:pPr>
            <w:r>
              <w:rPr>
                <w:sz w:val="20"/>
              </w:rPr>
              <w:t>a corresponding Stock Adjustment for all other series of Common Stock not so adjusted at the time outstanding is made in the same proportion and the same manner;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(b)</w:t>
            </w:r>
          </w:p>
        </w:tc>
        <w:tc>
          <w:tcPr>
            <w:tcW w:w="9937" w:type="dxa"/>
            <w:tcBorders/>
            <w:vAlign w:val="center"/>
          </w:tcPr>
          <w:p>
            <w:pPr>
              <w:pStyle w:val="TableContents"/>
              <w:bidi w:val="0"/>
              <w:spacing w:before="0" w:after="283"/>
              <w:jc w:val="both"/>
              <w:rPr>
                <w:sz w:val="20"/>
              </w:rPr>
            </w:pPr>
            <w:r>
              <w:rPr>
                <w:sz w:val="20"/>
              </w:rPr>
              <w:t>the Stock Adjustment has been reflected in the same economically equivalent manner on all Class A Units (as defined in the Second A&amp;R LLC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dividends with respect to each class of Common Stock may only be paid with shares of stock of the same series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xml:space="preserve"> Dividends of cash or property may not be declared or paid on shares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Subscription Rights. </w:t>
      </w:r>
      <w:r>
        <w:rPr>
          <w:rFonts w:ascii="Times New Roman;Times;Serif" w:hAnsi="Times New Roman;Times;Serif"/>
          <w:b w:val="false"/>
          <w:i w:val="false"/>
          <w:caps w:val="false"/>
          <w:smallCaps w:val="false"/>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C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did not have any shares of Class C common stock issued and outstanding. Shares of Class C common stock may be converted to shares of Class A common stock, as discussed further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144,399,037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and Combinations.</w:t>
      </w:r>
      <w:r>
        <w:rPr>
          <w:rFonts w:ascii="Times New Roman;Times;Serif" w:hAnsi="Times New Roman;Times;Serif"/>
          <w:b w:val="false"/>
          <w:i w:val="false"/>
          <w:caps w:val="false"/>
          <w:smallCaps w:val="false"/>
          <w:sz w:val="20"/>
        </w:rPr>
        <w:t> Dividends of cash or property may not be declared or paid on shares of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Subscription Rights.</w:t>
      </w:r>
      <w:r>
        <w:rPr>
          <w:rFonts w:ascii="Times New Roman;Times;Serif" w:hAnsi="Times New Roman;Times;Serif"/>
          <w:b w:val="false"/>
          <w:i w:val="false"/>
          <w:caps w:val="false"/>
          <w:smallCaps w:val="false"/>
          <w:sz w:val="20"/>
        </w:rPr>
        <w:t> 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 Further, shares of Class D common stock, together with the corresponding Class B Units may be exchanged for shares of Class C common stock pursuant to the Second A&amp;R LLC Agreement.</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D common stock shall automatically, without any further action, convert into one share of Class B common stock upon a Transfer, other than a Transfer to a Qualified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Cancellation of Class B common stock and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provided in any certificate of designation designating any series of OPAL Preferred Stock, (i) any new series of OPAL Preferred Stock may be designated, fixed and determined as provided by the Charter by our board of directors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rights of the Common Stock, the OPAL Preferred Stock or any future class or series of OPAL Preferred Stock or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OPAL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Delaware Law and the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Organizational Documents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Action by Written Consent; Special Meeting of Stockholder.</w:t>
      </w:r>
      <w:r>
        <w:rPr>
          <w:rFonts w:ascii="Times New Roman;Times;Serif" w:hAnsi="Times New Roman;Times;Serif"/>
          <w:b w:val="false"/>
          <w:i w:val="false"/>
          <w:caps w:val="false"/>
          <w:smallCaps w:val="false"/>
          <w:sz w:val="20"/>
        </w:rPr>
        <w:t> Subject to, with respect to the OPAL Preferred Stock, the terms of any series of OPAL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and may not be effected by any consent in lieu of a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of the holders of any series of OPAL Preferred Stock and the requirements of applicable law, a special meetings of stockholders may be called only by the chairperson of our board of directors, the vice chairperson of our board of directors, the chief executive officer or at the direction of our board of directors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Election and Removal of Directors.</w:t>
      </w:r>
      <w:r>
        <w:rPr>
          <w:rFonts w:ascii="Times New Roman;Times;Serif" w:hAnsi="Times New Roman;Times;Serif"/>
          <w:b w:val="false"/>
          <w:i w:val="false"/>
          <w:caps w:val="false"/>
          <w:smallCaps w:val="false"/>
          <w:sz w:val="20"/>
        </w:rPr>
        <w:t> Subject to any limitations imposed by applicable law and except for additional directors of OPAL elected by the holders of any series of OPAL Preferred Stock as provided for or fixed pursuant to the Charter, any director of OPAL or the entire board of directors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of directors or any one or more directors of OPAL should be so removed, any new directors of OPAL shall, unless our board of directors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of directors, and not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Limitations on Stockholder Actions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Our Bylaws also impose some procedural requirements on stockholders who wish to:</w:t>
      </w:r>
    </w:p>
    <w:p>
      <w:pPr>
        <w:pStyle w:val="TextBody"/>
        <w:bidi w:val="0"/>
        <w:spacing w:before="0" w:after="0"/>
        <w:ind w:left="960" w:right="0" w:hanging="36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sz w:val="20"/>
              </w:rPr>
            </w:pPr>
            <w:r>
              <w:rPr>
                <w:sz w:val="20"/>
              </w:rPr>
              <w:t>make nominations in the election of directors; or</w:t>
            </w:r>
          </w:p>
        </w:tc>
      </w:tr>
    </w:tbl>
    <w:p>
      <w:pPr>
        <w:pStyle w:val="TextBody"/>
        <w:bidi w:val="0"/>
        <w:spacing w:before="0" w:after="0"/>
        <w:ind w:left="960" w:right="0" w:hanging="36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sz w:val="20"/>
              </w:rPr>
            </w:pPr>
            <w:r>
              <w:rPr>
                <w:sz w:val="20"/>
              </w:rPr>
              <w:t>propose any other business to be brought before an annual meeting of stockholders.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bidi w:val="0"/>
        <w:spacing w:before="0" w:after="0"/>
        <w:ind w:left="960" w:right="0" w:hanging="36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sz w:val="20"/>
              </w:rPr>
            </w:pPr>
            <w:r>
              <w:rPr>
                <w:sz w:val="20"/>
              </w:rPr>
              <w:t>the name and record address of each stockholder proposing business, as they appear in OPAL’s books;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class or series and number of shares of stock of OPAL, directly or indirectly, held of record and beneficially by the Proponent or Stockholder Associated Person, as such terms are defined in the Bylaws;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names of all persons with whom the stockholder is acting in concert and a description of all arrangements and understandings with those persons;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the business or nomination to be brought before the meeting, the text of the proposal and the reasons for conducting such business at the meeting; and</w:t>
            </w:r>
          </w:p>
        </w:tc>
      </w:tr>
    </w:tbl>
    <w:p>
      <w:pPr>
        <w:pStyle w:val="TextBody"/>
        <w:bidi w:val="0"/>
        <w:spacing w:before="0" w:after="0"/>
        <w:ind w:left="960" w:right="0" w:hanging="36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any material interest of the Proponent or Stockholder Associated Person in such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set out the timeliness requirements for delivery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Organizational Documents provide indemnification for OPAL’s directors and officers to the fullest extent permitted by the DGCL.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2022, we entered into certain Indemnification Agreements (“Indemnification Agreements”)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action, the subject matter of which is within the scope of the exclusive forum provisions of the Charter,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“Enforcement Action”) and (ii) having service of process made upon such stockholder in any such Enforcement Action by service upon such stockholder’s counsel in the Foreign Action as agent for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holding, owning or otherwise acquiring any interest in any of our securities shall be deemed to have notice of and to have consented to the exclusive forum provisions of the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OPAL’s Common Stock is Continental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under the symbol “OPAL”.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Class A common stock or preferred stock and may be issued in one or more series. Warrants may be offered independently or together with Class A common stock or preferred stock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under a warrant agreement that we will enter into with a warrant agent to be selected by us. If selected, the warrant agent will act solely as an agent of ours in connection with the warrants and will not act as an agent for the holders or beneficial owners of the warrants. If applicable, we will file as exhibits to the registration statement of which this prospectus is a part, or will incorporate by reference from a Current Report on Form 8-K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offering price and aggregate number of warrants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currency for which the warrants may be purchased;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effect of any merger, consolidation, sale or other disposition of our business on the warrant agreements and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of any rights to redeem or call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dates on which the right to exercise the warrants will commence and expire;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the manner in which the warrant agreements and warrants may be modified;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United States federal income tax consequences of holding or exercising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the terms of the securities issuable upon exercise of the warrants;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any other specific terms, preferences, rights or limitations of or restrictions on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selected, 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and free writing prospectuses, summarizes the material terms and provisions of the units that we may offer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units comprised of shares of Class A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of the governing unit agreement that differ from those described below;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described in this section, as well as those described under “Description of Capital Stock” and “Description of Warrants” will apply to each unit and to any common stock, preferred stock, or warrant included in each unit,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if any, for any units we offer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LEGAL 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Street Name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securities held in street name, we or any applicable depositary will recognize only the intermediary banks, brokers and other financial institutions in whose names the securities are registered as the holders of those securities, and we or any such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obligations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Whether and how the legal holders contact the indirect holders is up to the legal 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Considerations for Indirect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how it handles securities payments and notices;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it imposes fees or charges;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how it would handle a request for the holders’ consent, if ever required;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and how you can instruct it to send you securities registered in your own name so you can be a legal holder, if that is permitted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how it would exercise rights under the securities if there were a default or other event triggering the need for holders to act to protect their interests;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the securities are in book-entry form, how the depositary’s rules and procedures will affect these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NY, known as DTC, will be the depositary for all securities issued in book-entry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Considerations For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issued only as global securities, an investor should be aware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cannot cause the securities to be registered in his or her name, and cannot obtain non-global certificates for his or her interest in the securities, except in the special situations we describe below;</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will be an indirect holder and must look to his or her own bank or broker for payments on the securities and protection of his or her legal rights relating to the securities, as we describe above;</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may not be able to sell interests in the securities to some insurance companies and to other institutions that are required by law to own their securities in non-book-entry form;</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xml:space="preserve">● </w:t>
            </w:r>
          </w:p>
        </w:tc>
        <w:tc>
          <w:tcPr>
            <w:tcW w:w="9945" w:type="dxa"/>
            <w:tcBorders/>
            <w:vAlign w:val="center"/>
          </w:tcPr>
          <w:p>
            <w:pPr>
              <w:pStyle w:val="TableContents"/>
              <w:bidi w:val="0"/>
              <w:spacing w:before="0" w:after="283"/>
              <w:jc w:val="both"/>
              <w:rPr/>
            </w:pPr>
            <w:r>
              <w:rPr>
                <w:rFonts w:ascii="Times New Roman;Times;Serif" w:hAnsi="Times New Roman;Times;Serif"/>
                <w:sz w:val="20"/>
              </w:rPr>
              <w:t>the depositary’s policies, which may change from time to time, will govern payments, transfers, exchanges and other matters relating to an investor’s interest in the global security. We have no responsibility for any aspect of the depositary’s actions or for its records of ownership interests in the global security. We also do not supervise the depositary in any way;</w:t>
            </w:r>
            <w:r>
              <w:rPr/>
              <w:t xml:space="preserve">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the depositary may, and we understand that DTC will, require that those who purchase and sell interests in the global security within its book-entry system use immediately available funds, and your broker or bank may require you to do so as well; and</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Situations When A Global Security Will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will terminate when the following special situations occur: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
        <w:gridCol w:w="203"/>
        <w:gridCol w:w="9894"/>
      </w:tblGrid>
      <w:tr>
        <w:trPr/>
        <w:tc>
          <w:tcPr>
            <w:tcW w:w="108" w:type="dxa"/>
            <w:tcBorders/>
            <w:vAlign w:val="center"/>
          </w:tcPr>
          <w:p>
            <w:pPr>
              <w:pStyle w:val="TableContents"/>
              <w:bidi w:val="0"/>
              <w:spacing w:before="0" w:after="283"/>
              <w:jc w:val="left"/>
              <w:rPr/>
            </w:pPr>
            <w:r>
              <w:rPr/>
              <w:t xml:space="preserve">  </w:t>
            </w:r>
          </w:p>
        </w:tc>
        <w:tc>
          <w:tcPr>
            <w:tcW w:w="203" w:type="dxa"/>
            <w:tcBorders/>
            <w:vAlign w:val="center"/>
          </w:tcPr>
          <w:p>
            <w:pPr>
              <w:pStyle w:val="TableContents"/>
              <w:bidi w:val="0"/>
              <w:spacing w:before="0" w:after="283"/>
              <w:jc w:val="left"/>
              <w:rPr/>
            </w:pPr>
            <w:r>
              <w:rPr/>
              <w:t xml:space="preserve">● </w:t>
            </w:r>
          </w:p>
        </w:tc>
        <w:tc>
          <w:tcPr>
            <w:tcW w:w="9894" w:type="dxa"/>
            <w:tcBorders/>
            <w:vAlign w:val="center"/>
          </w:tcPr>
          <w:p>
            <w:pPr>
              <w:pStyle w:val="TableContents"/>
              <w:bidi w:val="0"/>
              <w:spacing w:before="0" w:after="283"/>
              <w:jc w:val="both"/>
              <w:rPr/>
            </w:pPr>
            <w:r>
              <w:rPr>
                <w:sz w:val="20"/>
              </w:rPr>
              <w:t>if the depositary notifies us that it is unwilling, unable or no longer qualified to continue as depositary for that global security and we do not appoint another institution to act as depositary within 90 days; or</w:t>
            </w:r>
            <w:r>
              <w:rPr/>
              <w:t xml:space="preserve"> </w:t>
            </w:r>
          </w:p>
        </w:tc>
      </w:tr>
      <w:tr>
        <w:trPr/>
        <w:tc>
          <w:tcPr>
            <w:tcW w:w="108"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both"/>
              <w:rPr>
                <w:sz w:val="20"/>
              </w:rPr>
            </w:pPr>
            <w:r>
              <w:rPr>
                <w:sz w:val="20"/>
              </w:rPr>
              <w:t>if an event of default has occurred with regard to securities represented by that global security and has not been cured or waived.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prospectus supplement may also list additional situations for terminating a global security that would apply only to the particular series of securities covered by the prospectus supplement. When a global security terminates neither the depositary, nor us, is responsible for deciding the names of the institutions that will be the initial direct 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hereby in one or more of the following ways from time to time:</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through agents to the public or to investors;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to underwriters for resale to the public or to investors;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negotiated transactions;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block trades;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directly to investors;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more detail below, the securities may be distributed from time to time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a fixed price or prices, which may be changed;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market prices prevailing at the time of sale;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prices related to such prevailing market prices;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a prospectus supplement the terms of that particular offering of securities, including:</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the name or names of any agents or underwriters;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the purchase price of the securities being offered and the proceeds we will receive from the sale;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agency fees or underwriting discounts and other items constituting agents’ or underwriters’ compensation;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initial public offering price;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discounts or concessions allowed or re-allowed or paid to dealers;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securities exchanges or markets on which such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an applicable prospectus supplement are underwriters of the securities offered by that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common stock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common stock directly and then resell the securities,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 the market offerings into an existing trading market in accordance with Rule 415(a)(4) under the Securities Act. 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established trading market, other than our Class A common stock, which is listed on The Nasdaq Capital Market. We may elect to list any other class or series of securities on any exchange or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U.S. states or territories,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us by Sheppard, Mullin, Richter &amp; Hampton LLP, New York, NY. Additional legal matters may be passed upon for us or any underwriters, dealers or agents, by counsel that we will name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5"/>
      <w:bookmarkEnd w:id="29"/>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for each of the two years in the period ended December 31, 2022, incorporated by reference in this Prospectus and in the Registration Statement have been so incorporated in reliance on the report of BDO USA, LLP (n/k/a BDO USA, P.A.), an independent registered public accounting firm, incorporated herein by reference,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6"/>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or the exhibits thereto.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that is hyperlinked to, our website is not part of, and is not incorporated into, this prospectus. You may inspect a copy of the registration statement through the SEC’s website,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7"/>
      <w:bookmarkEnd w:id="31"/>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21">
              <w:r>
                <w:rPr>
                  <w:rStyle w:val="InternetLink"/>
                </w:rPr>
                <w:t>Form 10–K</w:t>
              </w:r>
            </w:hyperlink>
            <w:r>
              <w:rPr/>
              <w:t xml:space="preserve"> for the fiscal year ended December 31, 2022, filed with the SEC on March 29,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 on </w:t>
            </w:r>
            <w:hyperlink r:id="rId22">
              <w:r>
                <w:rPr>
                  <w:rStyle w:val="InternetLink"/>
                </w:rPr>
                <w:t>Form 10–Q</w:t>
              </w:r>
            </w:hyperlink>
            <w:r>
              <w:rPr/>
              <w:t xml:space="preserve"> for the three months ended March 31, 2023, filed with the SEC on May 15,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xml:space="preserve">● </w:t>
            </w:r>
          </w:p>
        </w:tc>
        <w:tc>
          <w:tcPr>
            <w:tcW w:w="9957" w:type="dxa"/>
            <w:tcBorders/>
            <w:vAlign w:val="center"/>
          </w:tcPr>
          <w:p>
            <w:pPr>
              <w:pStyle w:val="TableContents"/>
              <w:bidi w:val="0"/>
              <w:spacing w:before="0" w:after="283"/>
              <w:jc w:val="both"/>
              <w:rPr/>
            </w:pPr>
            <w:r>
              <w:rPr/>
              <w:t xml:space="preserve">our current reports on Form 8–K filed with the SEC on </w:t>
            </w:r>
            <w:hyperlink r:id="rId23">
              <w:r>
                <w:rPr>
                  <w:rStyle w:val="InternetLink"/>
                </w:rPr>
                <w:t>April 5, 2023</w:t>
              </w:r>
            </w:hyperlink>
            <w:r>
              <w:rPr/>
              <w:t xml:space="preserve">, </w:t>
            </w:r>
            <w:hyperlink r:id="rId24">
              <w:r>
                <w:rPr>
                  <w:rStyle w:val="InternetLink"/>
                </w:rPr>
                <w:t>April 19, 2023</w:t>
              </w:r>
            </w:hyperlink>
            <w:r>
              <w:rPr/>
              <w:t xml:space="preserve">, </w:t>
            </w:r>
            <w:hyperlink r:id="rId25">
              <w:r>
                <w:rPr>
                  <w:rStyle w:val="InternetLink"/>
                </w:rPr>
                <w:t>May 8, 2023</w:t>
              </w:r>
            </w:hyperlink>
            <w:r>
              <w:rPr/>
              <w:t xml:space="preserve">, </w:t>
            </w:r>
            <w:hyperlink r:id="rId26">
              <w:r>
                <w:rPr>
                  <w:rStyle w:val="InternetLink"/>
                </w:rPr>
                <w:t>June 2, 2023</w:t>
              </w:r>
            </w:hyperlink>
            <w:r>
              <w:rPr/>
              <w:t xml:space="preserve">, </w:t>
            </w:r>
            <w:hyperlink r:id="rId27">
              <w:r>
                <w:rPr>
                  <w:rStyle w:val="InternetLink"/>
                </w:rPr>
                <w:t>June 23, 2023</w:t>
              </w:r>
            </w:hyperlink>
            <w:r>
              <w:rPr/>
              <w:t xml:space="preserve"> and </w:t>
            </w:r>
            <w:hyperlink r:id="rId28">
              <w:r>
                <w:rPr>
                  <w:rStyle w:val="InternetLink"/>
                </w:rPr>
                <w:t>June 29, 2023</w:t>
              </w:r>
            </w:hyperlink>
            <w:r>
              <w:rPr/>
              <w:t xml:space="preserve">; and </w:t>
            </w:r>
          </w:p>
        </w:tc>
      </w:tr>
    </w:tbl>
    <w:p>
      <w:pPr>
        <w:pStyle w:val="TextBody"/>
        <w:bidi w:val="0"/>
        <w:spacing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23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xml:space="preserve">● </w:t>
            </w:r>
          </w:p>
        </w:tc>
        <w:tc>
          <w:tcPr>
            <w:tcW w:w="5420" w:type="dxa"/>
            <w:tcBorders/>
            <w:vAlign w:val="center"/>
          </w:tcPr>
          <w:p>
            <w:pPr>
              <w:pStyle w:val="TableContents"/>
              <w:bidi w:val="0"/>
              <w:spacing w:before="0" w:after="283"/>
              <w:jc w:val="both"/>
              <w:rPr/>
            </w:pPr>
            <w:r>
              <w:rPr/>
              <w:t xml:space="preserve">our definitive proxy filed with the SEC on </w:t>
            </w:r>
            <w:hyperlink r:id="rId29">
              <w:r>
                <w:rPr>
                  <w:rStyle w:val="InternetLink"/>
                </w:rPr>
                <w:t>May 9, 2023</w:t>
              </w:r>
            </w:hyperlink>
            <w:r>
              <w:rPr/>
              <w:t xml:space="preserve">.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your request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North Lexington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1450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 10601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(914) 705-4000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$75,000,000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14600" cy="590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251460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790" w:type="dxa"/>
        <w:jc w:val="left"/>
        <w:tblInd w:w="0" w:type="dxa"/>
        <w:tblLayout w:type="fixed"/>
        <w:tblCellMar>
          <w:top w:w="0" w:type="dxa"/>
          <w:left w:w="0" w:type="dxa"/>
          <w:bottom w:w="0" w:type="dxa"/>
          <w:right w:w="0" w:type="dxa"/>
        </w:tblCellMar>
      </w:tblPr>
      <w:tblGrid>
        <w:gridCol w:w="1580"/>
        <w:gridCol w:w="60"/>
        <w:gridCol w:w="620"/>
        <w:gridCol w:w="60"/>
        <w:gridCol w:w="470"/>
      </w:tblGrid>
      <w:tr>
        <w:trPr/>
        <w:tc>
          <w:tcPr>
            <w:tcW w:w="15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 Riley Securities</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Cantor</w:t>
            </w:r>
          </w:p>
        </w:tc>
        <w:tc>
          <w:tcPr>
            <w:tcW w:w="60" w:type="dxa"/>
            <w:tcBorders/>
            <w:vAlign w:val="center"/>
          </w:tcPr>
          <w:p>
            <w:pPr>
              <w:pStyle w:val="TableContents"/>
              <w:bidi w:val="0"/>
              <w:spacing w:before="0" w:after="283"/>
              <w:jc w:val="center"/>
              <w:rPr/>
            </w:pPr>
            <w:r>
              <w:rPr/>
              <w:t> </w:t>
            </w:r>
          </w:p>
        </w:tc>
        <w:tc>
          <w:tcPr>
            <w:tcW w:w="4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Stifel</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17, 2023</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842279/000184227923000009/wdq-20221231.htm" TargetMode="External"/><Relationship Id="rId4" Type="http://schemas.openxmlformats.org/officeDocument/2006/relationships/hyperlink" Target="http://www.sec.gov/ix?doc=/Archives/edgar/data/1842279/000184227923000050/wdq-20230331.htm" TargetMode="External"/><Relationship Id="rId5" Type="http://schemas.openxmlformats.org/officeDocument/2006/relationships/hyperlink" Target="http://www.sec.gov/ix?doc=/Archives/edgar/data/1842279/000184227923000072/wdq-20230630.htm" TargetMode="External"/><Relationship Id="rId6" Type="http://schemas.openxmlformats.org/officeDocument/2006/relationships/hyperlink" Target="http://www.sec.gov/ix?doc=/Archives/edgar/data/1842279/000184227923000092/wdq-20230930.htm" TargetMode="External"/><Relationship Id="rId7" Type="http://schemas.openxmlformats.org/officeDocument/2006/relationships/hyperlink" Target="http://www.sec.gov/ix?doc=/Archives/edgar/data/1842279/000184227923000011/opal-20230330.htm" TargetMode="External"/><Relationship Id="rId8" Type="http://schemas.openxmlformats.org/officeDocument/2006/relationships/hyperlink" Target="http://www.sec.gov/ix?doc=/Archives/edgar/data/1842279/000184227923000013/opal-20230413.htm" TargetMode="External"/><Relationship Id="rId9" Type="http://schemas.openxmlformats.org/officeDocument/2006/relationships/hyperlink" Target="http://www.sec.gov/ix?doc=/Archives/edgar/data/1842279/000184227923000027/opal-20230502.htm" TargetMode="External"/><Relationship Id="rId10" Type="http://schemas.openxmlformats.org/officeDocument/2006/relationships/hyperlink" Target="http://www.sec.gov/Archives/edgar/data/1842279/000184227923000054/0001842279-23-000054-index.htm" TargetMode="External"/><Relationship Id="rId11" Type="http://schemas.openxmlformats.org/officeDocument/2006/relationships/hyperlink" Target="http://www.sec.gov/ix?doc=/Archives/edgar/data/1842279/000184227923000057/opal-20230623.htm" TargetMode="External"/><Relationship Id="rId12" Type="http://schemas.openxmlformats.org/officeDocument/2006/relationships/hyperlink" Target="http://www.sec.gov/ix?doc=/Archives/edgar/data/1842279/000184227923000060/opal-20230626.htm" TargetMode="External"/><Relationship Id="rId13" Type="http://schemas.openxmlformats.org/officeDocument/2006/relationships/hyperlink" Target="http://www.sec.gov/ix?doc=/Archives/edgar/data/1842279/000184227923000075/opal-20230828.htm" TargetMode="External"/><Relationship Id="rId14" Type="http://schemas.openxmlformats.org/officeDocument/2006/relationships/hyperlink" Target="http://www.sec.gov/ix?doc=/Archives/edgar/data/1842279/000184227923000077/opal-20230901.htm" TargetMode="External"/><Relationship Id="rId15" Type="http://schemas.openxmlformats.org/officeDocument/2006/relationships/hyperlink" Target="http://www.sec.gov/ix?doc=/Archives/edgar/data/1842279/000184227923000079/opal-20230914.htm" TargetMode="External"/><Relationship Id="rId16" Type="http://schemas.openxmlformats.org/officeDocument/2006/relationships/hyperlink" Target="http://www.sec.gov/ix?doc=/Archives/edgar/data/1842279/000184227923000083/opal-20231005.htm" TargetMode="External"/><Relationship Id="rId17" Type="http://schemas.openxmlformats.org/officeDocument/2006/relationships/hyperlink" Target="http://www.sec.gov/ix?doc=/Archives/edgar/data/1842279/000101376223005252/ea187027-8ka1_opalfuels.htm" TargetMode="External"/><Relationship Id="rId18" Type="http://schemas.openxmlformats.org/officeDocument/2006/relationships/hyperlink" Target="http://www.sec.gov/ix?doc=/Archives/edgar/data/1842279/000184227923000085/opal-20231020.htm" TargetMode="External"/><Relationship Id="rId19" Type="http://schemas.openxmlformats.org/officeDocument/2006/relationships/hyperlink" Target="http://www.sec.gov/Archives/edgar/data/1842279/000184227923000031/proxystatementannualmeetin.htm" TargetMode="External"/><Relationship Id="rId20" Type="http://schemas.openxmlformats.org/officeDocument/2006/relationships/image" Target="media/image1.jpeg"/><Relationship Id="rId21" Type="http://schemas.openxmlformats.org/officeDocument/2006/relationships/hyperlink" Target="http://www.sec.gov/Archives/edgar/data/1842279/000184227923000009/wdq-20221231.htm" TargetMode="External"/><Relationship Id="rId22" Type="http://schemas.openxmlformats.org/officeDocument/2006/relationships/hyperlink" Target="http://www.sec.gov/Archives/edgar/data/1842279/000184227923000050/wdq-20230331.htm" TargetMode="External"/><Relationship Id="rId23" Type="http://schemas.openxmlformats.org/officeDocument/2006/relationships/hyperlink" Target="http://www.sec.gov/Archives/edgar/data/1842279/000184227923000011/opal-20230330.htm" TargetMode="External"/><Relationship Id="rId24" Type="http://schemas.openxmlformats.org/officeDocument/2006/relationships/hyperlink" Target="http://www.sec.gov/Archives/edgar/data/1842279/000184227923000013/opal-20230413.htm" TargetMode="External"/><Relationship Id="rId25" Type="http://schemas.openxmlformats.org/officeDocument/2006/relationships/hyperlink" Target="http://www.sec.gov/Archives/edgar/data/1842279/000184227923000027/opal-20230502.htm" TargetMode="External"/><Relationship Id="rId26" Type="http://schemas.openxmlformats.org/officeDocument/2006/relationships/hyperlink" Target="http://www.sec.gov/Archives/edgar/data/1842279/000184227923000054/opal-20230530.htm" TargetMode="External"/><Relationship Id="rId27" Type="http://schemas.openxmlformats.org/officeDocument/2006/relationships/hyperlink" Target="http://www.sec.gov/Archives/edgar/data/1842279/000184227923000057/opal-20230623.htm" TargetMode="External"/><Relationship Id="rId28" Type="http://schemas.openxmlformats.org/officeDocument/2006/relationships/hyperlink" Target="http://www.sec.gov/Archives/edgar/data/1842279/000184227923000060/opal-20230626.htm" TargetMode="External"/><Relationship Id="rId29" Type="http://schemas.openxmlformats.org/officeDocument/2006/relationships/hyperlink" Target="http://www.sec.gov/Archives/edgar/data/1842279/000184227923000031/proxystatementannualmeetin.htm" TargetMode="External"/><Relationship Id="rId30" Type="http://schemas.openxmlformats.org/officeDocument/2006/relationships/image" Target="media/image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28909</Words>
  <Characters>149837</Characters>
  <CharactersWithSpaces>178850</CharactersWithSpaces>
  <Paragraphs>1763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