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-238125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1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5302885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24765</wp:posOffset>
            </wp:positionV>
            <wp:extent cx="7045960" cy="7431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43140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60" w:space="340"/>
            <w:col w:w="8580"/>
          </w:cols>
          <w:pgMar w:left="460" w:top="217" w:right="359" w:bottom="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Dols Scott V.</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4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3840" w:type="dxa"/>
            <w:vAlign w:val="bottom"/>
            <w:gridSpan w:val="4"/>
          </w:tcPr>
          <w:p>
            <w:pPr>
              <w:ind w:left="60"/>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OPAL Fuels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7"/>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280" w:type="dxa"/>
            <w:vAlign w:val="bottom"/>
            <w:tcBorders>
              <w:top w:val="single" w:sz="8" w:color="0000EE"/>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1"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00"/>
              <w:spacing w:after="0" w:line="111" w:lineRule="exact"/>
              <w:rPr>
                <w:sz w:val="20"/>
                <w:szCs w:val="20"/>
                <w:color w:val="auto"/>
              </w:rPr>
            </w:pPr>
            <w:r>
              <w:rPr>
                <w:rFonts w:ascii="Arial" w:cs="Arial" w:eastAsia="Arial" w:hAnsi="Arial"/>
                <w:sz w:val="12"/>
                <w:szCs w:val="12"/>
                <w:color w:val="auto"/>
              </w:rPr>
              <w:t>10% Owner</w:t>
            </w: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9"/>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11/30/2023</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560"/>
        <w:spacing w:after="0" w:line="25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Scott 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5.6344</w:t>
            </w:r>
            <w:r>
              <w:rPr>
                <w:rFonts w:ascii="Times New Roman" w:cs="Times New Roman" w:eastAsia="Times New Roman" w:hAnsi="Times New Roman"/>
                <w:sz w:val="21"/>
                <w:szCs w:val="21"/>
                <w:color w:val="008000"/>
                <w:vertAlign w:val="superscript"/>
              </w:rPr>
              <w:t>(1)</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Dols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11/30/2023</w:t>
            </w:r>
          </w:p>
        </w:tc>
        <w:tc>
          <w:tcPr>
            <w:tcW w:w="110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5,000</w:t>
            </w:r>
          </w:p>
        </w:tc>
        <w:tc>
          <w:tcPr>
            <w:tcW w:w="520" w:type="dxa"/>
            <w:vAlign w:val="bottom"/>
          </w:tcPr>
          <w:p>
            <w:pPr>
              <w:jc w:val="center"/>
              <w:ind w:left="8"/>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5,823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Dtd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11/13/2020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Scott 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5.5761</w:t>
            </w:r>
            <w:r>
              <w:rPr>
                <w:rFonts w:ascii="Times New Roman" w:cs="Times New Roman" w:eastAsia="Times New Roman" w:hAnsi="Times New Roman"/>
                <w:sz w:val="21"/>
                <w:szCs w:val="21"/>
                <w:color w:val="008000"/>
                <w:vertAlign w:val="superscript"/>
              </w:rPr>
              <w:t>(2)</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Dols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12/01/2023</w:t>
            </w:r>
          </w:p>
        </w:tc>
        <w:tc>
          <w:tcPr>
            <w:tcW w:w="110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15,000</w:t>
            </w:r>
          </w:p>
        </w:tc>
        <w:tc>
          <w:tcPr>
            <w:tcW w:w="520" w:type="dxa"/>
            <w:vAlign w:val="bottom"/>
          </w:tcPr>
          <w:p>
            <w:pPr>
              <w:jc w:val="center"/>
              <w:ind w:left="8"/>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20,823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Dtd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11/13/2020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10,125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Vicky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 Dols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1,601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Dtd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12/22/2020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19,369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280"/>
              <w:spacing w:after="0" w:line="144" w:lineRule="exact"/>
              <w:rPr>
                <w:sz w:val="20"/>
                <w:szCs w:val="20"/>
                <w:color w:val="auto"/>
              </w:rPr>
            </w:pPr>
            <w:r>
              <w:rPr>
                <w:rFonts w:ascii="Times New Roman" w:cs="Times New Roman" w:eastAsia="Times New Roman" w:hAnsi="Times New Roman"/>
                <w:sz w:val="13"/>
                <w:szCs w:val="13"/>
                <w:color w:val="0000FF"/>
              </w:rPr>
              <w:t>19,369</w:t>
            </w:r>
          </w:p>
        </w:tc>
        <w:tc>
          <w:tcPr>
            <w:tcW w:w="7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20" w:firstLine="4"/>
        <w:spacing w:after="0" w:line="260"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$5.53 and $5.77. The reporting person undertakes to the Issuer or the Staff of the Securities and Exchange Commission, upon request, full information regarding the number of shares purchased at each separate price within the range set forth in this footnote.</w:t>
      </w:r>
    </w:p>
    <w:p>
      <w:pPr>
        <w:spacing w:after="0" w:line="15" w:lineRule="exact"/>
        <w:rPr>
          <w:rFonts w:ascii="Times New Roman" w:cs="Times New Roman" w:eastAsia="Times New Roman" w:hAnsi="Times New Roman"/>
          <w:sz w:val="13"/>
          <w:szCs w:val="13"/>
          <w:color w:val="008000"/>
        </w:rPr>
      </w:pPr>
    </w:p>
    <w:p>
      <w:pPr>
        <w:ind w:left="40" w:right="320" w:firstLine="4"/>
        <w:spacing w:after="0" w:line="260"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$5.51 and $5.66. The reporting person undertakes to the Issuer or the Staff of the Securities and Exchange Commission, upon request, full information regarding the number of shares purchased at each separate price within the range set forth in this footnote.</w:t>
      </w:r>
    </w:p>
    <w:p>
      <w:pPr>
        <w:spacing w:after="0" w:line="15" w:lineRule="exact"/>
        <w:rPr>
          <w:rFonts w:ascii="Times New Roman" w:cs="Times New Roman" w:eastAsia="Times New Roman" w:hAnsi="Times New Roman"/>
          <w:sz w:val="13"/>
          <w:szCs w:val="13"/>
          <w:color w:val="008000"/>
        </w:rPr>
      </w:pPr>
    </w:p>
    <w:p>
      <w:pPr>
        <w:ind w:left="40" w:right="580" w:firstLine="4"/>
        <w:spacing w:after="0" w:line="260"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Common Stock for each RSU. The RSUs vest 100% on March 31, 2024 provided that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Coghlin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12/04/2023</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6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6"/>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26"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919"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2023-12-04T15:11:58Z</dcterms:created>
  <dcterms:modified xsi:type="dcterms:W3CDTF">2023-12-04T15:11:58Z</dcterms:modified>
</cp:coreProperties>
</file>