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4920"/>
        <w:spacing w:after="0"/>
        <w:rPr>
          <w:sz w:val="20"/>
          <w:szCs w:val="20"/>
          <w:color w:val="auto"/>
        </w:rPr>
      </w:pPr>
      <w:r>
        <w:rPr>
          <w:rFonts w:ascii="Arial" w:cs="Arial" w:eastAsia="Arial" w:hAnsi="Arial"/>
          <w:sz w:val="20"/>
          <w:szCs w:val="20"/>
          <w:b w:val="1"/>
          <w:bCs w:val="1"/>
          <w:color w:val="auto"/>
        </w:rPr>
        <w:t>OPAL Fuels Inc.</w:t>
      </w:r>
    </w:p>
    <w:p>
      <w:pPr>
        <w:spacing w:after="0" w:line="22" w:lineRule="exact"/>
        <w:rPr>
          <w:sz w:val="24"/>
          <w:szCs w:val="24"/>
          <w:color w:val="auto"/>
        </w:rPr>
      </w:pPr>
    </w:p>
    <w:p>
      <w:pPr>
        <w:ind w:left="4960"/>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Class A Common Stock, par value $0.0001</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68347P103</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December 31, 2022</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3"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35"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Rule 13d-1(d)</w:t>
      </w:r>
    </w:p>
    <w:p>
      <w:pPr>
        <w:spacing w:after="0" w:line="229" w:lineRule="exact"/>
        <w:rPr>
          <w:rFonts w:ascii="Arial" w:cs="Arial" w:eastAsia="Arial" w:hAnsi="Arial"/>
          <w:sz w:val="20"/>
          <w:szCs w:val="20"/>
          <w:color w:val="auto"/>
        </w:rPr>
      </w:pPr>
    </w:p>
    <w:p>
      <w:pPr>
        <w:ind w:right="3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93" w:lineRule="exact"/>
        <w:rPr>
          <w:sz w:val="24"/>
          <w:szCs w:val="24"/>
          <w:color w:val="auto"/>
        </w:rPr>
      </w:pPr>
    </w:p>
    <w:p>
      <w:pPr>
        <w:ind w:right="26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8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45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68347P103</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Beryl Capital Management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34" w:lineRule="exact"/>
        <w:rPr>
          <w:rFonts w:ascii="Arial" w:cs="Arial" w:eastAsia="Arial" w:hAnsi="Arial"/>
          <w:sz w:val="19"/>
          <w:szCs w:val="19"/>
          <w:color w:val="auto"/>
        </w:rPr>
      </w:pPr>
    </w:p>
    <w:p>
      <w:pPr>
        <w:ind w:left="1780" w:hanging="476"/>
        <w:spacing w:after="0"/>
        <w:tabs>
          <w:tab w:leader="none" w:pos="17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-885190</wp:posOffset>
            </wp:positionV>
            <wp:extent cx="373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700" w:type="dxa"/>
            <w:vAlign w:val="bottom"/>
          </w:tcPr>
          <w:p>
            <w:pPr>
              <w:spacing w:after="0"/>
              <w:rPr>
                <w:sz w:val="20"/>
                <w:szCs w:val="20"/>
                <w:color w:val="auto"/>
              </w:rPr>
            </w:pPr>
            <w:r>
              <w:rPr>
                <w:rFonts w:ascii="Arial" w:cs="Arial" w:eastAsia="Arial" w:hAnsi="Arial"/>
                <w:sz w:val="20"/>
                <w:szCs w:val="20"/>
                <w:color w:val="auto"/>
              </w:rPr>
              <w:t>Number of</w:t>
            </w:r>
          </w:p>
        </w:tc>
        <w:tc>
          <w:tcPr>
            <w:tcW w:w="620" w:type="dxa"/>
            <w:vAlign w:val="bottom"/>
          </w:tcPr>
          <w:p>
            <w:pPr>
              <w:jc w:val="right"/>
              <w:spacing w:after="0"/>
              <w:rPr>
                <w:sz w:val="20"/>
                <w:szCs w:val="20"/>
                <w:color w:val="auto"/>
              </w:rPr>
            </w:pPr>
            <w:r>
              <w:rPr>
                <w:rFonts w:ascii="Arial" w:cs="Arial" w:eastAsia="Arial" w:hAnsi="Arial"/>
                <w:sz w:val="20"/>
                <w:szCs w:val="20"/>
                <w:color w:val="auto"/>
              </w:rPr>
              <w:t>5.</w:t>
            </w:r>
          </w:p>
        </w:tc>
        <w:tc>
          <w:tcPr>
            <w:tcW w:w="2240" w:type="dxa"/>
            <w:vAlign w:val="bottom"/>
          </w:tcPr>
          <w:p>
            <w:pPr>
              <w:ind w:left="20"/>
              <w:spacing w:after="0"/>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20"/>
                <w:szCs w:val="20"/>
                <w:color w:val="auto"/>
              </w:rPr>
              <w:t>Shares</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20"/>
                <w:szCs w:val="20"/>
                <w:color w:val="auto"/>
              </w:rPr>
              <w:t>Beneficially</w:t>
            </w:r>
          </w:p>
        </w:tc>
        <w:tc>
          <w:tcPr>
            <w:tcW w:w="620" w:type="dxa"/>
            <w:vAlign w:val="bottom"/>
          </w:tcPr>
          <w:p>
            <w:pPr>
              <w:jc w:val="right"/>
              <w:spacing w:after="0"/>
              <w:rPr>
                <w:sz w:val="20"/>
                <w:szCs w:val="20"/>
                <w:color w:val="auto"/>
              </w:rPr>
            </w:pPr>
            <w:r>
              <w:rPr>
                <w:rFonts w:ascii="Arial" w:cs="Arial" w:eastAsia="Arial" w:hAnsi="Arial"/>
                <w:sz w:val="20"/>
                <w:szCs w:val="20"/>
                <w:color w:val="auto"/>
              </w:rPr>
              <w:t>6.</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auto"/>
              </w:rPr>
              <w:t>Owned by</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w w:val="99"/>
              </w:rPr>
              <w:t xml:space="preserve">Sole Dispositive Power </w:t>
            </w:r>
            <w:r>
              <w:rPr>
                <w:rFonts w:ascii="Arial" w:cs="Arial" w:eastAsia="Arial" w:hAnsi="Arial"/>
                <w:sz w:val="20"/>
                <w:szCs w:val="20"/>
                <w:b w:val="1"/>
                <w:bCs w:val="1"/>
                <w:color w:val="auto"/>
                <w:w w:val="99"/>
              </w:rPr>
              <w:t>0</w:t>
            </w:r>
          </w:p>
        </w:tc>
        <w:tc>
          <w:tcPr>
            <w:tcW w:w="0" w:type="dxa"/>
            <w:vAlign w:val="bottom"/>
          </w:tcPr>
          <w:p>
            <w:pPr>
              <w:spacing w:after="0"/>
              <w:rPr>
                <w:sz w:val="1"/>
                <w:szCs w:val="1"/>
                <w:color w:val="auto"/>
              </w:rPr>
            </w:pPr>
          </w:p>
        </w:tc>
      </w:tr>
      <w:tr>
        <w:trPr>
          <w:trHeight w:val="223"/>
        </w:trPr>
        <w:tc>
          <w:tcPr>
            <w:tcW w:w="1700" w:type="dxa"/>
            <w:vAlign w:val="bottom"/>
          </w:tcPr>
          <w:p>
            <w:pPr>
              <w:spacing w:after="0" w:line="224" w:lineRule="exact"/>
              <w:rPr>
                <w:sz w:val="20"/>
                <w:szCs w:val="20"/>
                <w:color w:val="auto"/>
              </w:rPr>
            </w:pPr>
            <w:r>
              <w:rPr>
                <w:rFonts w:ascii="Arial" w:cs="Arial" w:eastAsia="Arial" w:hAnsi="Arial"/>
                <w:sz w:val="20"/>
                <w:szCs w:val="20"/>
                <w:color w:val="auto"/>
              </w:rPr>
              <w:t>Each Reporting</w:t>
            </w:r>
          </w:p>
        </w:tc>
        <w:tc>
          <w:tcPr>
            <w:tcW w:w="620" w:type="dxa"/>
            <w:vAlign w:val="bottom"/>
          </w:tcPr>
          <w:p>
            <w:pPr>
              <w:jc w:val="right"/>
              <w:spacing w:after="0" w:line="224" w:lineRule="exact"/>
              <w:rPr>
                <w:sz w:val="20"/>
                <w:szCs w:val="20"/>
                <w:color w:val="auto"/>
              </w:rPr>
            </w:pPr>
            <w:r>
              <w:rPr>
                <w:rFonts w:ascii="Arial" w:cs="Arial" w:eastAsia="Arial" w:hAnsi="Arial"/>
                <w:sz w:val="20"/>
                <w:szCs w:val="20"/>
                <w:color w:val="auto"/>
              </w:rPr>
              <w:t>7.</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0"/>
                <w:szCs w:val="20"/>
                <w:color w:val="auto"/>
              </w:rPr>
            </w:pPr>
            <w:r>
              <w:rPr>
                <w:rFonts w:ascii="Arial" w:cs="Arial" w:eastAsia="Arial" w:hAnsi="Arial"/>
                <w:sz w:val="20"/>
                <w:szCs w:val="20"/>
                <w:color w:val="auto"/>
              </w:rPr>
              <w:t>Person With:</w:t>
            </w:r>
          </w:p>
        </w:tc>
        <w:tc>
          <w:tcPr>
            <w:tcW w:w="620" w:type="dxa"/>
            <w:vAlign w:val="bottom"/>
          </w:tcPr>
          <w:p>
            <w:pPr>
              <w:jc w:val="right"/>
              <w:spacing w:after="0"/>
              <w:rPr>
                <w:sz w:val="20"/>
                <w:szCs w:val="20"/>
                <w:color w:val="auto"/>
              </w:rPr>
            </w:pPr>
            <w:r>
              <w:rPr>
                <w:rFonts w:ascii="Arial" w:cs="Arial" w:eastAsia="Arial" w:hAnsi="Arial"/>
                <w:sz w:val="20"/>
                <w:szCs w:val="20"/>
                <w:color w:val="auto"/>
              </w:rPr>
              <w:t>8.</w:t>
            </w:r>
          </w:p>
        </w:tc>
        <w:tc>
          <w:tcPr>
            <w:tcW w:w="2240" w:type="dxa"/>
            <w:vAlign w:val="bottom"/>
          </w:tcPr>
          <w:p>
            <w:pPr>
              <w:ind w:left="20"/>
              <w:spacing w:after="0"/>
              <w:rPr>
                <w:sz w:val="20"/>
                <w:szCs w:val="20"/>
                <w:color w:val="auto"/>
              </w:rPr>
            </w:pPr>
            <w:r>
              <w:rPr>
                <w:rFonts w:ascii="Arial" w:cs="Arial" w:eastAsia="Arial" w:hAnsi="Arial"/>
                <w:sz w:val="20"/>
                <w:szCs w:val="20"/>
                <w:color w:val="auto"/>
                <w:w w:val="89"/>
              </w:rPr>
              <w:t xml:space="preserve">Shared Dispositive Power </w:t>
            </w:r>
            <w:r>
              <w:rPr>
                <w:rFonts w:ascii="Arial" w:cs="Arial" w:eastAsia="Arial" w:hAnsi="Arial"/>
                <w:sz w:val="20"/>
                <w:szCs w:val="20"/>
                <w:b w:val="1"/>
                <w:bCs w:val="1"/>
                <w:color w:val="auto"/>
                <w:w w:val="89"/>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0</w:t>
      </w:r>
    </w:p>
    <w:p>
      <w:pPr>
        <w:spacing w:after="0" w:line="246" w:lineRule="exact"/>
        <w:rPr>
          <w:rFonts w:ascii="Arial" w:cs="Arial" w:eastAsia="Arial" w:hAnsi="Arial"/>
          <w:sz w:val="19"/>
          <w:szCs w:val="19"/>
          <w:color w:val="auto"/>
        </w:rPr>
      </w:pPr>
    </w:p>
    <w:p>
      <w:pPr>
        <w:ind w:left="1300" w:right="2999"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39"/>
          </w:cols>
          <w:pgMar w:left="320" w:top="233"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68347P103</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Beryl Capital Management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34" w:lineRule="exact"/>
        <w:rPr>
          <w:rFonts w:ascii="Arial" w:cs="Arial" w:eastAsia="Arial" w:hAnsi="Arial"/>
          <w:sz w:val="19"/>
          <w:szCs w:val="19"/>
          <w:color w:val="auto"/>
        </w:rPr>
      </w:pPr>
    </w:p>
    <w:p>
      <w:pPr>
        <w:ind w:left="1780" w:hanging="476"/>
        <w:spacing w:after="0"/>
        <w:tabs>
          <w:tab w:leader="none" w:pos="17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-885190</wp:posOffset>
            </wp:positionV>
            <wp:extent cx="373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700" w:type="dxa"/>
            <w:vAlign w:val="bottom"/>
          </w:tcPr>
          <w:p>
            <w:pPr>
              <w:spacing w:after="0"/>
              <w:rPr>
                <w:sz w:val="20"/>
                <w:szCs w:val="20"/>
                <w:color w:val="auto"/>
              </w:rPr>
            </w:pPr>
            <w:r>
              <w:rPr>
                <w:rFonts w:ascii="Arial" w:cs="Arial" w:eastAsia="Arial" w:hAnsi="Arial"/>
                <w:sz w:val="20"/>
                <w:szCs w:val="20"/>
                <w:color w:val="auto"/>
              </w:rPr>
              <w:t>Number of</w:t>
            </w:r>
          </w:p>
        </w:tc>
        <w:tc>
          <w:tcPr>
            <w:tcW w:w="620" w:type="dxa"/>
            <w:vAlign w:val="bottom"/>
          </w:tcPr>
          <w:p>
            <w:pPr>
              <w:jc w:val="right"/>
              <w:spacing w:after="0"/>
              <w:rPr>
                <w:sz w:val="20"/>
                <w:szCs w:val="20"/>
                <w:color w:val="auto"/>
              </w:rPr>
            </w:pPr>
            <w:r>
              <w:rPr>
                <w:rFonts w:ascii="Arial" w:cs="Arial" w:eastAsia="Arial" w:hAnsi="Arial"/>
                <w:sz w:val="20"/>
                <w:szCs w:val="20"/>
                <w:color w:val="auto"/>
              </w:rPr>
              <w:t>5.</w:t>
            </w:r>
          </w:p>
        </w:tc>
        <w:tc>
          <w:tcPr>
            <w:tcW w:w="2240" w:type="dxa"/>
            <w:vAlign w:val="bottom"/>
          </w:tcPr>
          <w:p>
            <w:pPr>
              <w:ind w:left="20"/>
              <w:spacing w:after="0"/>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20"/>
                <w:szCs w:val="20"/>
                <w:color w:val="auto"/>
              </w:rPr>
              <w:t>Shares</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20"/>
                <w:szCs w:val="20"/>
                <w:color w:val="auto"/>
              </w:rPr>
              <w:t>Beneficially</w:t>
            </w:r>
          </w:p>
        </w:tc>
        <w:tc>
          <w:tcPr>
            <w:tcW w:w="620" w:type="dxa"/>
            <w:vAlign w:val="bottom"/>
          </w:tcPr>
          <w:p>
            <w:pPr>
              <w:jc w:val="right"/>
              <w:spacing w:after="0"/>
              <w:rPr>
                <w:sz w:val="20"/>
                <w:szCs w:val="20"/>
                <w:color w:val="auto"/>
              </w:rPr>
            </w:pPr>
            <w:r>
              <w:rPr>
                <w:rFonts w:ascii="Arial" w:cs="Arial" w:eastAsia="Arial" w:hAnsi="Arial"/>
                <w:sz w:val="20"/>
                <w:szCs w:val="20"/>
                <w:color w:val="auto"/>
              </w:rPr>
              <w:t>6.</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auto"/>
              </w:rPr>
              <w:t>Owned by</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w w:val="99"/>
              </w:rPr>
              <w:t xml:space="preserve">Sole Dispositive Power </w:t>
            </w:r>
            <w:r>
              <w:rPr>
                <w:rFonts w:ascii="Arial" w:cs="Arial" w:eastAsia="Arial" w:hAnsi="Arial"/>
                <w:sz w:val="20"/>
                <w:szCs w:val="20"/>
                <w:b w:val="1"/>
                <w:bCs w:val="1"/>
                <w:color w:val="auto"/>
                <w:w w:val="99"/>
              </w:rPr>
              <w:t>0</w:t>
            </w:r>
          </w:p>
        </w:tc>
        <w:tc>
          <w:tcPr>
            <w:tcW w:w="0" w:type="dxa"/>
            <w:vAlign w:val="bottom"/>
          </w:tcPr>
          <w:p>
            <w:pPr>
              <w:spacing w:after="0"/>
              <w:rPr>
                <w:sz w:val="1"/>
                <w:szCs w:val="1"/>
                <w:color w:val="auto"/>
              </w:rPr>
            </w:pPr>
          </w:p>
        </w:tc>
      </w:tr>
      <w:tr>
        <w:trPr>
          <w:trHeight w:val="223"/>
        </w:trPr>
        <w:tc>
          <w:tcPr>
            <w:tcW w:w="1700" w:type="dxa"/>
            <w:vAlign w:val="bottom"/>
          </w:tcPr>
          <w:p>
            <w:pPr>
              <w:spacing w:after="0" w:line="224" w:lineRule="exact"/>
              <w:rPr>
                <w:sz w:val="20"/>
                <w:szCs w:val="20"/>
                <w:color w:val="auto"/>
              </w:rPr>
            </w:pPr>
            <w:r>
              <w:rPr>
                <w:rFonts w:ascii="Arial" w:cs="Arial" w:eastAsia="Arial" w:hAnsi="Arial"/>
                <w:sz w:val="20"/>
                <w:szCs w:val="20"/>
                <w:color w:val="auto"/>
              </w:rPr>
              <w:t>Each Reporting</w:t>
            </w:r>
          </w:p>
        </w:tc>
        <w:tc>
          <w:tcPr>
            <w:tcW w:w="620" w:type="dxa"/>
            <w:vAlign w:val="bottom"/>
          </w:tcPr>
          <w:p>
            <w:pPr>
              <w:jc w:val="right"/>
              <w:spacing w:after="0" w:line="224" w:lineRule="exact"/>
              <w:rPr>
                <w:sz w:val="20"/>
                <w:szCs w:val="20"/>
                <w:color w:val="auto"/>
              </w:rPr>
            </w:pPr>
            <w:r>
              <w:rPr>
                <w:rFonts w:ascii="Arial" w:cs="Arial" w:eastAsia="Arial" w:hAnsi="Arial"/>
                <w:sz w:val="20"/>
                <w:szCs w:val="20"/>
                <w:color w:val="auto"/>
              </w:rPr>
              <w:t>7.</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0"/>
                <w:szCs w:val="20"/>
                <w:color w:val="auto"/>
              </w:rPr>
            </w:pPr>
            <w:r>
              <w:rPr>
                <w:rFonts w:ascii="Arial" w:cs="Arial" w:eastAsia="Arial" w:hAnsi="Arial"/>
                <w:sz w:val="20"/>
                <w:szCs w:val="20"/>
                <w:color w:val="auto"/>
              </w:rPr>
              <w:t>Person With:</w:t>
            </w:r>
          </w:p>
        </w:tc>
        <w:tc>
          <w:tcPr>
            <w:tcW w:w="620" w:type="dxa"/>
            <w:vAlign w:val="bottom"/>
          </w:tcPr>
          <w:p>
            <w:pPr>
              <w:jc w:val="right"/>
              <w:spacing w:after="0"/>
              <w:rPr>
                <w:sz w:val="20"/>
                <w:szCs w:val="20"/>
                <w:color w:val="auto"/>
              </w:rPr>
            </w:pPr>
            <w:r>
              <w:rPr>
                <w:rFonts w:ascii="Arial" w:cs="Arial" w:eastAsia="Arial" w:hAnsi="Arial"/>
                <w:sz w:val="20"/>
                <w:szCs w:val="20"/>
                <w:color w:val="auto"/>
              </w:rPr>
              <w:t>8.</w:t>
            </w:r>
          </w:p>
        </w:tc>
        <w:tc>
          <w:tcPr>
            <w:tcW w:w="2240" w:type="dxa"/>
            <w:vAlign w:val="bottom"/>
          </w:tcPr>
          <w:p>
            <w:pPr>
              <w:ind w:left="20"/>
              <w:spacing w:after="0"/>
              <w:rPr>
                <w:sz w:val="20"/>
                <w:szCs w:val="20"/>
                <w:color w:val="auto"/>
              </w:rPr>
            </w:pPr>
            <w:r>
              <w:rPr>
                <w:rFonts w:ascii="Arial" w:cs="Arial" w:eastAsia="Arial" w:hAnsi="Arial"/>
                <w:sz w:val="20"/>
                <w:szCs w:val="20"/>
                <w:color w:val="auto"/>
                <w:w w:val="89"/>
              </w:rPr>
              <w:t xml:space="preserve">Shared Dispositive Power </w:t>
            </w:r>
            <w:r>
              <w:rPr>
                <w:rFonts w:ascii="Arial" w:cs="Arial" w:eastAsia="Arial" w:hAnsi="Arial"/>
                <w:sz w:val="20"/>
                <w:szCs w:val="20"/>
                <w:b w:val="1"/>
                <w:bCs w:val="1"/>
                <w:color w:val="auto"/>
                <w:w w:val="89"/>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0</w:t>
      </w:r>
    </w:p>
    <w:p>
      <w:pPr>
        <w:spacing w:after="0" w:line="246" w:lineRule="exact"/>
        <w:rPr>
          <w:rFonts w:ascii="Arial" w:cs="Arial" w:eastAsia="Arial" w:hAnsi="Arial"/>
          <w:sz w:val="19"/>
          <w:szCs w:val="19"/>
          <w:color w:val="auto"/>
        </w:rPr>
      </w:pPr>
    </w:p>
    <w:p>
      <w:pPr>
        <w:ind w:left="1300" w:right="2999"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PN</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233"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68347P103</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Beryl Capital Partners II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40" w:lineRule="exact"/>
        <w:rPr>
          <w:rFonts w:ascii="Arial" w:cs="Arial" w:eastAsia="Arial" w:hAnsi="Arial"/>
          <w:sz w:val="19"/>
          <w:szCs w:val="19"/>
          <w:color w:val="auto"/>
        </w:rPr>
      </w:pPr>
    </w:p>
    <w:p>
      <w:pPr>
        <w:spacing w:after="0"/>
        <w:tabs>
          <w:tab w:leader="none" w:pos="0" w:val="left"/>
        </w:tabs>
        <w:numPr>
          <w:ilvl w:val="1"/>
          <w:numId w:val="6"/>
        </w:numPr>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-885190</wp:posOffset>
            </wp:positionV>
            <wp:extent cx="282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700" w:type="dxa"/>
            <w:vAlign w:val="bottom"/>
          </w:tcPr>
          <w:p>
            <w:pPr>
              <w:spacing w:after="0"/>
              <w:rPr>
                <w:sz w:val="20"/>
                <w:szCs w:val="20"/>
                <w:color w:val="auto"/>
              </w:rPr>
            </w:pPr>
            <w:r>
              <w:rPr>
                <w:rFonts w:ascii="Arial" w:cs="Arial" w:eastAsia="Arial" w:hAnsi="Arial"/>
                <w:sz w:val="20"/>
                <w:szCs w:val="20"/>
                <w:color w:val="auto"/>
              </w:rPr>
              <w:t>Number of</w:t>
            </w:r>
          </w:p>
        </w:tc>
        <w:tc>
          <w:tcPr>
            <w:tcW w:w="620" w:type="dxa"/>
            <w:vAlign w:val="bottom"/>
          </w:tcPr>
          <w:p>
            <w:pPr>
              <w:jc w:val="right"/>
              <w:spacing w:after="0"/>
              <w:rPr>
                <w:sz w:val="20"/>
                <w:szCs w:val="20"/>
                <w:color w:val="auto"/>
              </w:rPr>
            </w:pPr>
            <w:r>
              <w:rPr>
                <w:rFonts w:ascii="Arial" w:cs="Arial" w:eastAsia="Arial" w:hAnsi="Arial"/>
                <w:sz w:val="20"/>
                <w:szCs w:val="20"/>
                <w:color w:val="auto"/>
              </w:rPr>
              <w:t>5.</w:t>
            </w:r>
          </w:p>
        </w:tc>
        <w:tc>
          <w:tcPr>
            <w:tcW w:w="2240" w:type="dxa"/>
            <w:vAlign w:val="bottom"/>
          </w:tcPr>
          <w:p>
            <w:pPr>
              <w:ind w:left="20"/>
              <w:spacing w:after="0"/>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20"/>
                <w:szCs w:val="20"/>
                <w:color w:val="auto"/>
              </w:rPr>
              <w:t>Shares</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20"/>
                <w:szCs w:val="20"/>
                <w:color w:val="auto"/>
              </w:rPr>
              <w:t>Beneficially</w:t>
            </w:r>
          </w:p>
        </w:tc>
        <w:tc>
          <w:tcPr>
            <w:tcW w:w="620" w:type="dxa"/>
            <w:vAlign w:val="bottom"/>
          </w:tcPr>
          <w:p>
            <w:pPr>
              <w:jc w:val="right"/>
              <w:spacing w:after="0"/>
              <w:rPr>
                <w:sz w:val="20"/>
                <w:szCs w:val="20"/>
                <w:color w:val="auto"/>
              </w:rPr>
            </w:pPr>
            <w:r>
              <w:rPr>
                <w:rFonts w:ascii="Arial" w:cs="Arial" w:eastAsia="Arial" w:hAnsi="Arial"/>
                <w:sz w:val="20"/>
                <w:szCs w:val="20"/>
                <w:color w:val="auto"/>
              </w:rPr>
              <w:t>6.</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auto"/>
              </w:rPr>
              <w:t>Owned by</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w w:val="99"/>
              </w:rPr>
              <w:t xml:space="preserve">Sole Dispositive Power </w:t>
            </w:r>
            <w:r>
              <w:rPr>
                <w:rFonts w:ascii="Arial" w:cs="Arial" w:eastAsia="Arial" w:hAnsi="Arial"/>
                <w:sz w:val="20"/>
                <w:szCs w:val="20"/>
                <w:b w:val="1"/>
                <w:bCs w:val="1"/>
                <w:color w:val="auto"/>
                <w:w w:val="99"/>
              </w:rPr>
              <w:t>0</w:t>
            </w:r>
          </w:p>
        </w:tc>
        <w:tc>
          <w:tcPr>
            <w:tcW w:w="0" w:type="dxa"/>
            <w:vAlign w:val="bottom"/>
          </w:tcPr>
          <w:p>
            <w:pPr>
              <w:spacing w:after="0"/>
              <w:rPr>
                <w:sz w:val="1"/>
                <w:szCs w:val="1"/>
                <w:color w:val="auto"/>
              </w:rPr>
            </w:pPr>
          </w:p>
        </w:tc>
      </w:tr>
      <w:tr>
        <w:trPr>
          <w:trHeight w:val="223"/>
        </w:trPr>
        <w:tc>
          <w:tcPr>
            <w:tcW w:w="1700" w:type="dxa"/>
            <w:vAlign w:val="bottom"/>
          </w:tcPr>
          <w:p>
            <w:pPr>
              <w:spacing w:after="0" w:line="224" w:lineRule="exact"/>
              <w:rPr>
                <w:sz w:val="20"/>
                <w:szCs w:val="20"/>
                <w:color w:val="auto"/>
              </w:rPr>
            </w:pPr>
            <w:r>
              <w:rPr>
                <w:rFonts w:ascii="Arial" w:cs="Arial" w:eastAsia="Arial" w:hAnsi="Arial"/>
                <w:sz w:val="20"/>
                <w:szCs w:val="20"/>
                <w:color w:val="auto"/>
              </w:rPr>
              <w:t>Each Reporting</w:t>
            </w:r>
          </w:p>
        </w:tc>
        <w:tc>
          <w:tcPr>
            <w:tcW w:w="620" w:type="dxa"/>
            <w:vAlign w:val="bottom"/>
          </w:tcPr>
          <w:p>
            <w:pPr>
              <w:jc w:val="right"/>
              <w:spacing w:after="0" w:line="224" w:lineRule="exact"/>
              <w:rPr>
                <w:sz w:val="20"/>
                <w:szCs w:val="20"/>
                <w:color w:val="auto"/>
              </w:rPr>
            </w:pPr>
            <w:r>
              <w:rPr>
                <w:rFonts w:ascii="Arial" w:cs="Arial" w:eastAsia="Arial" w:hAnsi="Arial"/>
                <w:sz w:val="20"/>
                <w:szCs w:val="20"/>
                <w:color w:val="auto"/>
              </w:rPr>
              <w:t>7.</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0"/>
                <w:szCs w:val="20"/>
                <w:color w:val="auto"/>
              </w:rPr>
            </w:pPr>
            <w:r>
              <w:rPr>
                <w:rFonts w:ascii="Arial" w:cs="Arial" w:eastAsia="Arial" w:hAnsi="Arial"/>
                <w:sz w:val="20"/>
                <w:szCs w:val="20"/>
                <w:color w:val="auto"/>
              </w:rPr>
              <w:t>Person With:</w:t>
            </w:r>
          </w:p>
        </w:tc>
        <w:tc>
          <w:tcPr>
            <w:tcW w:w="620" w:type="dxa"/>
            <w:vAlign w:val="bottom"/>
          </w:tcPr>
          <w:p>
            <w:pPr>
              <w:jc w:val="right"/>
              <w:spacing w:after="0"/>
              <w:rPr>
                <w:sz w:val="20"/>
                <w:szCs w:val="20"/>
                <w:color w:val="auto"/>
              </w:rPr>
            </w:pPr>
            <w:r>
              <w:rPr>
                <w:rFonts w:ascii="Arial" w:cs="Arial" w:eastAsia="Arial" w:hAnsi="Arial"/>
                <w:sz w:val="20"/>
                <w:szCs w:val="20"/>
                <w:color w:val="auto"/>
              </w:rPr>
              <w:t>8.</w:t>
            </w:r>
          </w:p>
        </w:tc>
        <w:tc>
          <w:tcPr>
            <w:tcW w:w="2240" w:type="dxa"/>
            <w:vAlign w:val="bottom"/>
          </w:tcPr>
          <w:p>
            <w:pPr>
              <w:ind w:left="20"/>
              <w:spacing w:after="0"/>
              <w:rPr>
                <w:sz w:val="20"/>
                <w:szCs w:val="20"/>
                <w:color w:val="auto"/>
              </w:rPr>
            </w:pPr>
            <w:r>
              <w:rPr>
                <w:rFonts w:ascii="Arial" w:cs="Arial" w:eastAsia="Arial" w:hAnsi="Arial"/>
                <w:sz w:val="20"/>
                <w:szCs w:val="20"/>
                <w:color w:val="auto"/>
                <w:w w:val="89"/>
              </w:rPr>
              <w:t xml:space="preserve">Shared Dispositive Power </w:t>
            </w:r>
            <w:r>
              <w:rPr>
                <w:rFonts w:ascii="Arial" w:cs="Arial" w:eastAsia="Arial" w:hAnsi="Arial"/>
                <w:sz w:val="20"/>
                <w:szCs w:val="20"/>
                <w:b w:val="1"/>
                <w:bCs w:val="1"/>
                <w:color w:val="auto"/>
                <w:w w:val="89"/>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0</w:t>
      </w:r>
    </w:p>
    <w:p>
      <w:pPr>
        <w:spacing w:after="0" w:line="246" w:lineRule="exact"/>
        <w:rPr>
          <w:rFonts w:ascii="Arial" w:cs="Arial" w:eastAsia="Arial" w:hAnsi="Arial"/>
          <w:sz w:val="19"/>
          <w:szCs w:val="19"/>
          <w:color w:val="auto"/>
        </w:rPr>
      </w:pPr>
    </w:p>
    <w:p>
      <w:pPr>
        <w:ind w:left="1300" w:right="2999" w:hanging="644"/>
        <w:spacing w:after="0" w:line="260" w:lineRule="auto"/>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233"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68347P103</w:t>
      </w:r>
    </w:p>
    <w:p>
      <w:pPr>
        <w:spacing w:after="0" w:line="23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David A. Witkin</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34" w:lineRule="exact"/>
        <w:rPr>
          <w:rFonts w:ascii="Arial" w:cs="Arial" w:eastAsia="Arial" w:hAnsi="Arial"/>
          <w:sz w:val="19"/>
          <w:szCs w:val="19"/>
          <w:color w:val="auto"/>
        </w:rPr>
      </w:pPr>
    </w:p>
    <w:p>
      <w:pPr>
        <w:ind w:left="1780" w:hanging="476"/>
        <w:spacing w:after="0"/>
        <w:tabs>
          <w:tab w:leader="none" w:pos="1780" w:val="left"/>
        </w:tabs>
        <w:numPr>
          <w:ilvl w:val="1"/>
          <w:numId w:val="8"/>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-885190</wp:posOffset>
            </wp:positionV>
            <wp:extent cx="373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5"/>
        </w:trPr>
        <w:tc>
          <w:tcPr>
            <w:tcW w:w="1700" w:type="dxa"/>
            <w:vAlign w:val="bottom"/>
          </w:tcPr>
          <w:p>
            <w:pPr>
              <w:spacing w:after="0"/>
              <w:rPr>
                <w:sz w:val="20"/>
                <w:szCs w:val="20"/>
                <w:color w:val="auto"/>
              </w:rPr>
            </w:pPr>
            <w:r>
              <w:rPr>
                <w:rFonts w:ascii="Arial" w:cs="Arial" w:eastAsia="Arial" w:hAnsi="Arial"/>
                <w:sz w:val="20"/>
                <w:szCs w:val="20"/>
                <w:color w:val="auto"/>
              </w:rPr>
              <w:t>Number of</w:t>
            </w:r>
          </w:p>
        </w:tc>
        <w:tc>
          <w:tcPr>
            <w:tcW w:w="620" w:type="dxa"/>
            <w:vAlign w:val="bottom"/>
          </w:tcPr>
          <w:p>
            <w:pPr>
              <w:jc w:val="right"/>
              <w:spacing w:after="0"/>
              <w:rPr>
                <w:sz w:val="20"/>
                <w:szCs w:val="20"/>
                <w:color w:val="auto"/>
              </w:rPr>
            </w:pPr>
            <w:r>
              <w:rPr>
                <w:rFonts w:ascii="Arial" w:cs="Arial" w:eastAsia="Arial" w:hAnsi="Arial"/>
                <w:sz w:val="20"/>
                <w:szCs w:val="20"/>
                <w:color w:val="auto"/>
              </w:rPr>
              <w:t>5.</w:t>
            </w:r>
          </w:p>
        </w:tc>
        <w:tc>
          <w:tcPr>
            <w:tcW w:w="2240" w:type="dxa"/>
            <w:vAlign w:val="bottom"/>
          </w:tcPr>
          <w:p>
            <w:pPr>
              <w:ind w:left="20"/>
              <w:spacing w:after="0"/>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20"/>
                <w:szCs w:val="20"/>
                <w:color w:val="auto"/>
              </w:rPr>
              <w:t>Shares</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20"/>
                <w:szCs w:val="20"/>
                <w:color w:val="auto"/>
              </w:rPr>
              <w:t>Beneficially</w:t>
            </w:r>
          </w:p>
        </w:tc>
        <w:tc>
          <w:tcPr>
            <w:tcW w:w="620" w:type="dxa"/>
            <w:vAlign w:val="bottom"/>
          </w:tcPr>
          <w:p>
            <w:pPr>
              <w:jc w:val="right"/>
              <w:spacing w:after="0"/>
              <w:rPr>
                <w:sz w:val="20"/>
                <w:szCs w:val="20"/>
                <w:color w:val="auto"/>
              </w:rPr>
            </w:pPr>
            <w:r>
              <w:rPr>
                <w:rFonts w:ascii="Arial" w:cs="Arial" w:eastAsia="Arial" w:hAnsi="Arial"/>
                <w:sz w:val="20"/>
                <w:szCs w:val="20"/>
                <w:color w:val="auto"/>
              </w:rPr>
              <w:t>6.</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Arial" w:cs="Arial" w:eastAsia="Arial" w:hAnsi="Arial"/>
                <w:sz w:val="20"/>
                <w:szCs w:val="20"/>
                <w:color w:val="auto"/>
              </w:rPr>
              <w:t>Owned by</w:t>
            </w:r>
          </w:p>
        </w:tc>
        <w:tc>
          <w:tcPr>
            <w:tcW w:w="620" w:type="dxa"/>
            <w:vAlign w:val="bottom"/>
          </w:tcPr>
          <w:p>
            <w:pPr>
              <w:spacing w:after="0"/>
              <w:rPr>
                <w:sz w:val="19"/>
                <w:szCs w:val="19"/>
                <w:color w:val="auto"/>
              </w:rPr>
            </w:pPr>
          </w:p>
        </w:tc>
        <w:tc>
          <w:tcPr>
            <w:tcW w:w="2240" w:type="dxa"/>
            <w:vAlign w:val="bottom"/>
            <w:vMerge w:val="restart"/>
          </w:tcPr>
          <w:p>
            <w:pPr>
              <w:ind w:left="20"/>
              <w:spacing w:after="0"/>
              <w:rPr>
                <w:sz w:val="20"/>
                <w:szCs w:val="20"/>
                <w:color w:val="auto"/>
              </w:rPr>
            </w:pPr>
            <w:r>
              <w:rPr>
                <w:rFonts w:ascii="Arial" w:cs="Arial" w:eastAsia="Arial" w:hAnsi="Arial"/>
                <w:sz w:val="20"/>
                <w:szCs w:val="20"/>
                <w:color w:val="auto"/>
                <w:w w:val="99"/>
              </w:rPr>
              <w:t xml:space="preserve">Sole Dispositive Power </w:t>
            </w:r>
            <w:r>
              <w:rPr>
                <w:rFonts w:ascii="Arial" w:cs="Arial" w:eastAsia="Arial" w:hAnsi="Arial"/>
                <w:sz w:val="20"/>
                <w:szCs w:val="20"/>
                <w:b w:val="1"/>
                <w:bCs w:val="1"/>
                <w:color w:val="auto"/>
                <w:w w:val="99"/>
              </w:rPr>
              <w:t>0</w:t>
            </w:r>
          </w:p>
        </w:tc>
        <w:tc>
          <w:tcPr>
            <w:tcW w:w="0" w:type="dxa"/>
            <w:vAlign w:val="bottom"/>
          </w:tcPr>
          <w:p>
            <w:pPr>
              <w:spacing w:after="0"/>
              <w:rPr>
                <w:sz w:val="1"/>
                <w:szCs w:val="1"/>
                <w:color w:val="auto"/>
              </w:rPr>
            </w:pPr>
          </w:p>
        </w:tc>
      </w:tr>
      <w:tr>
        <w:trPr>
          <w:trHeight w:val="224"/>
        </w:trPr>
        <w:tc>
          <w:tcPr>
            <w:tcW w:w="1700" w:type="dxa"/>
            <w:vAlign w:val="bottom"/>
          </w:tcPr>
          <w:p>
            <w:pPr>
              <w:spacing w:after="0" w:line="224" w:lineRule="exact"/>
              <w:rPr>
                <w:sz w:val="20"/>
                <w:szCs w:val="20"/>
                <w:color w:val="auto"/>
              </w:rPr>
            </w:pPr>
            <w:r>
              <w:rPr>
                <w:rFonts w:ascii="Arial" w:cs="Arial" w:eastAsia="Arial" w:hAnsi="Arial"/>
                <w:sz w:val="20"/>
                <w:szCs w:val="20"/>
                <w:color w:val="auto"/>
              </w:rPr>
              <w:t>Each Reporting</w:t>
            </w:r>
          </w:p>
        </w:tc>
        <w:tc>
          <w:tcPr>
            <w:tcW w:w="620" w:type="dxa"/>
            <w:vAlign w:val="bottom"/>
          </w:tcPr>
          <w:p>
            <w:pPr>
              <w:jc w:val="right"/>
              <w:spacing w:after="0" w:line="224" w:lineRule="exact"/>
              <w:rPr>
                <w:sz w:val="20"/>
                <w:szCs w:val="20"/>
                <w:color w:val="auto"/>
              </w:rPr>
            </w:pPr>
            <w:r>
              <w:rPr>
                <w:rFonts w:ascii="Arial" w:cs="Arial" w:eastAsia="Arial" w:hAnsi="Arial"/>
                <w:sz w:val="20"/>
                <w:szCs w:val="20"/>
                <w:color w:val="auto"/>
              </w:rPr>
              <w:t>7.</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0"/>
                <w:szCs w:val="20"/>
                <w:color w:val="auto"/>
              </w:rPr>
            </w:pPr>
            <w:r>
              <w:rPr>
                <w:rFonts w:ascii="Arial" w:cs="Arial" w:eastAsia="Arial" w:hAnsi="Arial"/>
                <w:sz w:val="20"/>
                <w:szCs w:val="20"/>
                <w:color w:val="auto"/>
              </w:rPr>
              <w:t>Person With:</w:t>
            </w:r>
          </w:p>
        </w:tc>
        <w:tc>
          <w:tcPr>
            <w:tcW w:w="620" w:type="dxa"/>
            <w:vAlign w:val="bottom"/>
          </w:tcPr>
          <w:p>
            <w:pPr>
              <w:jc w:val="right"/>
              <w:spacing w:after="0"/>
              <w:rPr>
                <w:sz w:val="20"/>
                <w:szCs w:val="20"/>
                <w:color w:val="auto"/>
              </w:rPr>
            </w:pPr>
            <w:r>
              <w:rPr>
                <w:rFonts w:ascii="Arial" w:cs="Arial" w:eastAsia="Arial" w:hAnsi="Arial"/>
                <w:sz w:val="20"/>
                <w:szCs w:val="20"/>
                <w:color w:val="auto"/>
              </w:rPr>
              <w:t>8.</w:t>
            </w:r>
          </w:p>
        </w:tc>
        <w:tc>
          <w:tcPr>
            <w:tcW w:w="2240" w:type="dxa"/>
            <w:vAlign w:val="bottom"/>
          </w:tcPr>
          <w:p>
            <w:pPr>
              <w:ind w:left="20"/>
              <w:spacing w:after="0"/>
              <w:rPr>
                <w:sz w:val="20"/>
                <w:szCs w:val="20"/>
                <w:color w:val="auto"/>
              </w:rPr>
            </w:pPr>
            <w:r>
              <w:rPr>
                <w:rFonts w:ascii="Arial" w:cs="Arial" w:eastAsia="Arial" w:hAnsi="Arial"/>
                <w:sz w:val="20"/>
                <w:szCs w:val="20"/>
                <w:color w:val="auto"/>
                <w:w w:val="89"/>
              </w:rPr>
              <w:t xml:space="preserve">Shared Dispositive Power </w:t>
            </w:r>
            <w:r>
              <w:rPr>
                <w:rFonts w:ascii="Arial" w:cs="Arial" w:eastAsia="Arial" w:hAnsi="Arial"/>
                <w:sz w:val="20"/>
                <w:szCs w:val="20"/>
                <w:b w:val="1"/>
                <w:bCs w:val="1"/>
                <w:color w:val="auto"/>
                <w:w w:val="89"/>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0</w:t>
      </w:r>
    </w:p>
    <w:p>
      <w:pPr>
        <w:spacing w:after="0" w:line="246" w:lineRule="exact"/>
        <w:rPr>
          <w:rFonts w:ascii="Arial" w:cs="Arial" w:eastAsia="Arial" w:hAnsi="Arial"/>
          <w:sz w:val="19"/>
          <w:szCs w:val="19"/>
          <w:color w:val="auto"/>
        </w:rPr>
      </w:pPr>
    </w:p>
    <w:p>
      <w:pPr>
        <w:ind w:left="1300" w:right="2999"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0%</w:t>
      </w:r>
    </w:p>
    <w:p>
      <w:pPr>
        <w:spacing w:after="0" w:line="229" w:lineRule="exact"/>
        <w:rPr>
          <w:rFonts w:ascii="Arial" w:cs="Arial" w:eastAsia="Arial" w:hAnsi="Arial"/>
          <w:sz w:val="20"/>
          <w:szCs w:val="20"/>
          <w:color w:val="auto"/>
        </w:rPr>
      </w:pPr>
    </w:p>
    <w:p>
      <w:pPr>
        <w:ind w:left="960" w:hanging="304"/>
        <w:spacing w:after="0"/>
        <w:tabs>
          <w:tab w:leader="none" w:pos="96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233"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68347P103</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p>
    <w:p>
      <w:pPr>
        <w:spacing w:after="0" w:line="213"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OPAL Fuels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One North Lexington Avenue, Suite 1450, White Plains, NY 10601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3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spacing w:after="0" w:line="280" w:lineRule="auto"/>
        <w:rPr>
          <w:rFonts w:ascii="Arial" w:cs="Arial" w:eastAsia="Arial" w:hAnsi="Arial"/>
          <w:sz w:val="20"/>
          <w:szCs w:val="20"/>
          <w:color w:val="auto"/>
        </w:rPr>
      </w:pPr>
      <w:r>
        <w:rPr>
          <w:rFonts w:ascii="Arial" w:cs="Arial" w:eastAsia="Arial" w:hAnsi="Arial"/>
          <w:sz w:val="18"/>
          <w:szCs w:val="18"/>
          <w:b w:val="1"/>
          <w:bCs w:val="1"/>
          <w:color w:val="auto"/>
        </w:rPr>
        <w:t>Beryl Capital Management LLC (“Beryl”), Beryl Capital Management LP (“Beryl GP”), Beryl Capital Partners II LP (the “Partnership”) and David A. Witkin (collectively, the “Filers”). Each Filer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225 Avenue I, Suite 205, Redondo Beach, CA 90277</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w:t>
      </w:r>
      <w:r>
        <w:rPr>
          <w:rFonts w:ascii="Arial" w:cs="Arial" w:eastAsia="Arial" w:hAnsi="Arial"/>
          <w:sz w:val="20"/>
          <w:szCs w:val="20"/>
          <w:b w:val="1"/>
          <w:bCs w:val="1"/>
          <w:color w:val="auto"/>
        </w:rPr>
        <w:t>Class A Common Stock, par value $0.0001</w:t>
      </w:r>
      <w:r>
        <w:rPr>
          <w:rFonts w:ascii="Arial" w:cs="Arial" w:eastAsia="Arial" w:hAnsi="Arial"/>
          <w:sz w:val="20"/>
          <w:szCs w:val="20"/>
          <w:color w:val="auto"/>
        </w:rPr>
        <w:t xml:space="preserve"> (the "Stock").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68347P103</w:t>
      </w: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233" w:right="49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CUSIP No. 68347P103</w:t>
      </w:r>
    </w:p>
    <w:p>
      <w:pPr>
        <w:sectPr>
          <w:pgSz w:w="11900" w:h="16838" w:orient="portrait"/>
          <w:cols w:equalWidth="0" w:num="1">
            <w:col w:w="11100"/>
          </w:cols>
          <w:pgMar w:left="320" w:top="233" w:right="479" w:bottom="0" w:gutter="0" w:footer="0" w:header="0"/>
        </w:sect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2" w:lineRule="exact"/>
        <w:rPr>
          <w:sz w:val="20"/>
          <w:szCs w:val="20"/>
          <w:color w:val="auto"/>
        </w:rPr>
      </w:pPr>
    </w:p>
    <w:p>
      <w:pPr>
        <w:sectPr>
          <w:pgSz w:w="11900" w:h="16838" w:orient="portrait"/>
          <w:cols w:equalWidth="0" w:num="2">
            <w:col w:w="600" w:space="700"/>
            <w:col w:w="9800"/>
          </w:cols>
          <w:pgMar w:left="320" w:top="233" w:right="479" w:bottom="0" w:gutter="0" w:footer="0" w:header="0"/>
          <w:type w:val="continuous"/>
        </w:sectPr>
      </w:pP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 Broker or dealer registered under section 15 of the Act (15 U.S.C. 78o).</w:t>
      </w:r>
    </w:p>
    <w:p>
      <w:pPr>
        <w:spacing w:after="0" w:line="200" w:lineRule="exact"/>
        <w:rPr>
          <w:sz w:val="20"/>
          <w:szCs w:val="20"/>
          <w:color w:val="auto"/>
        </w:rPr>
      </w:pPr>
    </w:p>
    <w:p>
      <w:pPr>
        <w:sectPr>
          <w:pgSz w:w="11900" w:h="16838" w:orient="portrait"/>
          <w:cols w:equalWidth="0" w:num="2">
            <w:col w:w="1240" w:space="720"/>
            <w:col w:w="9140"/>
          </w:cols>
          <w:pgMar w:left="320" w:top="233" w:right="47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Bank as defined in section 3(a)(6) of the Act (15 U.S.C. 78c).</w:t>
      </w:r>
    </w:p>
    <w:p>
      <w:pPr>
        <w:spacing w:after="0" w:line="200" w:lineRule="exact"/>
        <w:rPr>
          <w:sz w:val="20"/>
          <w:szCs w:val="20"/>
          <w:color w:val="auto"/>
        </w:rPr>
      </w:pPr>
    </w:p>
    <w:p>
      <w:pPr>
        <w:sectPr>
          <w:pgSz w:w="11900" w:h="16838" w:orient="portrait"/>
          <w:cols w:equalWidth="0" w:num="2">
            <w:col w:w="1240" w:space="720"/>
            <w:col w:w="9140"/>
          </w:cols>
          <w:pgMar w:left="320" w:top="233" w:right="47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Insurance company as defined in section 3(a)(19) of the Act (15 U.S.C. 78c).</w:t>
      </w:r>
    </w:p>
    <w:p>
      <w:pPr>
        <w:spacing w:after="0" w:line="200" w:lineRule="exact"/>
        <w:rPr>
          <w:sz w:val="20"/>
          <w:szCs w:val="20"/>
          <w:color w:val="auto"/>
        </w:rPr>
      </w:pPr>
    </w:p>
    <w:p>
      <w:pPr>
        <w:sectPr>
          <w:pgSz w:w="11900" w:h="16838" w:orient="portrait"/>
          <w:cols w:equalWidth="0" w:num="2">
            <w:col w:w="1240" w:space="720"/>
            <w:col w:w="9140"/>
          </w:cols>
          <w:pgMar w:left="320" w:top="233" w:right="47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Investment company registered under section 8 of the Investment Company Act of 1940 (15 U.S.C. 80a-8).</w:t>
      </w:r>
    </w:p>
    <w:p>
      <w:pPr>
        <w:spacing w:after="0" w:line="200" w:lineRule="exact"/>
        <w:rPr>
          <w:sz w:val="20"/>
          <w:szCs w:val="20"/>
          <w:color w:val="auto"/>
        </w:rPr>
      </w:pPr>
    </w:p>
    <w:p>
      <w:pPr>
        <w:sectPr>
          <w:pgSz w:w="11900" w:h="16838" w:orient="portrait"/>
          <w:cols w:equalWidth="0" w:num="2">
            <w:col w:w="1240" w:space="720"/>
            <w:col w:w="9140"/>
          </w:cols>
          <w:pgMar w:left="320" w:top="233" w:right="479" w:bottom="0" w:gutter="0" w:footer="0" w:header="0"/>
          <w:type w:val="continuous"/>
        </w:sectPr>
      </w:pPr>
    </w:p>
    <w:p>
      <w:pPr>
        <w:spacing w:after="0" w:line="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An investment adviser in accordance with section 240.13d-1(b)(1)(ii)(E), as to Beryl and Beryl GP.</w:t>
      </w:r>
    </w:p>
    <w:p>
      <w:pPr>
        <w:sectPr>
          <w:pgSz w:w="11900" w:h="16838" w:orient="portrait"/>
          <w:cols w:equalWidth="0" w:num="1">
            <w:col w:w="11100"/>
          </w:cols>
          <w:pgMar w:left="320" w:top="233" w:right="479" w:bottom="0" w:gutter="0" w:footer="0" w:header="0"/>
          <w:type w:val="continuous"/>
        </w:sect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 An employee benefit plan or endowment fund in accordance with section 240.13d-1(b)(1)(ii)(F).</w:t>
      </w:r>
    </w:p>
    <w:p>
      <w:pPr>
        <w:spacing w:after="0" w:line="222" w:lineRule="exact"/>
        <w:rPr>
          <w:sz w:val="20"/>
          <w:szCs w:val="20"/>
          <w:color w:val="auto"/>
        </w:rPr>
      </w:pPr>
    </w:p>
    <w:p>
      <w:pPr>
        <w:sectPr>
          <w:pgSz w:w="11900" w:h="16838" w:orient="portrait"/>
          <w:cols w:equalWidth="0" w:num="2">
            <w:col w:w="1240" w:space="720"/>
            <w:col w:w="9140"/>
          </w:cols>
          <w:pgMar w:left="320" w:top="233" w:right="479" w:bottom="0" w:gutter="0" w:footer="0" w:header="0"/>
          <w:type w:val="continuous"/>
        </w:sectPr>
      </w:pPr>
    </w:p>
    <w:p>
      <w:pPr>
        <w:spacing w:after="0" w:line="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A parent holding company or control person in accordance with 240.13d-1(b)(1)(ii)(G), as to Mr. Witkin.</w:t>
      </w:r>
    </w:p>
    <w:p>
      <w:pPr>
        <w:sectPr>
          <w:pgSz w:w="11900" w:h="16838" w:orient="portrait"/>
          <w:cols w:equalWidth="0" w:num="1">
            <w:col w:w="11100"/>
          </w:cols>
          <w:pgMar w:left="320" w:top="233" w:right="479" w:bottom="0" w:gutter="0" w:footer="0" w:header="0"/>
          <w:type w:val="continuous"/>
        </w:sect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 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240" w:space="720"/>
            <w:col w:w="9140"/>
          </w:cols>
          <w:pgMar w:left="320" w:top="233" w:right="47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90" w:lineRule="exact"/>
        <w:rPr>
          <w:sz w:val="20"/>
          <w:szCs w:val="20"/>
          <w:color w:val="auto"/>
        </w:rPr>
      </w:pPr>
    </w:p>
    <w:p>
      <w:pPr>
        <w:sectPr>
          <w:pgSz w:w="11900" w:h="16838" w:orient="portrait"/>
          <w:cols w:equalWidth="0" w:num="2">
            <w:col w:w="1240" w:space="720"/>
            <w:col w:w="9140"/>
          </w:cols>
          <w:pgMar w:left="320" w:top="233" w:right="479" w:bottom="0" w:gutter="0" w:footer="0" w:header="0"/>
          <w:type w:val="continuous"/>
        </w:sectPr>
      </w:pPr>
    </w:p>
    <w:p>
      <w:pPr>
        <w:ind w:left="660"/>
        <w:spacing w:after="0"/>
        <w:rPr>
          <w:sz w:val="20"/>
          <w:szCs w:val="20"/>
          <w:color w:val="auto"/>
        </w:rPr>
      </w:pPr>
      <w:r>
        <w:rPr>
          <w:rFonts w:ascii="Arial" w:cs="Arial" w:eastAsia="Arial" w:hAnsi="Arial"/>
          <w:sz w:val="20"/>
          <w:szCs w:val="20"/>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A non-U.S. institution in accordance with §240.13d-1(b)(ii)(J).</w:t>
      </w:r>
    </w:p>
    <w:p>
      <w:pPr>
        <w:spacing w:after="0" w:line="222" w:lineRule="exact"/>
        <w:rPr>
          <w:sz w:val="20"/>
          <w:szCs w:val="20"/>
          <w:color w:val="auto"/>
        </w:rPr>
      </w:pPr>
    </w:p>
    <w:p>
      <w:pPr>
        <w:sectPr>
          <w:pgSz w:w="11900" w:h="16838" w:orient="portrait"/>
          <w:cols w:equalWidth="0" w:num="2">
            <w:col w:w="1240" w:space="720"/>
            <w:col w:w="9140"/>
          </w:cols>
          <w:pgMar w:left="320" w:top="233" w:right="479" w:bottom="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Group, in accordance with Rule 13d-1(b)(1)(ii)(K).</w:t>
      </w:r>
    </w:p>
    <w:p>
      <w:pPr>
        <w:spacing w:after="0" w:line="200" w:lineRule="exact"/>
        <w:rPr>
          <w:sz w:val="20"/>
          <w:szCs w:val="20"/>
          <w:color w:val="auto"/>
        </w:rPr>
      </w:pPr>
    </w:p>
    <w:p>
      <w:pPr>
        <w:sectPr>
          <w:pgSz w:w="11900" w:h="16838" w:orient="portrait"/>
          <w:cols w:equalWidth="0" w:num="2">
            <w:col w:w="1240" w:space="720"/>
            <w:col w:w="9140"/>
          </w:cols>
          <w:pgMar w:left="320" w:top="233" w:right="479" w:bottom="0" w:gutter="0" w:footer="0" w:header="0"/>
          <w:type w:val="continuous"/>
        </w:sectPr>
      </w:pPr>
    </w:p>
    <w:p>
      <w:pPr>
        <w:spacing w:after="0" w:line="52" w:lineRule="exact"/>
        <w:rPr>
          <w:sz w:val="20"/>
          <w:szCs w:val="20"/>
          <w:color w:val="auto"/>
        </w:rPr>
      </w:pPr>
    </w:p>
    <w:p>
      <w:pPr>
        <w:ind w:left="660" w:right="1500"/>
        <w:spacing w:after="0" w:line="260" w:lineRule="auto"/>
        <w:rPr>
          <w:sz w:val="20"/>
          <w:szCs w:val="20"/>
          <w:color w:val="auto"/>
        </w:rPr>
      </w:pPr>
      <w:r>
        <w:rPr>
          <w:rFonts w:ascii="Arial" w:cs="Arial" w:eastAsia="Arial" w:hAnsi="Arial"/>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100"/>
          </w:cols>
          <w:pgMar w:left="320" w:top="233" w:right="479" w:bottom="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22" w:lineRule="exact"/>
        <w:rPr>
          <w:sz w:val="20"/>
          <w:szCs w:val="20"/>
          <w:color w:val="auto"/>
        </w:rPr>
      </w:pPr>
    </w:p>
    <w:p>
      <w:pPr>
        <w:sectPr>
          <w:pgSz w:w="11900" w:h="16838" w:orient="portrait"/>
          <w:cols w:equalWidth="0" w:num="2">
            <w:col w:w="600" w:space="700"/>
            <w:col w:w="9800"/>
          </w:cols>
          <w:pgMar w:left="320" w:top="233" w:right="479" w:bottom="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Arial" w:cs="Arial" w:eastAsia="Arial" w:hAnsi="Arial"/>
          <w:sz w:val="20"/>
          <w:szCs w:val="20"/>
          <w:b w:val="1"/>
          <w:bCs w:val="1"/>
          <w:color w:val="auto"/>
        </w:rPr>
        <w:t>X</w:t>
      </w:r>
      <w:r>
        <w:rPr>
          <w:rFonts w:ascii="Arial" w:cs="Arial" w:eastAsia="Arial" w:hAnsi="Arial"/>
          <w:sz w:val="20"/>
          <w:szCs w:val="20"/>
          <w:color w:val="auto"/>
        </w:rPr>
        <w:t xml:space="preserve"> ].</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Beryl is the investment adviser to the Partnership and other private investment funds (collectively, the “Funds”) and other accounts. Beryl is the general partner of Beryl GP, which is also the general partner of one or more of the Funds. Mr. Witkin is the control person of Beryl and Beryl GP. The Funds hold the Stock for the benefit of their investors, and the Funds and Beryl’s other clients have the right to receive or the power to direct the receipt of dividends from, or the proceeds from the sale of, the Stock. Other than the Partnership, no individual client's holdings of the Stock are more than five percent of the outstanding Stock.</w:t>
      </w:r>
    </w:p>
    <w:p>
      <w:pPr>
        <w:spacing w:after="0" w:line="188" w:lineRule="exact"/>
        <w:rPr>
          <w:sz w:val="20"/>
          <w:szCs w:val="20"/>
          <w:color w:val="auto"/>
        </w:rPr>
      </w:pPr>
    </w:p>
    <w:p>
      <w:pPr>
        <w:ind w:left="1300" w:right="24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Beryl is the investment adviser to the Funds and other accounts. Beryl is the general partner of Beryl GP, which is the general partner of one or more of the Funds. Mr. Witkin is the control person of Beryl.</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Material to Be Filed as Exhibits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Exhibit A Joint Filing Agreement.</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8"/>
          <w:szCs w:val="18"/>
          <w:b w:val="1"/>
          <w:bCs w:val="1"/>
          <w:color w:val="auto"/>
        </w:rPr>
        <w:t>Certification of Beryl, Beryl GP and Mr. Witkin.</w:t>
      </w:r>
    </w:p>
    <w:p>
      <w:pPr>
        <w:spacing w:after="0" w:line="23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00"/>
          </w:cols>
          <w:pgMar w:left="320" w:top="233" w:right="479" w:bottom="0" w:gutter="0" w:footer="0" w:header="0"/>
          <w:type w:val="continuous"/>
        </w:sectPr>
      </w:pPr>
    </w:p>
    <w:bookmarkStart w:id="7" w:name="page8"/>
    <w:bookmarkEnd w:id="7"/>
    <w:p>
      <w:pPr>
        <w:ind w:left="1300"/>
        <w:spacing w:after="0"/>
        <w:rPr>
          <w:sz w:val="20"/>
          <w:szCs w:val="20"/>
          <w:color w:val="auto"/>
        </w:rPr>
      </w:pPr>
      <w:r>
        <w:rPr>
          <w:rFonts w:ascii="Arial" w:cs="Arial" w:eastAsia="Arial" w:hAnsi="Arial"/>
          <w:sz w:val="20"/>
          <w:szCs w:val="20"/>
          <w:b w:val="1"/>
          <w:bCs w:val="1"/>
          <w:color w:val="auto"/>
        </w:rPr>
        <w:t>Certification of the Partnership.</w:t>
      </w:r>
    </w:p>
    <w:p>
      <w:pPr>
        <w:spacing w:after="0" w:line="22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320" w:top="118" w:right="10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68347P103</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gridSpan w:val="4"/>
          </w:tcPr>
          <w:p>
            <w:pPr>
              <w:spacing w:after="0"/>
              <w:rPr>
                <w:sz w:val="20"/>
                <w:szCs w:val="20"/>
                <w:color w:val="auto"/>
              </w:rPr>
            </w:pPr>
            <w:r>
              <w:rPr>
                <w:rFonts w:ascii="Arial" w:cs="Arial" w:eastAsia="Arial" w:hAnsi="Arial"/>
                <w:sz w:val="20"/>
                <w:szCs w:val="20"/>
                <w:color w:val="auto"/>
              </w:rPr>
              <w:t>Dated: February 13, 2023</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400" w:type="dxa"/>
            <w:vAlign w:val="bottom"/>
            <w:gridSpan w:val="4"/>
          </w:tcPr>
          <w:p>
            <w:pPr>
              <w:ind w:left="100"/>
              <w:spacing w:after="0"/>
              <w:rPr>
                <w:sz w:val="20"/>
                <w:szCs w:val="20"/>
                <w:color w:val="auto"/>
              </w:rPr>
            </w:pPr>
            <w:r>
              <w:rPr>
                <w:rFonts w:ascii="Arial" w:cs="Arial" w:eastAsia="Arial" w:hAnsi="Arial"/>
                <w:sz w:val="20"/>
                <w:szCs w:val="20"/>
                <w:b w:val="1"/>
                <w:bCs w:val="1"/>
                <w:color w:val="auto"/>
              </w:rPr>
              <w:t>BERYL CAPITAL MANAGEMENT LLC</w:t>
            </w:r>
          </w:p>
        </w:tc>
        <w:tc>
          <w:tcPr>
            <w:tcW w:w="26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color w:val="auto"/>
              </w:rPr>
              <w:t>BERYL CAPITAL MANAGEMENT LP</w:t>
            </w:r>
          </w:p>
        </w:tc>
        <w:tc>
          <w:tcPr>
            <w:tcW w:w="0" w:type="dxa"/>
            <w:vAlign w:val="bottom"/>
          </w:tcPr>
          <w:p>
            <w:pPr>
              <w:spacing w:after="0"/>
              <w:rPr>
                <w:sz w:val="1"/>
                <w:szCs w:val="1"/>
                <w:color w:val="auto"/>
              </w:rPr>
            </w:pPr>
          </w:p>
        </w:tc>
      </w:tr>
      <w:tr>
        <w:trPr>
          <w:trHeight w:val="438"/>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20"/>
                <w:szCs w:val="20"/>
                <w:color w:val="auto"/>
              </w:rPr>
              <w:t>By:   Beryl Capital Management LLC</w:t>
            </w:r>
          </w:p>
        </w:tc>
        <w:tc>
          <w:tcPr>
            <w:tcW w:w="0" w:type="dxa"/>
            <w:vAlign w:val="bottom"/>
          </w:tcPr>
          <w:p>
            <w:pPr>
              <w:spacing w:after="0"/>
              <w:rPr>
                <w:sz w:val="1"/>
                <w:szCs w:val="1"/>
                <w:color w:val="auto"/>
              </w:rPr>
            </w:pPr>
          </w:p>
        </w:tc>
      </w:tr>
      <w:tr>
        <w:trPr>
          <w:trHeight w:val="250"/>
        </w:trPr>
        <w:tc>
          <w:tcPr>
            <w:tcW w:w="5400" w:type="dxa"/>
            <w:vAlign w:val="bottom"/>
            <w:gridSpan w:val="4"/>
            <w:vMerge w:val="restart"/>
          </w:tcPr>
          <w:p>
            <w:pPr>
              <w:ind w:left="100"/>
              <w:spacing w:after="0"/>
              <w:rPr>
                <w:sz w:val="20"/>
                <w:szCs w:val="20"/>
                <w:color w:val="auto"/>
              </w:rPr>
            </w:pPr>
            <w:r>
              <w:rPr>
                <w:rFonts w:ascii="Arial" w:cs="Arial" w:eastAsia="Arial" w:hAnsi="Arial"/>
                <w:sz w:val="20"/>
                <w:szCs w:val="20"/>
                <w:color w:val="auto"/>
              </w:rPr>
              <w:t xml:space="preserve">By:    /s/ </w:t>
            </w:r>
            <w:r>
              <w:rPr>
                <w:rFonts w:ascii="Arial" w:cs="Arial" w:eastAsia="Arial" w:hAnsi="Arial"/>
                <w:sz w:val="20"/>
                <w:szCs w:val="20"/>
                <w:i w:val="1"/>
                <w:iCs w:val="1"/>
                <w:color w:val="auto"/>
              </w:rPr>
              <w:t>Andrew Nelson</w:t>
            </w:r>
          </w:p>
        </w:tc>
        <w:tc>
          <w:tcPr>
            <w:tcW w:w="260" w:type="dxa"/>
            <w:vAlign w:val="bottom"/>
          </w:tcPr>
          <w:p>
            <w:pPr>
              <w:spacing w:after="0"/>
              <w:rPr>
                <w:sz w:val="21"/>
                <w:szCs w:val="21"/>
                <w:color w:val="auto"/>
              </w:rPr>
            </w:pPr>
          </w:p>
        </w:tc>
        <w:tc>
          <w:tcPr>
            <w:tcW w:w="5580" w:type="dxa"/>
            <w:vAlign w:val="bottom"/>
            <w:gridSpan w:val="3"/>
          </w:tcPr>
          <w:p>
            <w:pPr>
              <w:ind w:left="640"/>
              <w:spacing w:after="0"/>
              <w:rPr>
                <w:sz w:val="20"/>
                <w:szCs w:val="20"/>
                <w:color w:val="auto"/>
              </w:rPr>
            </w:pPr>
            <w:r>
              <w:rPr>
                <w:rFonts w:ascii="Arial" w:cs="Arial" w:eastAsia="Arial" w:hAnsi="Arial"/>
                <w:sz w:val="20"/>
                <w:szCs w:val="20"/>
                <w:color w:val="auto"/>
              </w:rPr>
              <w:t>General Partner</w:t>
            </w:r>
          </w:p>
        </w:tc>
        <w:tc>
          <w:tcPr>
            <w:tcW w:w="0" w:type="dxa"/>
            <w:vAlign w:val="bottom"/>
          </w:tcPr>
          <w:p>
            <w:pPr>
              <w:spacing w:after="0"/>
              <w:rPr>
                <w:sz w:val="1"/>
                <w:szCs w:val="1"/>
                <w:color w:val="auto"/>
              </w:rPr>
            </w:pPr>
          </w:p>
        </w:tc>
      </w:tr>
      <w:tr>
        <w:trPr>
          <w:trHeight w:val="225"/>
        </w:trPr>
        <w:tc>
          <w:tcPr>
            <w:tcW w:w="5400" w:type="dxa"/>
            <w:vAlign w:val="bottom"/>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5580" w:type="dxa"/>
            <w:vAlign w:val="bottom"/>
            <w:gridSpan w:val="3"/>
            <w:vMerge w:val="restart"/>
          </w:tcPr>
          <w:p>
            <w:pPr>
              <w:ind w:left="640"/>
              <w:spacing w:after="0"/>
              <w:rPr>
                <w:sz w:val="20"/>
                <w:szCs w:val="20"/>
                <w:color w:val="auto"/>
              </w:rPr>
            </w:pPr>
            <w:r>
              <w:rPr>
                <w:rFonts w:ascii="Arial" w:cs="Arial" w:eastAsia="Arial" w:hAnsi="Arial"/>
                <w:sz w:val="20"/>
                <w:szCs w:val="20"/>
                <w:color w:val="auto"/>
                <w:w w:val="88"/>
              </w:rPr>
              <w:t xml:space="preserve">By:/s/ </w:t>
            </w:r>
            <w:r>
              <w:rPr>
                <w:rFonts w:ascii="Arial" w:cs="Arial" w:eastAsia="Arial" w:hAnsi="Arial"/>
                <w:sz w:val="20"/>
                <w:szCs w:val="20"/>
                <w:i w:val="1"/>
                <w:iCs w:val="1"/>
                <w:color w:val="auto"/>
                <w:w w:val="88"/>
              </w:rPr>
              <w:t>Andrew Nelson</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820" w:type="dxa"/>
            <w:vAlign w:val="bottom"/>
            <w:tcBorders>
              <w:top w:val="single" w:sz="8" w:color="auto"/>
            </w:tcBorders>
            <w:gridSpan w:val="3"/>
          </w:tcPr>
          <w:p>
            <w:pPr>
              <w:ind w:left="100"/>
              <w:spacing w:after="0" w:line="207" w:lineRule="exact"/>
              <w:rPr>
                <w:sz w:val="20"/>
                <w:szCs w:val="20"/>
                <w:color w:val="auto"/>
              </w:rPr>
            </w:pPr>
            <w:r>
              <w:rPr>
                <w:rFonts w:ascii="Arial" w:cs="Arial" w:eastAsia="Arial" w:hAnsi="Arial"/>
                <w:sz w:val="20"/>
                <w:szCs w:val="20"/>
                <w:color w:val="auto"/>
              </w:rPr>
              <w:t>Andrew Nelson</w:t>
            </w:r>
          </w:p>
        </w:tc>
        <w:tc>
          <w:tcPr>
            <w:tcW w:w="260" w:type="dxa"/>
            <w:vAlign w:val="bottom"/>
          </w:tcPr>
          <w:p>
            <w:pPr>
              <w:spacing w:after="0"/>
              <w:rPr>
                <w:sz w:val="18"/>
                <w:szCs w:val="18"/>
                <w:color w:val="auto"/>
              </w:rPr>
            </w:pPr>
          </w:p>
        </w:tc>
        <w:tc>
          <w:tcPr>
            <w:tcW w:w="5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820" w:type="dxa"/>
            <w:vAlign w:val="bottom"/>
            <w:gridSpan w:val="3"/>
          </w:tcPr>
          <w:p>
            <w:pPr>
              <w:ind w:left="100"/>
              <w:spacing w:after="0" w:line="212" w:lineRule="exact"/>
              <w:rPr>
                <w:sz w:val="20"/>
                <w:szCs w:val="20"/>
                <w:color w:val="auto"/>
              </w:rPr>
            </w:pPr>
            <w:r>
              <w:rPr>
                <w:rFonts w:ascii="Arial" w:cs="Arial" w:eastAsia="Arial" w:hAnsi="Arial"/>
                <w:sz w:val="20"/>
                <w:szCs w:val="20"/>
                <w:color w:val="auto"/>
              </w:rPr>
              <w:t>Chief Operating Officer and CFO</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80" w:type="dxa"/>
            <w:vAlign w:val="bottom"/>
            <w:tcBorders>
              <w:top w:val="single" w:sz="8" w:color="auto"/>
            </w:tcBorders>
          </w:tcPr>
          <w:p>
            <w:pPr>
              <w:ind w:left="100"/>
              <w:spacing w:after="0" w:line="212" w:lineRule="exact"/>
              <w:rPr>
                <w:sz w:val="20"/>
                <w:szCs w:val="20"/>
                <w:color w:val="auto"/>
              </w:rPr>
            </w:pPr>
            <w:r>
              <w:rPr>
                <w:rFonts w:ascii="Arial" w:cs="Arial" w:eastAsia="Arial" w:hAnsi="Arial"/>
                <w:sz w:val="20"/>
                <w:szCs w:val="20"/>
                <w:color w:val="auto"/>
              </w:rPr>
              <w:t>Andrew Nelson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0" w:type="dxa"/>
            <w:vAlign w:val="bottom"/>
            <w:gridSpan w:val="4"/>
            <w:vMerge w:val="restart"/>
          </w:tcPr>
          <w:p>
            <w:pPr>
              <w:ind w:left="100"/>
              <w:spacing w:after="0"/>
              <w:rPr>
                <w:sz w:val="20"/>
                <w:szCs w:val="20"/>
                <w:color w:val="auto"/>
              </w:rPr>
            </w:pPr>
            <w:r>
              <w:rPr>
                <w:rFonts w:ascii="Arial" w:cs="Arial" w:eastAsia="Arial" w:hAnsi="Arial"/>
                <w:sz w:val="20"/>
                <w:szCs w:val="20"/>
                <w:b w:val="1"/>
                <w:bCs w:val="1"/>
                <w:color w:val="auto"/>
              </w:rPr>
              <w:t>BERYL CAPITAL PARTNERS II LP</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0"/>
                <w:szCs w:val="20"/>
                <w:color w:val="auto"/>
              </w:rPr>
              <w:t>Chief Operating Officer and CFO</w:t>
            </w:r>
          </w:p>
        </w:tc>
        <w:tc>
          <w:tcPr>
            <w:tcW w:w="0" w:type="dxa"/>
            <w:vAlign w:val="bottom"/>
          </w:tcPr>
          <w:p>
            <w:pPr>
              <w:spacing w:after="0"/>
              <w:rPr>
                <w:sz w:val="1"/>
                <w:szCs w:val="1"/>
                <w:color w:val="auto"/>
              </w:rPr>
            </w:pPr>
          </w:p>
        </w:tc>
      </w:tr>
      <w:tr>
        <w:trPr>
          <w:trHeight w:val="229"/>
        </w:trPr>
        <w:tc>
          <w:tcPr>
            <w:tcW w:w="5400" w:type="dxa"/>
            <w:vAlign w:val="bottom"/>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400" w:type="dxa"/>
            <w:vAlign w:val="bottom"/>
            <w:gridSpan w:val="4"/>
          </w:tcPr>
          <w:p>
            <w:pPr>
              <w:spacing w:after="0"/>
              <w:rPr>
                <w:sz w:val="20"/>
                <w:szCs w:val="20"/>
                <w:color w:val="auto"/>
              </w:rPr>
            </w:pPr>
            <w:r>
              <w:rPr>
                <w:rFonts w:ascii="Arial" w:cs="Arial" w:eastAsia="Arial" w:hAnsi="Arial"/>
                <w:sz w:val="20"/>
                <w:szCs w:val="20"/>
                <w:color w:val="auto"/>
              </w:rPr>
              <w:t>By: Beryl Capital Management LP</w:t>
            </w:r>
          </w:p>
        </w:tc>
        <w:tc>
          <w:tcPr>
            <w:tcW w:w="26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jc w:val="center"/>
              <w:ind w:right="1200"/>
              <w:spacing w:after="0"/>
              <w:rPr>
                <w:sz w:val="20"/>
                <w:szCs w:val="20"/>
                <w:color w:val="auto"/>
              </w:rPr>
            </w:pPr>
            <w:r>
              <w:rPr>
                <w:rFonts w:ascii="Arial" w:cs="Arial" w:eastAsia="Arial" w:hAnsi="Arial"/>
                <w:sz w:val="20"/>
                <w:szCs w:val="20"/>
                <w:color w:val="auto"/>
                <w:w w:val="92"/>
              </w:rPr>
              <w:t xml:space="preserve">/s/ </w:t>
            </w:r>
            <w:r>
              <w:rPr>
                <w:rFonts w:ascii="Arial" w:cs="Arial" w:eastAsia="Arial" w:hAnsi="Arial"/>
                <w:sz w:val="20"/>
                <w:szCs w:val="20"/>
                <w:i w:val="1"/>
                <w:iCs w:val="1"/>
                <w:color w:val="auto"/>
                <w:w w:val="92"/>
              </w:rPr>
              <w:t>David A. Witkin</w:t>
            </w:r>
          </w:p>
        </w:tc>
        <w:tc>
          <w:tcPr>
            <w:tcW w:w="0" w:type="dxa"/>
            <w:vAlign w:val="bottom"/>
          </w:tcPr>
          <w:p>
            <w:pPr>
              <w:spacing w:after="0"/>
              <w:rPr>
                <w:sz w:val="1"/>
                <w:szCs w:val="1"/>
                <w:color w:val="auto"/>
              </w:rPr>
            </w:pPr>
          </w:p>
        </w:tc>
      </w:tr>
      <w:tr>
        <w:trPr>
          <w:trHeight w:val="256"/>
        </w:trPr>
        <w:tc>
          <w:tcPr>
            <w:tcW w:w="5400" w:type="dxa"/>
            <w:vAlign w:val="bottom"/>
            <w:gridSpan w:val="4"/>
          </w:tcPr>
          <w:p>
            <w:pPr>
              <w:spacing w:after="0" w:line="220" w:lineRule="exact"/>
              <w:rPr>
                <w:sz w:val="20"/>
                <w:szCs w:val="20"/>
                <w:color w:val="auto"/>
              </w:rPr>
            </w:pPr>
            <w:r>
              <w:rPr>
                <w:rFonts w:ascii="Arial" w:cs="Arial" w:eastAsia="Arial" w:hAnsi="Arial"/>
                <w:sz w:val="20"/>
                <w:szCs w:val="20"/>
                <w:color w:val="auto"/>
              </w:rPr>
              <w:t>General Partner</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80" w:type="dxa"/>
            <w:vAlign w:val="bottom"/>
            <w:gridSpan w:val="2"/>
          </w:tcPr>
          <w:p>
            <w:pPr>
              <w:jc w:val="center"/>
              <w:ind w:right="1200"/>
              <w:spacing w:after="0"/>
              <w:rPr>
                <w:sz w:val="20"/>
                <w:szCs w:val="20"/>
                <w:color w:val="auto"/>
              </w:rPr>
            </w:pPr>
            <w:r>
              <w:rPr>
                <w:rFonts w:ascii="Arial" w:cs="Arial" w:eastAsia="Arial" w:hAnsi="Arial"/>
                <w:sz w:val="20"/>
                <w:szCs w:val="20"/>
                <w:b w:val="1"/>
                <w:bCs w:val="1"/>
                <w:color w:val="auto"/>
                <w:w w:val="94"/>
              </w:rPr>
              <w:t>David A. Witkin</w:t>
            </w:r>
          </w:p>
        </w:tc>
        <w:tc>
          <w:tcPr>
            <w:tcW w:w="0" w:type="dxa"/>
            <w:vAlign w:val="bottom"/>
          </w:tcPr>
          <w:p>
            <w:pPr>
              <w:spacing w:after="0"/>
              <w:rPr>
                <w:sz w:val="1"/>
                <w:szCs w:val="1"/>
                <w:color w:val="auto"/>
              </w:rPr>
            </w:pPr>
          </w:p>
        </w:tc>
      </w:tr>
      <w:tr>
        <w:trPr>
          <w:trHeight w:val="415"/>
        </w:trPr>
        <w:tc>
          <w:tcPr>
            <w:tcW w:w="5400" w:type="dxa"/>
            <w:vAlign w:val="bottom"/>
            <w:gridSpan w:val="4"/>
          </w:tcPr>
          <w:p>
            <w:pPr>
              <w:ind w:left="100"/>
              <w:spacing w:after="0"/>
              <w:rPr>
                <w:sz w:val="20"/>
                <w:szCs w:val="20"/>
                <w:color w:val="auto"/>
              </w:rPr>
            </w:pPr>
            <w:r>
              <w:rPr>
                <w:rFonts w:ascii="Arial" w:cs="Arial" w:eastAsia="Arial" w:hAnsi="Arial"/>
                <w:sz w:val="20"/>
                <w:szCs w:val="20"/>
                <w:color w:val="auto"/>
              </w:rPr>
              <w:t>By: Beryl Capital Management LLC</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gridSpan w:val="4"/>
          </w:tcPr>
          <w:p>
            <w:pPr>
              <w:ind w:left="100"/>
              <w:spacing w:after="0"/>
              <w:rPr>
                <w:sz w:val="20"/>
                <w:szCs w:val="20"/>
                <w:color w:val="auto"/>
              </w:rPr>
            </w:pPr>
            <w:r>
              <w:rPr>
                <w:rFonts w:ascii="Arial" w:cs="Arial" w:eastAsia="Arial" w:hAnsi="Arial"/>
                <w:sz w:val="20"/>
                <w:szCs w:val="20"/>
                <w:color w:val="auto"/>
              </w:rPr>
              <w:t>General Partner</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4820" w:type="dxa"/>
            <w:vAlign w:val="bottom"/>
            <w:gridSpan w:val="3"/>
          </w:tcPr>
          <w:p>
            <w:pPr>
              <w:ind w:left="80"/>
              <w:spacing w:after="0"/>
              <w:rPr>
                <w:sz w:val="20"/>
                <w:szCs w:val="20"/>
                <w:color w:val="auto"/>
              </w:rPr>
            </w:pPr>
            <w:r>
              <w:rPr>
                <w:rFonts w:ascii="Arial" w:cs="Arial" w:eastAsia="Arial" w:hAnsi="Arial"/>
                <w:sz w:val="20"/>
                <w:szCs w:val="20"/>
                <w:color w:val="auto"/>
              </w:rPr>
              <w:t xml:space="preserve">By: /s/ </w:t>
            </w:r>
            <w:r>
              <w:rPr>
                <w:rFonts w:ascii="Arial" w:cs="Arial" w:eastAsia="Arial" w:hAnsi="Arial"/>
                <w:sz w:val="20"/>
                <w:szCs w:val="20"/>
                <w:i w:val="1"/>
                <w:iCs w:val="1"/>
                <w:color w:val="auto"/>
              </w:rPr>
              <w:t>Andrew Nelson</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80" w:type="dxa"/>
            <w:vAlign w:val="bottom"/>
          </w:tcPr>
          <w:p>
            <w:pPr>
              <w:spacing w:after="0"/>
              <w:rPr>
                <w:sz w:val="20"/>
                <w:szCs w:val="20"/>
                <w:color w:val="auto"/>
              </w:rPr>
            </w:pPr>
          </w:p>
        </w:tc>
        <w:tc>
          <w:tcPr>
            <w:tcW w:w="4820" w:type="dxa"/>
            <w:vAlign w:val="bottom"/>
            <w:gridSpan w:val="3"/>
          </w:tcPr>
          <w:p>
            <w:pPr>
              <w:ind w:left="80"/>
              <w:spacing w:after="0"/>
              <w:rPr>
                <w:sz w:val="20"/>
                <w:szCs w:val="20"/>
                <w:color w:val="auto"/>
              </w:rPr>
            </w:pPr>
            <w:r>
              <w:rPr>
                <w:rFonts w:ascii="Arial" w:cs="Arial" w:eastAsia="Arial" w:hAnsi="Arial"/>
                <w:sz w:val="20"/>
                <w:szCs w:val="20"/>
                <w:color w:val="auto"/>
              </w:rPr>
              <w:t>Andrew Nelson</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820" w:type="dxa"/>
            <w:vAlign w:val="bottom"/>
            <w:gridSpan w:val="3"/>
          </w:tcPr>
          <w:p>
            <w:pPr>
              <w:ind w:left="80"/>
              <w:spacing w:after="0"/>
              <w:rPr>
                <w:sz w:val="20"/>
                <w:szCs w:val="20"/>
                <w:color w:val="auto"/>
              </w:rPr>
            </w:pPr>
            <w:r>
              <w:rPr>
                <w:rFonts w:ascii="Arial" w:cs="Arial" w:eastAsia="Arial" w:hAnsi="Arial"/>
                <w:sz w:val="20"/>
                <w:szCs w:val="20"/>
                <w:color w:val="auto"/>
              </w:rPr>
              <w:t>Chief Operating Officer</w:t>
            </w:r>
          </w:p>
        </w:tc>
        <w:tc>
          <w:tcPr>
            <w:tcW w:w="1460" w:type="dxa"/>
            <w:vAlign w:val="bottom"/>
            <w:gridSpan w:val="2"/>
            <w:vMerge w:val="restart"/>
          </w:tcPr>
          <w:p>
            <w:pPr>
              <w:jc w:val="right"/>
              <w:ind w:right="1098"/>
              <w:spacing w:after="0"/>
              <w:rPr>
                <w:sz w:val="20"/>
                <w:szCs w:val="20"/>
                <w:color w:val="auto"/>
              </w:rPr>
            </w:pPr>
            <w:r>
              <w:rPr>
                <w:rFonts w:ascii="Arial" w:cs="Arial" w:eastAsia="Arial" w:hAnsi="Arial"/>
                <w:sz w:val="18"/>
                <w:szCs w:val="18"/>
                <w:color w:val="auto"/>
              </w:rPr>
              <w:t>8</w:t>
            </w: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68347P103</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Beryl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60" w:type="dxa"/>
            <w:vAlign w:val="bottom"/>
            <w:gridSpan w:val="5"/>
          </w:tcPr>
          <w:p>
            <w:pPr>
              <w:spacing w:after="0"/>
              <w:rPr>
                <w:sz w:val="20"/>
                <w:szCs w:val="20"/>
                <w:color w:val="auto"/>
              </w:rPr>
            </w:pPr>
            <w:r>
              <w:rPr>
                <w:rFonts w:ascii="Arial" w:cs="Arial" w:eastAsia="Arial" w:hAnsi="Arial"/>
                <w:sz w:val="20"/>
                <w:szCs w:val="20"/>
                <w:color w:val="auto"/>
              </w:rPr>
              <w:t>Dated: February 13, 2023</w:t>
            </w:r>
          </w:p>
        </w:tc>
        <w:tc>
          <w:tcPr>
            <w:tcW w:w="12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660" w:type="dxa"/>
            <w:vAlign w:val="bottom"/>
            <w:gridSpan w:val="5"/>
          </w:tcPr>
          <w:p>
            <w:pPr>
              <w:ind w:left="100"/>
              <w:spacing w:after="0"/>
              <w:rPr>
                <w:sz w:val="20"/>
                <w:szCs w:val="20"/>
                <w:color w:val="auto"/>
              </w:rPr>
            </w:pPr>
            <w:r>
              <w:rPr>
                <w:rFonts w:ascii="Arial" w:cs="Arial" w:eastAsia="Arial" w:hAnsi="Arial"/>
                <w:sz w:val="20"/>
                <w:szCs w:val="20"/>
                <w:b w:val="1"/>
                <w:bCs w:val="1"/>
                <w:color w:val="auto"/>
              </w:rPr>
              <w:t>BERYL CAPITAL MANAGEMENT LLC</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color w:val="auto"/>
              </w:rPr>
              <w:t>BERYL CAPITAL MANAGEMENT LP</w:t>
            </w:r>
          </w:p>
        </w:tc>
        <w:tc>
          <w:tcPr>
            <w:tcW w:w="0" w:type="dxa"/>
            <w:vAlign w:val="bottom"/>
          </w:tcPr>
          <w:p>
            <w:pPr>
              <w:spacing w:after="0"/>
              <w:rPr>
                <w:sz w:val="1"/>
                <w:szCs w:val="1"/>
                <w:color w:val="auto"/>
              </w:rPr>
            </w:pPr>
          </w:p>
        </w:tc>
      </w:tr>
      <w:tr>
        <w:trPr>
          <w:trHeight w:val="438"/>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20"/>
                <w:szCs w:val="20"/>
                <w:color w:val="auto"/>
              </w:rPr>
              <w:t>By:   Beryl Capital Management LLC</w:t>
            </w:r>
          </w:p>
        </w:tc>
        <w:tc>
          <w:tcPr>
            <w:tcW w:w="0" w:type="dxa"/>
            <w:vAlign w:val="bottom"/>
          </w:tcPr>
          <w:p>
            <w:pPr>
              <w:spacing w:after="0"/>
              <w:rPr>
                <w:sz w:val="1"/>
                <w:szCs w:val="1"/>
                <w:color w:val="auto"/>
              </w:rPr>
            </w:pPr>
          </w:p>
        </w:tc>
      </w:tr>
      <w:tr>
        <w:trPr>
          <w:trHeight w:val="250"/>
        </w:trPr>
        <w:tc>
          <w:tcPr>
            <w:tcW w:w="5660" w:type="dxa"/>
            <w:vAlign w:val="bottom"/>
            <w:gridSpan w:val="5"/>
            <w:vMerge w:val="restart"/>
          </w:tcPr>
          <w:p>
            <w:pPr>
              <w:ind w:left="100"/>
              <w:spacing w:after="0"/>
              <w:rPr>
                <w:sz w:val="20"/>
                <w:szCs w:val="20"/>
                <w:color w:val="auto"/>
              </w:rPr>
            </w:pPr>
            <w:r>
              <w:rPr>
                <w:rFonts w:ascii="Arial" w:cs="Arial" w:eastAsia="Arial" w:hAnsi="Arial"/>
                <w:sz w:val="20"/>
                <w:szCs w:val="20"/>
                <w:color w:val="auto"/>
              </w:rPr>
              <w:t xml:space="preserve">By:    /s/ </w:t>
            </w:r>
            <w:r>
              <w:rPr>
                <w:rFonts w:ascii="Arial" w:cs="Arial" w:eastAsia="Arial" w:hAnsi="Arial"/>
                <w:sz w:val="20"/>
                <w:szCs w:val="20"/>
                <w:i w:val="1"/>
                <w:iCs w:val="1"/>
                <w:color w:val="auto"/>
              </w:rPr>
              <w:t>Andrew Nelson</w:t>
            </w:r>
          </w:p>
        </w:tc>
        <w:tc>
          <w:tcPr>
            <w:tcW w:w="5580" w:type="dxa"/>
            <w:vAlign w:val="bottom"/>
            <w:gridSpan w:val="3"/>
          </w:tcPr>
          <w:p>
            <w:pPr>
              <w:ind w:left="640"/>
              <w:spacing w:after="0"/>
              <w:rPr>
                <w:sz w:val="20"/>
                <w:szCs w:val="20"/>
                <w:color w:val="auto"/>
              </w:rPr>
            </w:pPr>
            <w:r>
              <w:rPr>
                <w:rFonts w:ascii="Arial" w:cs="Arial" w:eastAsia="Arial" w:hAnsi="Arial"/>
                <w:sz w:val="20"/>
                <w:szCs w:val="20"/>
                <w:color w:val="auto"/>
              </w:rPr>
              <w:t>General Partner</w:t>
            </w:r>
          </w:p>
        </w:tc>
        <w:tc>
          <w:tcPr>
            <w:tcW w:w="0" w:type="dxa"/>
            <w:vAlign w:val="bottom"/>
          </w:tcPr>
          <w:p>
            <w:pPr>
              <w:spacing w:after="0"/>
              <w:rPr>
                <w:sz w:val="1"/>
                <w:szCs w:val="1"/>
                <w:color w:val="auto"/>
              </w:rPr>
            </w:pPr>
          </w:p>
        </w:tc>
      </w:tr>
      <w:tr>
        <w:trPr>
          <w:trHeight w:val="225"/>
        </w:trPr>
        <w:tc>
          <w:tcPr>
            <w:tcW w:w="5660" w:type="dxa"/>
            <w:vAlign w:val="bottom"/>
            <w:gridSpan w:val="5"/>
            <w:vMerge w:val="continue"/>
          </w:tcPr>
          <w:p>
            <w:pPr>
              <w:spacing w:after="0"/>
              <w:rPr>
                <w:sz w:val="19"/>
                <w:szCs w:val="19"/>
                <w:color w:val="auto"/>
              </w:rPr>
            </w:pPr>
          </w:p>
        </w:tc>
        <w:tc>
          <w:tcPr>
            <w:tcW w:w="5580" w:type="dxa"/>
            <w:vAlign w:val="bottom"/>
            <w:gridSpan w:val="3"/>
            <w:vMerge w:val="restart"/>
          </w:tcPr>
          <w:p>
            <w:pPr>
              <w:ind w:left="640"/>
              <w:spacing w:after="0"/>
              <w:rPr>
                <w:sz w:val="20"/>
                <w:szCs w:val="20"/>
                <w:color w:val="auto"/>
              </w:rPr>
            </w:pPr>
            <w:r>
              <w:rPr>
                <w:rFonts w:ascii="Arial" w:cs="Arial" w:eastAsia="Arial" w:hAnsi="Arial"/>
                <w:sz w:val="20"/>
                <w:szCs w:val="20"/>
                <w:color w:val="auto"/>
                <w:w w:val="88"/>
              </w:rPr>
              <w:t xml:space="preserve">By:/s/ </w:t>
            </w:r>
            <w:r>
              <w:rPr>
                <w:rFonts w:ascii="Arial" w:cs="Arial" w:eastAsia="Arial" w:hAnsi="Arial"/>
                <w:sz w:val="20"/>
                <w:szCs w:val="20"/>
                <w:i w:val="1"/>
                <w:iCs w:val="1"/>
                <w:color w:val="auto"/>
                <w:w w:val="88"/>
              </w:rPr>
              <w:t>Andrew Nelson</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820" w:type="dxa"/>
            <w:vAlign w:val="bottom"/>
            <w:tcBorders>
              <w:top w:val="single" w:sz="8" w:color="auto"/>
            </w:tcBorders>
            <w:gridSpan w:val="3"/>
          </w:tcPr>
          <w:p>
            <w:pPr>
              <w:ind w:left="100"/>
              <w:spacing w:after="0" w:line="207" w:lineRule="exact"/>
              <w:rPr>
                <w:sz w:val="20"/>
                <w:szCs w:val="20"/>
                <w:color w:val="auto"/>
              </w:rPr>
            </w:pPr>
            <w:r>
              <w:rPr>
                <w:rFonts w:ascii="Arial" w:cs="Arial" w:eastAsia="Arial" w:hAnsi="Arial"/>
                <w:sz w:val="20"/>
                <w:szCs w:val="20"/>
                <w:color w:val="auto"/>
              </w:rPr>
              <w:t>Andrew Nelson</w:t>
            </w:r>
          </w:p>
        </w:tc>
        <w:tc>
          <w:tcPr>
            <w:tcW w:w="260" w:type="dxa"/>
            <w:vAlign w:val="bottom"/>
          </w:tcPr>
          <w:p>
            <w:pPr>
              <w:spacing w:after="0"/>
              <w:rPr>
                <w:sz w:val="18"/>
                <w:szCs w:val="18"/>
                <w:color w:val="auto"/>
              </w:rPr>
            </w:pPr>
          </w:p>
        </w:tc>
        <w:tc>
          <w:tcPr>
            <w:tcW w:w="5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5080" w:type="dxa"/>
            <w:vAlign w:val="bottom"/>
            <w:gridSpan w:val="4"/>
          </w:tcPr>
          <w:p>
            <w:pPr>
              <w:ind w:left="100"/>
              <w:spacing w:after="0" w:line="212" w:lineRule="exact"/>
              <w:rPr>
                <w:sz w:val="20"/>
                <w:szCs w:val="20"/>
                <w:color w:val="auto"/>
              </w:rPr>
            </w:pPr>
            <w:r>
              <w:rPr>
                <w:rFonts w:ascii="Arial" w:cs="Arial" w:eastAsia="Arial" w:hAnsi="Arial"/>
                <w:sz w:val="20"/>
                <w:szCs w:val="20"/>
                <w:color w:val="auto"/>
              </w:rPr>
              <w:t>Chief Operating Officer and CFO</w:t>
            </w:r>
          </w:p>
        </w:tc>
        <w:tc>
          <w:tcPr>
            <w:tcW w:w="1200" w:type="dxa"/>
            <w:vAlign w:val="bottom"/>
          </w:tcPr>
          <w:p>
            <w:pPr>
              <w:spacing w:after="0"/>
              <w:rPr>
                <w:sz w:val="18"/>
                <w:szCs w:val="18"/>
                <w:color w:val="auto"/>
              </w:rPr>
            </w:pPr>
          </w:p>
        </w:tc>
        <w:tc>
          <w:tcPr>
            <w:tcW w:w="4280" w:type="dxa"/>
            <w:vAlign w:val="bottom"/>
            <w:tcBorders>
              <w:top w:val="single" w:sz="8" w:color="auto"/>
            </w:tcBorders>
          </w:tcPr>
          <w:p>
            <w:pPr>
              <w:ind w:left="100"/>
              <w:spacing w:after="0" w:line="212" w:lineRule="exact"/>
              <w:rPr>
                <w:sz w:val="20"/>
                <w:szCs w:val="20"/>
                <w:color w:val="auto"/>
              </w:rPr>
            </w:pPr>
            <w:r>
              <w:rPr>
                <w:rFonts w:ascii="Arial" w:cs="Arial" w:eastAsia="Arial" w:hAnsi="Arial"/>
                <w:sz w:val="20"/>
                <w:szCs w:val="20"/>
                <w:color w:val="auto"/>
              </w:rPr>
              <w:t>Andrew Nelson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gridSpan w:val="5"/>
            <w:vMerge w:val="restart"/>
          </w:tcPr>
          <w:p>
            <w:pPr>
              <w:ind w:left="100"/>
              <w:spacing w:after="0"/>
              <w:rPr>
                <w:sz w:val="20"/>
                <w:szCs w:val="20"/>
                <w:color w:val="auto"/>
              </w:rPr>
            </w:pPr>
            <w:r>
              <w:rPr>
                <w:rFonts w:ascii="Arial" w:cs="Arial" w:eastAsia="Arial" w:hAnsi="Arial"/>
                <w:sz w:val="20"/>
                <w:szCs w:val="20"/>
                <w:b w:val="1"/>
                <w:bCs w:val="1"/>
                <w:color w:val="auto"/>
              </w:rPr>
              <w:t>BERYL CAPITAL PARTNERS II LP</w:t>
            </w:r>
          </w:p>
        </w:tc>
        <w:tc>
          <w:tcPr>
            <w:tcW w:w="120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0"/>
                <w:szCs w:val="20"/>
                <w:color w:val="auto"/>
              </w:rPr>
              <w:t>Chief Operating Officer and CFO</w:t>
            </w:r>
          </w:p>
        </w:tc>
        <w:tc>
          <w:tcPr>
            <w:tcW w:w="0" w:type="dxa"/>
            <w:vAlign w:val="bottom"/>
          </w:tcPr>
          <w:p>
            <w:pPr>
              <w:spacing w:after="0"/>
              <w:rPr>
                <w:sz w:val="1"/>
                <w:szCs w:val="1"/>
                <w:color w:val="auto"/>
              </w:rPr>
            </w:pPr>
          </w:p>
        </w:tc>
      </w:tr>
      <w:tr>
        <w:trPr>
          <w:trHeight w:val="230"/>
        </w:trPr>
        <w:tc>
          <w:tcPr>
            <w:tcW w:w="5660" w:type="dxa"/>
            <w:vAlign w:val="bottom"/>
            <w:gridSpan w:val="5"/>
            <w:vMerge w:val="continue"/>
          </w:tcPr>
          <w:p>
            <w:pPr>
              <w:spacing w:after="0"/>
              <w:rPr>
                <w:sz w:val="19"/>
                <w:szCs w:val="19"/>
                <w:color w:val="auto"/>
              </w:rPr>
            </w:pPr>
          </w:p>
        </w:tc>
        <w:tc>
          <w:tcPr>
            <w:tcW w:w="12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5660" w:type="dxa"/>
            <w:vAlign w:val="bottom"/>
            <w:gridSpan w:val="5"/>
          </w:tcPr>
          <w:p>
            <w:pPr>
              <w:spacing w:after="0"/>
              <w:rPr>
                <w:sz w:val="20"/>
                <w:szCs w:val="20"/>
                <w:color w:val="auto"/>
              </w:rPr>
            </w:pPr>
            <w:r>
              <w:rPr>
                <w:rFonts w:ascii="Arial" w:cs="Arial" w:eastAsia="Arial" w:hAnsi="Arial"/>
                <w:sz w:val="20"/>
                <w:szCs w:val="20"/>
                <w:color w:val="auto"/>
              </w:rPr>
              <w:t>By: Beryl Capital Management LP</w:t>
            </w:r>
          </w:p>
        </w:tc>
        <w:tc>
          <w:tcPr>
            <w:tcW w:w="1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jc w:val="center"/>
              <w:ind w:right="1200"/>
              <w:spacing w:after="0"/>
              <w:rPr>
                <w:sz w:val="20"/>
                <w:szCs w:val="20"/>
                <w:color w:val="auto"/>
              </w:rPr>
            </w:pPr>
            <w:r>
              <w:rPr>
                <w:rFonts w:ascii="Arial" w:cs="Arial" w:eastAsia="Arial" w:hAnsi="Arial"/>
                <w:sz w:val="20"/>
                <w:szCs w:val="20"/>
                <w:color w:val="auto"/>
                <w:w w:val="92"/>
              </w:rPr>
              <w:t xml:space="preserve">/s/ </w:t>
            </w:r>
            <w:r>
              <w:rPr>
                <w:rFonts w:ascii="Arial" w:cs="Arial" w:eastAsia="Arial" w:hAnsi="Arial"/>
                <w:sz w:val="20"/>
                <w:szCs w:val="20"/>
                <w:i w:val="1"/>
                <w:iCs w:val="1"/>
                <w:color w:val="auto"/>
                <w:w w:val="92"/>
              </w:rPr>
              <w:t>David A. Witkin</w:t>
            </w:r>
          </w:p>
        </w:tc>
        <w:tc>
          <w:tcPr>
            <w:tcW w:w="0" w:type="dxa"/>
            <w:vAlign w:val="bottom"/>
          </w:tcPr>
          <w:p>
            <w:pPr>
              <w:spacing w:after="0"/>
              <w:rPr>
                <w:sz w:val="1"/>
                <w:szCs w:val="1"/>
                <w:color w:val="auto"/>
              </w:rPr>
            </w:pPr>
          </w:p>
        </w:tc>
      </w:tr>
      <w:tr>
        <w:trPr>
          <w:trHeight w:val="256"/>
        </w:trPr>
        <w:tc>
          <w:tcPr>
            <w:tcW w:w="5660" w:type="dxa"/>
            <w:vAlign w:val="bottom"/>
            <w:gridSpan w:val="5"/>
          </w:tcPr>
          <w:p>
            <w:pPr>
              <w:spacing w:after="0" w:line="220" w:lineRule="exact"/>
              <w:rPr>
                <w:sz w:val="20"/>
                <w:szCs w:val="20"/>
                <w:color w:val="auto"/>
              </w:rPr>
            </w:pPr>
            <w:r>
              <w:rPr>
                <w:rFonts w:ascii="Arial" w:cs="Arial" w:eastAsia="Arial" w:hAnsi="Arial"/>
                <w:sz w:val="20"/>
                <w:szCs w:val="20"/>
                <w:color w:val="auto"/>
              </w:rPr>
              <w:t>General Partner</w:t>
            </w:r>
          </w:p>
        </w:tc>
        <w:tc>
          <w:tcPr>
            <w:tcW w:w="1200" w:type="dxa"/>
            <w:vAlign w:val="bottom"/>
          </w:tcPr>
          <w:p>
            <w:pPr>
              <w:spacing w:after="0"/>
              <w:rPr>
                <w:sz w:val="22"/>
                <w:szCs w:val="22"/>
                <w:color w:val="auto"/>
              </w:rPr>
            </w:pPr>
          </w:p>
        </w:tc>
        <w:tc>
          <w:tcPr>
            <w:tcW w:w="4380" w:type="dxa"/>
            <w:vAlign w:val="bottom"/>
            <w:gridSpan w:val="2"/>
          </w:tcPr>
          <w:p>
            <w:pPr>
              <w:jc w:val="center"/>
              <w:ind w:right="1200"/>
              <w:spacing w:after="0"/>
              <w:rPr>
                <w:sz w:val="20"/>
                <w:szCs w:val="20"/>
                <w:color w:val="auto"/>
              </w:rPr>
            </w:pPr>
            <w:r>
              <w:rPr>
                <w:rFonts w:ascii="Arial" w:cs="Arial" w:eastAsia="Arial" w:hAnsi="Arial"/>
                <w:sz w:val="20"/>
                <w:szCs w:val="20"/>
                <w:b w:val="1"/>
                <w:bCs w:val="1"/>
                <w:color w:val="auto"/>
                <w:w w:val="94"/>
              </w:rPr>
              <w:t>David A. Witkin</w:t>
            </w:r>
          </w:p>
        </w:tc>
        <w:tc>
          <w:tcPr>
            <w:tcW w:w="0" w:type="dxa"/>
            <w:vAlign w:val="bottom"/>
          </w:tcPr>
          <w:p>
            <w:pPr>
              <w:spacing w:after="0"/>
              <w:rPr>
                <w:sz w:val="1"/>
                <w:szCs w:val="1"/>
                <w:color w:val="auto"/>
              </w:rPr>
            </w:pPr>
          </w:p>
        </w:tc>
      </w:tr>
      <w:tr>
        <w:trPr>
          <w:trHeight w:val="415"/>
        </w:trPr>
        <w:tc>
          <w:tcPr>
            <w:tcW w:w="5660" w:type="dxa"/>
            <w:vAlign w:val="bottom"/>
            <w:gridSpan w:val="5"/>
          </w:tcPr>
          <w:p>
            <w:pPr>
              <w:ind w:left="100"/>
              <w:spacing w:after="0"/>
              <w:rPr>
                <w:sz w:val="20"/>
                <w:szCs w:val="20"/>
                <w:color w:val="auto"/>
              </w:rPr>
            </w:pPr>
            <w:r>
              <w:rPr>
                <w:rFonts w:ascii="Arial" w:cs="Arial" w:eastAsia="Arial" w:hAnsi="Arial"/>
                <w:sz w:val="20"/>
                <w:szCs w:val="20"/>
                <w:color w:val="auto"/>
              </w:rPr>
              <w:t>By: Beryl Capital Management LLC</w:t>
            </w:r>
          </w:p>
        </w:tc>
        <w:tc>
          <w:tcPr>
            <w:tcW w:w="1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60" w:type="dxa"/>
            <w:vAlign w:val="bottom"/>
            <w:gridSpan w:val="5"/>
          </w:tcPr>
          <w:p>
            <w:pPr>
              <w:ind w:left="100"/>
              <w:spacing w:after="0"/>
              <w:rPr>
                <w:sz w:val="20"/>
                <w:szCs w:val="20"/>
                <w:color w:val="auto"/>
              </w:rPr>
            </w:pPr>
            <w:r>
              <w:rPr>
                <w:rFonts w:ascii="Arial" w:cs="Arial" w:eastAsia="Arial" w:hAnsi="Arial"/>
                <w:sz w:val="20"/>
                <w:szCs w:val="20"/>
                <w:color w:val="auto"/>
              </w:rPr>
              <w:t>General Partner</w:t>
            </w:r>
          </w:p>
        </w:tc>
        <w:tc>
          <w:tcPr>
            <w:tcW w:w="12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580" w:type="dxa"/>
            <w:vAlign w:val="bottom"/>
          </w:tcPr>
          <w:p>
            <w:pPr>
              <w:spacing w:after="0"/>
              <w:rPr>
                <w:sz w:val="24"/>
                <w:szCs w:val="24"/>
                <w:color w:val="auto"/>
              </w:rPr>
            </w:pPr>
          </w:p>
        </w:tc>
        <w:tc>
          <w:tcPr>
            <w:tcW w:w="5080" w:type="dxa"/>
            <w:vAlign w:val="bottom"/>
            <w:gridSpan w:val="4"/>
          </w:tcPr>
          <w:p>
            <w:pPr>
              <w:ind w:left="80"/>
              <w:spacing w:after="0"/>
              <w:rPr>
                <w:sz w:val="20"/>
                <w:szCs w:val="20"/>
                <w:color w:val="auto"/>
              </w:rPr>
            </w:pPr>
            <w:r>
              <w:rPr>
                <w:rFonts w:ascii="Arial" w:cs="Arial" w:eastAsia="Arial" w:hAnsi="Arial"/>
                <w:sz w:val="20"/>
                <w:szCs w:val="20"/>
                <w:color w:val="auto"/>
              </w:rPr>
              <w:t xml:space="preserve">By: /s/ </w:t>
            </w:r>
            <w:r>
              <w:rPr>
                <w:rFonts w:ascii="Arial" w:cs="Arial" w:eastAsia="Arial" w:hAnsi="Arial"/>
                <w:sz w:val="20"/>
                <w:szCs w:val="20"/>
                <w:i w:val="1"/>
                <w:iCs w:val="1"/>
                <w:color w:val="auto"/>
              </w:rPr>
              <w:t>Andrew Nelson</w:t>
            </w:r>
          </w:p>
        </w:tc>
        <w:tc>
          <w:tcPr>
            <w:tcW w:w="1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80" w:type="dxa"/>
            <w:vAlign w:val="bottom"/>
          </w:tcPr>
          <w:p>
            <w:pPr>
              <w:spacing w:after="0"/>
              <w:rPr>
                <w:sz w:val="20"/>
                <w:szCs w:val="20"/>
                <w:color w:val="auto"/>
              </w:rPr>
            </w:pPr>
          </w:p>
        </w:tc>
        <w:tc>
          <w:tcPr>
            <w:tcW w:w="5080" w:type="dxa"/>
            <w:vAlign w:val="bottom"/>
            <w:gridSpan w:val="4"/>
          </w:tcPr>
          <w:p>
            <w:pPr>
              <w:ind w:left="80"/>
              <w:spacing w:after="0"/>
              <w:rPr>
                <w:sz w:val="20"/>
                <w:szCs w:val="20"/>
                <w:color w:val="auto"/>
              </w:rPr>
            </w:pPr>
            <w:r>
              <w:rPr>
                <w:rFonts w:ascii="Arial" w:cs="Arial" w:eastAsia="Arial" w:hAnsi="Arial"/>
                <w:sz w:val="20"/>
                <w:szCs w:val="20"/>
                <w:color w:val="auto"/>
              </w:rPr>
              <w:t>Andrew Nelson</w:t>
            </w:r>
          </w:p>
        </w:tc>
        <w:tc>
          <w:tcPr>
            <w:tcW w:w="12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080" w:type="dxa"/>
            <w:vAlign w:val="bottom"/>
            <w:gridSpan w:val="4"/>
          </w:tcPr>
          <w:p>
            <w:pPr>
              <w:ind w:left="80"/>
              <w:spacing w:after="0"/>
              <w:rPr>
                <w:sz w:val="20"/>
                <w:szCs w:val="20"/>
                <w:color w:val="auto"/>
              </w:rPr>
            </w:pPr>
            <w:r>
              <w:rPr>
                <w:rFonts w:ascii="Arial" w:cs="Arial" w:eastAsia="Arial" w:hAnsi="Arial"/>
                <w:sz w:val="20"/>
                <w:szCs w:val="20"/>
                <w:color w:val="auto"/>
              </w:rPr>
              <w:t>Chief Operating Officer</w:t>
            </w:r>
          </w:p>
        </w:tc>
        <w:tc>
          <w:tcPr>
            <w:tcW w:w="12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2023-02-14T19:52:13Z</dcterms:created>
  <dcterms:modified xsi:type="dcterms:W3CDTF">2023-02-14T19:52:13Z</dcterms:modified>
</cp:coreProperties>
</file>