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November 7, 2024 </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OPAL Fuels Inc.</w:t>
      </w:r>
    </w:p>
    <w:p>
      <w:pPr>
        <w:pStyle w:val="TextBody"/>
        <w:bidi w:val="0"/>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before="0" w:after="0"/>
        <w:jc w:val="left"/>
        <w:rPr/>
      </w:pPr>
      <w:r>
        <w:rPr/>
      </w:r>
    </w:p>
    <w:tbl>
      <w:tblPr>
        <w:tblW w:w="8789" w:type="dxa"/>
        <w:jc w:val="left"/>
        <w:tblInd w:w="0" w:type="dxa"/>
        <w:tblLayout w:type="fixed"/>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incorporation) </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001-40272</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98-1578357</w:t>
            </w:r>
          </w:p>
          <w:p>
            <w:pPr>
              <w:pStyle w:val="TableContents"/>
              <w:bidi w:val="0"/>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One North Lexington Avenue</w:t>
            </w:r>
            <w:r>
              <w:rPr>
                <w:rFonts w:ascii="Helvetica;sans-serif" w:hAnsi="Helvetica;sans-serif"/>
                <w:b/>
                <w:color w:val="000000"/>
                <w:sz w:val="20"/>
              </w:rPr>
              <w:t>,</w:t>
            </w:r>
            <w:r>
              <w:rPr>
                <w:color w:val="3051F2"/>
              </w:rPr>
              <w:t xml:space="preserve"> </w:t>
            </w:r>
            <w:r>
              <w:rPr>
                <w:rFonts w:ascii="Times New Roman;sans-serif" w:hAnsi="Times New Roman;sans-serif"/>
                <w:b/>
                <w:color w:val="000000"/>
                <w:sz w:val="20"/>
              </w:rPr>
              <w:t>Suite 1450</w:t>
            </w:r>
          </w:p>
          <w:p>
            <w:pPr>
              <w:pStyle w:val="TableContents"/>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White Plains, New York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(914) 705-4000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78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bidi w:val="0"/>
        <w:spacing w:lineRule="auto" w:line="288" w:before="2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808" w:type="dxa"/>
        <w:jc w:val="left"/>
        <w:tblInd w:w="0" w:type="dxa"/>
        <w:tblLayout w:type="fixed"/>
        <w:tblCellMar>
          <w:top w:w="28" w:type="dxa"/>
          <w:left w:w="28" w:type="dxa"/>
          <w:bottom w:w="28" w:type="dxa"/>
          <w:right w:w="28" w:type="dxa"/>
        </w:tblCellMar>
      </w:tblPr>
      <w:tblGrid>
        <w:gridCol w:w="1555"/>
        <w:gridCol w:w="1367"/>
        <w:gridCol w:w="1367"/>
        <w:gridCol w:w="565"/>
        <w:gridCol w:w="565"/>
        <w:gridCol w:w="565"/>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80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88" w:before="108" w:after="283"/>
        <w:jc w:val="both"/>
        <w:rPr/>
      </w:pPr>
      <w:r>
        <w:rPr>
          <w:rFonts w:ascii="Times New Roman;sans-serif" w:hAnsi="Times New Roman;sans-serif"/>
          <w:b w:val="false"/>
          <w:color w:val="000000"/>
          <w:sz w:val="20"/>
        </w:rPr>
        <w:t>Emerging growth company</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08"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color w:val="000000"/>
          <w:sz w:val="20"/>
        </w:rPr>
        <w:t>.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6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7, 2024, OPAL Fuels Inc. (the "Company") issued a press release regarding its financial results for the three months ended September 30, 2024. A copy of the press release is furnished as Exhibit 99.1 hereto.</w:t>
      </w:r>
    </w:p>
    <w:p>
      <w:pPr>
        <w:pStyle w:val="TextBody"/>
        <w:bidi w:val="0"/>
        <w:spacing w:before="0" w:after="2"/>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to supplement the Company’s financial statements presented in accordance with accounting principles generally accepted in the United States of America ("GAAP") in Exhibit 99.1, the Company uses a non-GAAP financial measure that it calls adjusted EBITDA ("Adjusted EBITDA"). This non-GAAP financial measure adjusts net income for interest and financing expense, net, loss on debt extinguishment, net (income) loss attributable to non-redeemable non-controlling interests, depreciation, amortization and accretion expense, adjustments to reflect Adjusted EBITDA from equity method investments, loss on warrant exchange, unrealized (gain) loss on derivative instruments, non-cash charges, one-time non-recurring expenses, major maintenance on Renewable Power, gain on deconsolidation of VIEs, project development and startup costs, incremental virtual pipeline costs at Prince William RNG facility due to their temporary nature, and ITC proceeds, net of expenses.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are limited as an analytical tool and should not be considered in isolation from, or as a substitute for, the Company’s GAAP results. The Company expects to continue reporting non-GAAP financial measures, adjusting for the items described above(and/or other items that may arise in the future as the Company’s management deems appropriate), and the Company expects to continue to incur expenses, charges or gains like the non-GAAP adjustments described above.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68" w:before="0" w:after="12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120"/>
        <w:jc w:val="left"/>
        <w:rPr/>
      </w:pPr>
      <w:r>
        <w:rPr/>
      </w:r>
    </w:p>
    <w:tbl>
      <w:tblPr>
        <w:tblW w:w="7300"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1612"/>
        <w:gridCol w:w="1612"/>
        <w:gridCol w:w="2280"/>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Number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opalfuelsq32024earningsrel.htm">
              <w:r>
                <w:rPr>
                  <w:rStyle w:val="InternetLink"/>
                  <w:rFonts w:ascii="Times New Roman;sans-serif" w:hAnsi="Times New Roman;sans-serif"/>
                  <w:b w:val="false"/>
                  <w:color w:val="0000FF"/>
                  <w:sz w:val="20"/>
                  <w:u w:val="single"/>
                </w:rPr>
                <w:t>Press release, issued by OPAL Fuels Inc., dated November 7, 2024.</w:t>
              </w:r>
            </w:hyperlink>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w:t>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120"/>
        <w:jc w:val="both"/>
        <w:rPr/>
      </w:pPr>
      <w:r>
        <w:rPr/>
      </w:r>
    </w:p>
    <w:p>
      <w:pPr>
        <w:pStyle w:val="TextBody"/>
        <w:bidi w:val="0"/>
        <w:spacing w:before="0" w:after="120"/>
        <w:jc w:val="left"/>
        <w:rPr/>
      </w:pPr>
      <w:r>
        <w:rPr/>
      </w:r>
    </w:p>
    <w:p>
      <w:pPr>
        <w:pStyle w:val="TextBody"/>
        <w:bidi w:val="0"/>
        <w:spacing w:lineRule="auto" w:line="300" w:before="0" w:after="12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7, 2024</w:t>
      </w:r>
    </w:p>
    <w:tbl>
      <w:tblPr>
        <w:tblW w:w="3498" w:type="dxa"/>
        <w:jc w:val="right"/>
        <w:tblInd w:w="0" w:type="dxa"/>
        <w:tblLayout w:type="fixed"/>
        <w:tblCellMar>
          <w:top w:w="28" w:type="dxa"/>
          <w:left w:w="28" w:type="dxa"/>
          <w:bottom w:w="28" w:type="dxa"/>
          <w:right w:w="28" w:type="dxa"/>
        </w:tblCellMar>
      </w:tblPr>
      <w:tblGrid>
        <w:gridCol w:w="312"/>
        <w:gridCol w:w="273"/>
        <w:gridCol w:w="273"/>
        <w:gridCol w:w="768"/>
        <w:gridCol w:w="768"/>
        <w:gridCol w:w="1104"/>
      </w:tblGrid>
      <w:tr>
        <w:trPr/>
        <w:tc>
          <w:tcPr>
            <w:tcW w:w="31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3498"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OPAL Fuels Inc.</w:t>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Contino</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Contino</w:t>
            </w:r>
          </w:p>
        </w:tc>
      </w:tr>
      <w:tr>
        <w:trPr/>
        <w:tc>
          <w:tcPr>
            <w:tcW w:w="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752600" cy="4667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752600" cy="466725"/>
                    </a:xfrm>
                    <a:prstGeom prst="rect">
                      <a:avLst/>
                    </a:prstGeom>
                  </pic:spPr>
                </pic:pic>
              </a:graphicData>
            </a:graphic>
          </wp:inline>
        </w:drawing>
      </w:r>
    </w:p>
    <w:p>
      <w:pPr>
        <w:pStyle w:val="TextBody"/>
        <w:bidi w:val="0"/>
        <w:spacing w:before="0" w:after="0"/>
        <w:jc w:val="left"/>
        <w:rPr/>
      </w:pPr>
      <w:r>
        <w:rPr/>
      </w:r>
    </w:p>
    <w:p>
      <w:pPr>
        <w:pStyle w:val="TextBody"/>
        <w:bidi w:val="0"/>
        <w:spacing w:lineRule="auto" w:line="369" w:before="0" w:after="0"/>
        <w:jc w:val="left"/>
        <w:rPr>
          <w:rFonts w:ascii="Times New Roman;sans-serif" w:hAnsi="Times New Roman;sans-serif"/>
          <w:b/>
          <w:color w:val="000000"/>
          <w:sz w:val="22"/>
        </w:rPr>
      </w:pPr>
      <w:r>
        <w:rPr>
          <w:rFonts w:ascii="Times New Roman;sans-serif" w:hAnsi="Times New Roman;sans-serif"/>
          <w:b/>
          <w:color w:val="000000"/>
          <w:sz w:val="22"/>
        </w:rPr>
        <w:t>FOR IMMEDIATE RELEASE</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OPAL Fuels Reports Third Quarter 2024 Results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WHITE PLAINS, N.Y. – (November 7, 2024) – OPAL Fuels Inc. (“OPAL Fuels” or the “Company”) (Nasdaq: OPAL), a vertically integrated leader in the capture and conversion of biogas into low carbon intensity renewable natural gas (RNG) and renewable power, today announced results for the three and nine months ended September 30, 2024.</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ans-serif" w:hAnsi="Times New Roman;sans-serif"/>
          <w:b w:val="false"/>
          <w:color w:val="000000"/>
          <w:sz w:val="24"/>
        </w:rPr>
        <w:t>Our third quarter results were strong and provide momentum for this year and next,” said Adam Comora, Co-CEO. “We’re executing on our strategic objectives - bringing RNG projects online, putting additional projects into construction, and growing and leveraging our vertically integrated downstream business. Over the course of this year, we have successfully brought online three landfill RNG facilities, begun construction on three new landfill RNG projects, and grown our downstream business significantly,” continued Comora.</w:t>
      </w:r>
    </w:p>
    <w:p>
      <w:pPr>
        <w:pStyle w:val="TextBody"/>
        <w:bidi w:val="0"/>
        <w:spacing w:before="0" w:after="0"/>
        <w:jc w:val="left"/>
        <w:rPr/>
      </w:pPr>
      <w:r>
        <w:rPr/>
      </w:r>
    </w:p>
    <w:p>
      <w:pPr>
        <w:pStyle w:val="TextBody"/>
        <w:bidi w:val="0"/>
        <w:spacing w:lineRule="auto" w:line="288" w:before="0" w:after="0"/>
        <w:ind w:left="0" w:right="0" w:firstLine="7"/>
        <w:jc w:val="both"/>
        <w:rPr>
          <w:color w:val="000000"/>
        </w:rPr>
      </w:pPr>
      <w:r>
        <w:rPr>
          <w:color w:val="000000"/>
        </w:rPr>
        <w:t>“</w:t>
      </w:r>
      <w:r>
        <w:rPr>
          <w:rFonts w:ascii="Times New Roman;sans-serif" w:hAnsi="Times New Roman;sans-serif"/>
          <w:b w:val="false"/>
          <w:color w:val="000000"/>
          <w:sz w:val="24"/>
        </w:rPr>
        <w:t xml:space="preserve">We remain in a strong position to meet our current 2024 guidance. We now have 11 RNG facilities in operation, with our share of annual design capacity of 8.8 million MMBtu – more than doubling organically over the past two years. We also have six projects in construction with an additional 2.6 million MMBtu of our share of annual design capacity. The strength of our vertically integrated business model and the use of RNG as a transportation fuel continues to yield results across the business segments. Market fundamentals and industry tailwinds remain strong for the capture of biogas and its productive use,” said Jonathan Maurer, Co-CEO,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Financial 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Revenue for the three and nine months ended September 30, 2024, was $84.0 million and $219.9 million, an increase of $12.9 million, or 18%, and $50.8 million, or 30%, compared to the same periods last year.</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 xml:space="preserve">Not included above, our share of revenues from equity method investments for the three and nine months ended September 30, 2024, was $11.7 million and $33.7 million, compared to $4.7 million and $10.6 million in the same periods in the prior year.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Net income for the three and nine months ended September 30, 2024 was $17.1 million and $19.7 million, compared to $0.2 million and $106.9 million in the same periods last year.</w:t>
      </w:r>
      <w:r>
        <w:rPr>
          <w:rFonts w:ascii="Times New Roman;sans-serif" w:hAnsi="Times New Roman;sans-serif"/>
          <w:b w:val="false"/>
          <w:color w:val="000000"/>
          <w:sz w:val="16"/>
        </w:rPr>
        <w:t>1</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Basic and diluted net income per share attributable to Class A common shareholders for the three and nine months ended September 30, 2024 was $0.09 and $0.07, compared to basic net (loss) income per share of $(0.01) and $0.59 for the three and nine months ended September 30, 2023.</w:t>
      </w:r>
      <w:r>
        <w:rPr>
          <w:rFonts w:ascii="Times New Roman;sans-serif" w:hAnsi="Times New Roman;sans-serif"/>
          <w:b w:val="false"/>
          <w:color w:val="000000"/>
          <w:sz w:val="16"/>
        </w:rPr>
        <w:t>1</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Adjusted EBITDA</w:t>
      </w: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4"/>
        </w:rPr>
        <w:t xml:space="preserve">for the three and nine months ended September 30, 2024, was $31.1 million and $67.4 million, an increase of $14.6 million and $47.5 million compared to the same periods last year.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Not included above, $11.1 million of investment tax credits were sold by the Company during the third quarter resulting in net proceeds of $8.6 million.</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4"/>
        </w:rPr>
        <w:t>At September 30, 2024, RNG Pending Monetization totaled $23.1 million.</w:t>
      </w:r>
    </w:p>
    <w:p>
      <w:pPr>
        <w:pStyle w:val="TextBody"/>
        <w:bidi w:val="0"/>
        <w:spacing w:before="0" w:after="0"/>
        <w:ind w:left="0" w:right="0" w:hanging="360"/>
        <w:jc w:val="left"/>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Operational Highlights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Sapphire RNG project, a 50/50 joint venture with GFL representing 0.8 million MMBtu of annual design capacity to OPAL Fuels, commenced commercial operations in September.</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4"/>
        </w:rPr>
        <w:t>The Polk County (Florida) RNG project, 100% owned by OPAL Fuels, commenced commercial operations in October, representing approximately 1.1 million MMBtu of annual design capacity.</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RNG produced was 1.0 million and 2.8 million MMBtu for the three and nine months ended September 30, 2024, an increase of 43% and 40% compared to the prior-year periods.</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 xml:space="preserve">RNG sold as transportation fuel was 19.6 million and 54.7 million GGEs for the three and nine months ended September 30, 2024, an increase of 80% and 81% compared to the prior-year periods.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Fuel Station Services segment sold, dispensed, and serviced an aggregate of 38.7 million and 110.3 million GGEs of transportation fuel for the three and nine months ended September 30, 2024, an increase of 15% and 13% compared to the prior year periods.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left"/>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Net income for the three and nine months ended September 30, 2023 included a $122.9 million non-cash gain on deconsolidation of variable interest entities ("VIEs").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20"/>
        </w:rPr>
        <w:t>This is a non-GAAP financial measure. A reconciliation of this non-GAAP financial measure to a comparable GAAP financial measure has been provided in the financial tables included in this press release. An explanation of this measure and how it is calculated is also included below under the heading “Non-GAAP Financial Measures.”</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Guidance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are maintaining our current guidance.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Construction Update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construction of the Atlantic RNG project is on schedule</w:t>
      </w:r>
      <w:r>
        <w:rPr>
          <w:rFonts w:ascii="Times New Roman;sans-serif" w:hAnsi="Times New Roman;sans-serif"/>
          <w:b w:val="false"/>
          <w:color w:val="000000"/>
          <w:sz w:val="24"/>
          <w:shd w:fill="FFFFFF" w:val="clear"/>
        </w:rPr>
        <w:t>.</w:t>
      </w:r>
      <w:r>
        <w:rPr>
          <w:color w:val="000000"/>
        </w:rPr>
        <w:t xml:space="preserve"> </w:t>
      </w:r>
      <w:r>
        <w:rPr>
          <w:rFonts w:ascii="Times New Roman;sans-serif" w:hAnsi="Times New Roman;sans-serif"/>
          <w:b w:val="false"/>
          <w:color w:val="000000"/>
          <w:sz w:val="24"/>
        </w:rPr>
        <w:t xml:space="preserve">This project represents approximately 0.33 million MMBtu for OPAL Fuels’ 50% ownership share of annual design capacity.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The construction of the Cottonwood RNG project is on schedule. This project, owned 100% by OPAL Fuels, represents approximately 0.66 million MMBtu of annual design capacity.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The construction of the Burlington RNG project is on schedule. This project represents approximately 0.46 million MMBtu for OPAL Fuels’ 50% ownership share of annual design capacity.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4"/>
        </w:rPr>
        <w:t xml:space="preserve">The Kirby RNG project began construction in November. This project, 100% owned by OPAL represents approximately 0.66 million MMBtu of annual design capacity.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Results of Operations</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08"/>
        <w:gridCol w:w="845"/>
        <w:gridCol w:w="850"/>
        <w:gridCol w:w="109"/>
        <w:gridCol w:w="109"/>
        <w:gridCol w:w="109"/>
        <w:gridCol w:w="109"/>
        <w:gridCol w:w="109"/>
        <w:gridCol w:w="193"/>
        <w:gridCol w:w="193"/>
        <w:gridCol w:w="375"/>
        <w:gridCol w:w="1283"/>
        <w:gridCol w:w="193"/>
        <w:gridCol w:w="109"/>
        <w:gridCol w:w="109"/>
        <w:gridCol w:w="109"/>
        <w:gridCol w:w="232"/>
        <w:gridCol w:w="794"/>
        <w:gridCol w:w="120"/>
        <w:gridCol w:w="120"/>
        <w:gridCol w:w="120"/>
        <w:gridCol w:w="120"/>
        <w:gridCol w:w="232"/>
        <w:gridCol w:w="910"/>
        <w:gridCol w:w="120"/>
        <w:gridCol w:w="109"/>
        <w:gridCol w:w="109"/>
        <w:gridCol w:w="109"/>
        <w:gridCol w:w="211"/>
        <w:gridCol w:w="826"/>
        <w:gridCol w:w="161"/>
      </w:tblGrid>
      <w:tr>
        <w:trPr/>
        <w:tc>
          <w:tcPr>
            <w:tcW w:w="110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of dollars, except RNG Fuel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525" w:type="dxa"/>
            <w:gridSpan w:val="6"/>
            <w:tcBorders/>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Revenue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84,047 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71,101 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219,949 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development and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operating expenses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income</w:t>
            </w:r>
            <w:r>
              <w:rPr>
                <w:color w:val="000000"/>
              </w:rPr>
              <w:t xml:space="preserv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color w:val="000000"/>
              </w:rPr>
              <w:t xml:space="preserve">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RNG Fuel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Renewable Power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sold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RNG Fuel volume delivered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68" w:before="0" w:after="0"/>
        <w:ind w:left="0" w:right="0" w:hanging="27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Excludes revenues from equity method investments.</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Includes selling, general and administrative expenses, depreciation and amortization expenses and income (loss) from equity method investments. Please refer to the Statement of Operations at the end of the press release for additional information. </w:t>
      </w:r>
    </w:p>
    <w:p>
      <w:pPr>
        <w:pStyle w:val="TextBody"/>
        <w:bidi w:val="0"/>
        <w:spacing w:before="0" w:after="0"/>
        <w:ind w:left="0" w:right="0" w:hanging="360"/>
        <w:jc w:val="both"/>
        <w:rPr/>
      </w:pPr>
      <w:r>
        <w:rPr/>
      </w:r>
    </w:p>
    <w:p>
      <w:pPr>
        <w:pStyle w:val="TextBody"/>
        <w:bidi w:val="0"/>
        <w:spacing w:lineRule="auto" w:line="268" w:before="0" w:after="0"/>
        <w:ind w:left="0" w:right="0" w:hanging="27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Net income for the three and nine months ended September 30, 2023 included a $122.9 million non-cash gain on deconsolidation of variable interest entities ("VIEs").</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This is a non-GAAP financial measure. A reconciliation of this non-GAAP financial measure to a comparable GAAP financial measure has been provided in the financial tables included in this press release. An explanation of this measure and how it is calculated is also included below under the heading “Non-GAAP Financial Measures.”</w:t>
      </w:r>
    </w:p>
    <w:p>
      <w:pPr>
        <w:pStyle w:val="TextBody"/>
        <w:bidi w:val="0"/>
        <w:spacing w:before="0" w:after="0"/>
        <w:ind w:left="0" w:right="0" w:hanging="270"/>
        <w:jc w:val="both"/>
        <w:rPr/>
      </w:pPr>
      <w:r>
        <w:rPr/>
      </w:r>
    </w:p>
    <w:p>
      <w:pPr>
        <w:pStyle w:val="TextBody"/>
        <w:bidi w:val="0"/>
        <w:spacing w:lineRule="auto" w:line="268" w:before="0" w:after="0"/>
        <w:ind w:left="0" w:right="0" w:hanging="270"/>
        <w:jc w:val="both"/>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 xml:space="preserve">Includes incremental virtual pipeline costs (i.e., actual costs less anticipated operating costs of a permanent interconnection) on our Prince William RNG project which are temporary in nature and expected to be incurred until mid-2025 when the permanent interconnection is expected to be operational. The amounts included in the nine months ended September 30, 2024 include $2.2 million of costs incurred in the second quarter of 2024. These costs are included in Project development and startup costs. </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Results of Operations from equity method investments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5"/>
        <w:gridCol w:w="1054"/>
        <w:gridCol w:w="1057"/>
        <w:gridCol w:w="109"/>
        <w:gridCol w:w="109"/>
        <w:gridCol w:w="109"/>
        <w:gridCol w:w="467"/>
        <w:gridCol w:w="467"/>
        <w:gridCol w:w="468"/>
        <w:gridCol w:w="109"/>
        <w:gridCol w:w="109"/>
        <w:gridCol w:w="109"/>
        <w:gridCol w:w="196"/>
        <w:gridCol w:w="646"/>
        <w:gridCol w:w="109"/>
        <w:gridCol w:w="109"/>
        <w:gridCol w:w="109"/>
        <w:gridCol w:w="109"/>
        <w:gridCol w:w="196"/>
        <w:gridCol w:w="605"/>
        <w:gridCol w:w="109"/>
        <w:gridCol w:w="109"/>
        <w:gridCol w:w="109"/>
        <w:gridCol w:w="109"/>
        <w:gridCol w:w="196"/>
        <w:gridCol w:w="646"/>
        <w:gridCol w:w="109"/>
        <w:gridCol w:w="109"/>
        <w:gridCol w:w="109"/>
        <w:gridCol w:w="109"/>
        <w:gridCol w:w="196"/>
        <w:gridCol w:w="646"/>
        <w:gridCol w:w="158"/>
      </w:tblGrid>
      <w:tr>
        <w:trPr/>
        <w:tc>
          <w:tcPr>
            <w:tcW w:w="124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2605" w:type="dxa"/>
            <w:gridSpan w:val="12"/>
            <w:tcBorders/>
          </w:tcPr>
          <w:p>
            <w:pPr>
              <w:pStyle w:val="TableContents"/>
              <w:bidi w:val="0"/>
              <w:spacing w:before="0" w:after="283"/>
              <w:jc w:val="left"/>
              <w:rPr>
                <w:sz w:val="4"/>
                <w:szCs w:val="4"/>
              </w:rPr>
            </w:pPr>
            <w:r>
              <w:rPr>
                <w:sz w:val="4"/>
                <w:szCs w:val="4"/>
              </w:rPr>
            </w:r>
          </w:p>
        </w:tc>
      </w:tr>
      <w:tr>
        <w:trPr/>
        <w:tc>
          <w:tcPr>
            <w:tcW w:w="335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OPAL’s share of revenues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OPAL’s share of gross profit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OPAL’s share of net income (loss) from equity method investments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OPAL’s share of Adjusted EBITDA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Net income from equity method investments represents our portion of the net income from equity method investments including $1,443 and $4,300 of amortization expense related to basis differences for the three and nine months ended September 30, 2024 and $583 and $1,641 for the three and nine months ended September 30, 2023</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Landfill RNG Facility Capacity and Utilization Summary</w:t>
      </w:r>
    </w:p>
    <w:p>
      <w:pPr>
        <w:pStyle w:val="TextBody"/>
        <w:bidi w:val="0"/>
        <w:spacing w:before="0" w:after="0"/>
        <w:jc w:val="both"/>
        <w:rPr/>
      </w:pPr>
      <w:r>
        <w:rPr/>
      </w:r>
    </w:p>
    <w:tbl>
      <w:tblPr>
        <w:tblW w:w="9496" w:type="dxa"/>
        <w:jc w:val="left"/>
        <w:tblInd w:w="0" w:type="dxa"/>
        <w:tblLayout w:type="fixed"/>
        <w:tblCellMar>
          <w:top w:w="28" w:type="dxa"/>
          <w:left w:w="28" w:type="dxa"/>
          <w:bottom w:w="28" w:type="dxa"/>
          <w:right w:w="28" w:type="dxa"/>
        </w:tblCellMar>
      </w:tblPr>
      <w:tblGrid>
        <w:gridCol w:w="1722"/>
        <w:gridCol w:w="1512"/>
        <w:gridCol w:w="1521"/>
        <w:gridCol w:w="109"/>
        <w:gridCol w:w="109"/>
        <w:gridCol w:w="109"/>
        <w:gridCol w:w="232"/>
        <w:gridCol w:w="174"/>
        <w:gridCol w:w="389"/>
        <w:gridCol w:w="156"/>
        <w:gridCol w:w="156"/>
        <w:gridCol w:w="156"/>
        <w:gridCol w:w="232"/>
        <w:gridCol w:w="174"/>
        <w:gridCol w:w="389"/>
        <w:gridCol w:w="109"/>
        <w:gridCol w:w="109"/>
        <w:gridCol w:w="109"/>
        <w:gridCol w:w="230"/>
        <w:gridCol w:w="176"/>
        <w:gridCol w:w="361"/>
        <w:gridCol w:w="145"/>
        <w:gridCol w:w="145"/>
        <w:gridCol w:w="145"/>
        <w:gridCol w:w="230"/>
        <w:gridCol w:w="176"/>
        <w:gridCol w:w="421"/>
      </w:tblGrid>
      <w:tr>
        <w:trPr/>
        <w:tc>
          <w:tcPr>
            <w:tcW w:w="172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Landfill RNG Facility Capacity and Utilization</w:t>
            </w:r>
            <w:r>
              <w:rPr>
                <w:rFonts w:ascii="Times New Roman;sans-serif" w:hAnsi="Times New Roman;sans-serif"/>
                <w:b/>
                <w:color w:val="000000"/>
                <w:sz w:val="13"/>
              </w:rPr>
              <w:t>(1)(2)(3)(4)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Design Capacity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of Inlet Gas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Inlet Design Capacity Utilization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RNG Fuel volume produced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Utilization of Inlet Gas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LFG collection system used to recover the LFG. The Design Capacity for each facility will typically be correlated to the amount of LFG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Utilization of Inlet Gas is measured as RNG Fuel Volume Produced divided by the Volume of Inlet Gas. Utilization of Inlet Gas varies over time depending on availability and efficiency of the facility and the quality of LFG (i.e., concentrations of methane, oxygen, nitrogen, and other gases) including the ramp up period for new projects. The Company generally expects Utilization of Inlet Gas to be in the range of 80% to 90%.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Data not available for the Company</w:t>
      </w:r>
      <w:r>
        <w:rPr>
          <w:color w:val="000000"/>
        </w:rPr>
        <w:t>’</w:t>
      </w:r>
      <w:r>
        <w:rPr>
          <w:rFonts w:ascii="Times New Roman;sans-serif" w:hAnsi="Times New Roman;sans-serif"/>
          <w:b w:val="false"/>
          <w:color w:val="000000"/>
          <w:sz w:val="20"/>
        </w:rPr>
        <w:t xml:space="preserve">s dairy projects, i.e., Sunoma and Biotown.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RNG Pending Monetization Summary</w:t>
      </w:r>
    </w:p>
    <w:tbl>
      <w:tblPr>
        <w:tblW w:w="10205" w:type="dxa"/>
        <w:jc w:val="left"/>
        <w:tblInd w:w="0" w:type="dxa"/>
        <w:tblLayout w:type="fixed"/>
        <w:tblCellMar>
          <w:top w:w="28" w:type="dxa"/>
          <w:left w:w="28" w:type="dxa"/>
          <w:bottom w:w="28" w:type="dxa"/>
          <w:right w:w="28" w:type="dxa"/>
        </w:tblCellMar>
      </w:tblPr>
      <w:tblGrid>
        <w:gridCol w:w="1958"/>
        <w:gridCol w:w="1683"/>
        <w:gridCol w:w="1694"/>
        <w:gridCol w:w="109"/>
        <w:gridCol w:w="109"/>
        <w:gridCol w:w="109"/>
        <w:gridCol w:w="211"/>
        <w:gridCol w:w="736"/>
        <w:gridCol w:w="109"/>
        <w:gridCol w:w="109"/>
        <w:gridCol w:w="109"/>
        <w:gridCol w:w="109"/>
        <w:gridCol w:w="384"/>
        <w:gridCol w:w="1148"/>
        <w:gridCol w:w="198"/>
        <w:gridCol w:w="109"/>
        <w:gridCol w:w="109"/>
        <w:gridCol w:w="109"/>
        <w:gridCol w:w="211"/>
        <w:gridCol w:w="736"/>
        <w:gridCol w:w="156"/>
      </w:tblGrid>
      <w:tr>
        <w:trPr/>
        <w:tc>
          <w:tcPr>
            <w:tcW w:w="1958"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1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Average realized sales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3"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RNG Fuel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Fuel Station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Stored Gas Metrics (MMBtus) </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stored RNG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RNG 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period RNG volumes dispensed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stored RNG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Value of ending balance stored RNG using quarter end price </w:t>
            </w:r>
            <w:r>
              <w:rPr>
                <w:rFonts w:ascii="Times New Roman;sans-serif" w:hAnsi="Times New Roman;sans-serif"/>
                <w:b/>
                <w:color w:val="000000"/>
                <w:sz w:val="13"/>
              </w:rPr>
              <w:t xml:space="preserve">(1)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12,648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6,737</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19,385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RIN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Generated in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RIN credit balance (Available for sale)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D3 price per RIN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Value of RINs using quarter end price </w:t>
            </w:r>
            <w:r>
              <w:rPr>
                <w:rFonts w:ascii="Times New Roman;sans-serif" w:hAnsi="Times New Roman;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LCFS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(net share)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Generated in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LCFS credit balance (Available for sale)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LCFS credit price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Value of LCFSs using quarter end price </w:t>
            </w:r>
            <w:r>
              <w:rPr>
                <w:rFonts w:ascii="Times New Roman;sans-serif" w:hAnsi="Times New Roman;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2,799</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3,308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Value of RECs using quarter end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realized sales price - RIN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realized sales price - LCFS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Value of RNG Pending Monetization at quarter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9,688</w:t>
            </w: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23,110</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Reflects OPAL’s ownership share of stored RNG (i.e., net of joint venture partners’ ownership) including equity method investments.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Liquidity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4"/>
          <w:shd w:fill="FFFFFF" w:val="clear"/>
        </w:rPr>
        <w:t xml:space="preserve">As of </w:t>
      </w:r>
      <w:r>
        <w:rPr>
          <w:rFonts w:ascii="Times New Roman;sans-serif" w:hAnsi="Times New Roman;sans-serif"/>
          <w:b w:val="false"/>
          <w:color w:val="000000"/>
          <w:sz w:val="24"/>
        </w:rPr>
        <w:t>September 30, 2024</w:t>
      </w:r>
      <w:r>
        <w:rPr>
          <w:rFonts w:ascii="Times New Roman;sans-serif" w:hAnsi="Times New Roman;sans-serif"/>
          <w:b w:val="false"/>
          <w:color w:val="000000"/>
          <w:sz w:val="24"/>
          <w:shd w:fill="FFFFFF" w:val="clear"/>
        </w:rPr>
        <w:t xml:space="preserve">, our liquidity was </w:t>
      </w:r>
      <w:r>
        <w:rPr>
          <w:rFonts w:ascii="Times New Roman;sans-serif" w:hAnsi="Times New Roman;sans-serif"/>
          <w:b w:val="false"/>
          <w:color w:val="000000"/>
          <w:sz w:val="24"/>
        </w:rPr>
        <w:t>$285.3 million</w:t>
      </w:r>
      <w:r>
        <w:rPr>
          <w:rFonts w:ascii="Times New Roman;sans-serif" w:hAnsi="Times New Roman;sans-serif"/>
          <w:b w:val="false"/>
          <w:color w:val="000000"/>
          <w:sz w:val="24"/>
          <w:shd w:fill="FFFFFF" w:val="clear"/>
        </w:rPr>
        <w:t xml:space="preserve">, consisting of </w:t>
      </w:r>
      <w:r>
        <w:rPr>
          <w:rFonts w:ascii="Times New Roman;sans-serif" w:hAnsi="Times New Roman;sans-serif"/>
          <w:b w:val="false"/>
          <w:color w:val="000000"/>
          <w:sz w:val="24"/>
        </w:rPr>
        <w:t>$254.3 million</w:t>
      </w:r>
      <w:r>
        <w:rPr>
          <w:color w:val="000000"/>
          <w:shd w:fill="FFFFFF" w:val="clear"/>
        </w:rPr>
        <w:t xml:space="preserve"> </w:t>
      </w:r>
      <w:r>
        <w:rPr>
          <w:rFonts w:ascii="Times New Roman;sans-serif" w:hAnsi="Times New Roman;sans-serif"/>
          <w:b w:val="false"/>
          <w:color w:val="000000"/>
          <w:sz w:val="24"/>
          <w:shd w:fill="FFFFFF" w:val="clear"/>
        </w:rPr>
        <w:t xml:space="preserve">of </w:t>
      </w:r>
      <w:r>
        <w:rPr>
          <w:rFonts w:ascii="Times New Roman;sans-serif" w:hAnsi="Times New Roman;sans-serif"/>
          <w:b w:val="false"/>
          <w:color w:val="000000"/>
          <w:sz w:val="24"/>
        </w:rPr>
        <w:t>availability</w:t>
      </w:r>
      <w:r>
        <w:rPr>
          <w:color w:val="000000"/>
          <w:shd w:fill="FFFFFF" w:val="clear"/>
        </w:rPr>
        <w:t xml:space="preserve"> </w:t>
      </w:r>
      <w:r>
        <w:rPr>
          <w:rFonts w:ascii="Times New Roman;sans-serif" w:hAnsi="Times New Roman;sans-serif"/>
          <w:b w:val="false"/>
          <w:color w:val="000000"/>
          <w:sz w:val="24"/>
          <w:shd w:fill="FFFFFF" w:val="clear"/>
        </w:rPr>
        <w:t xml:space="preserve">under the above referenced credit facility, and </w:t>
      </w:r>
      <w:r>
        <w:rPr>
          <w:rFonts w:ascii="Times New Roman;sans-serif" w:hAnsi="Times New Roman;sans-serif"/>
          <w:b w:val="false"/>
          <w:color w:val="000000"/>
          <w:sz w:val="24"/>
        </w:rPr>
        <w:t>$31.0 million</w:t>
      </w:r>
      <w:r>
        <w:rPr>
          <w:color w:val="000000"/>
          <w:shd w:fill="FFFFFF" w:val="clear"/>
        </w:rPr>
        <w:t xml:space="preserve"> </w:t>
      </w:r>
      <w:r>
        <w:rPr>
          <w:rFonts w:ascii="Times New Roman;sans-serif" w:hAnsi="Times New Roman;sans-serif"/>
          <w:b w:val="false"/>
          <w:color w:val="000000"/>
          <w:sz w:val="24"/>
          <w:shd w:fill="FFFFFF" w:val="clear"/>
        </w:rPr>
        <w:t xml:space="preserve">of cash, cash equivalents, and short-term investments.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of September 30, 2024, we have drawn approximately $231.6 million, and utilized $14.1 million of our revolver availability for letters of credit, under the $500 million senior secured credit facility we entered into in September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shd w:fill="FFFFFF" w:val="clear"/>
        </w:rPr>
        <w:t xml:space="preserve">We believe our liquidity and anticipated cash flows from operations are sufficient to meet </w:t>
      </w:r>
      <w:r>
        <w:rPr>
          <w:rFonts w:ascii="Times New Roman;sans-serif" w:hAnsi="Times New Roman;sans-serif"/>
          <w:b w:val="false"/>
          <w:color w:val="000000"/>
          <w:sz w:val="24"/>
        </w:rPr>
        <w:t>our existing funding needs.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Capital Expenditures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During the nine months of 2024, OPAL Fuels invested $72.8 million across RNG projects in construction and OPAL Fuels proprietary fueling stations in construction as compared to $92.3 million in the prior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for the nine months ended September 30, 2024, our portion of capital expenditures in unconsolidated entities was $22.8 million. This represents our share of capital expenditures incurred for the Atlantic, Burlington and Sapphire projects.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Earnings Call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webcast to review OPAL Fuels’ Third Quarter 2024 results will be held tomorrow, November 8, 2024 at 11:00 AM Eastern Daylight Time.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Materials to be discussed in the webcast will be available before the call on the Company’s website.</w:t>
      </w:r>
    </w:p>
    <w:p>
      <w:pPr>
        <w:pStyle w:val="TextBody"/>
        <w:bidi w:val="0"/>
        <w:spacing w:before="0" w:after="0"/>
        <w:jc w:val="left"/>
        <w:rPr/>
      </w:pPr>
      <w:r>
        <w:rPr/>
      </w:r>
    </w:p>
    <w:p>
      <w:pPr>
        <w:pStyle w:val="TextBody"/>
        <w:bidi w:val="0"/>
        <w:spacing w:lineRule="auto" w:line="25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Participants may access the call at https://edge.media-server.com/mmc/p/3tp9s5us. Investors can also listen to a webcast of the presentation on the Company’s Investor Relations website at https://investors.opalfuels.com/news-events/events-presentations.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Glossary of terms</w:t>
      </w:r>
    </w:p>
    <w:p>
      <w:pPr>
        <w:pStyle w:val="TextBody"/>
        <w:bidi w:val="0"/>
        <w:spacing w:before="0" w:after="0"/>
        <w:jc w:val="left"/>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D3” </w:t>
      </w:r>
      <w:r>
        <w:rPr>
          <w:rFonts w:ascii="Times New Roman;sans-serif" w:hAnsi="Times New Roman;sans-serif"/>
          <w:b w:val="false"/>
          <w:color w:val="000000"/>
          <w:sz w:val="24"/>
        </w:rPr>
        <w:t>refers to cellulosic biofuel with a 60% greenhouse gas reduction requirement.</w:t>
      </w:r>
    </w:p>
    <w:p>
      <w:pPr>
        <w:pStyle w:val="TextBody"/>
        <w:bidi w:val="0"/>
        <w:spacing w:before="0" w:after="0"/>
        <w:jc w:val="both"/>
        <w:rPr/>
      </w:pPr>
      <w:r>
        <w:rPr/>
      </w:r>
    </w:p>
    <w:p>
      <w:pPr>
        <w:pStyle w:val="TextBody"/>
        <w:bidi w:val="0"/>
        <w:spacing w:lineRule="auto" w:line="240" w:before="0" w:after="0"/>
        <w:jc w:val="both"/>
        <w:rPr/>
      </w:pPr>
      <w:r>
        <w:rPr>
          <w:color w:val="000000"/>
        </w:rPr>
        <w:t>“</w:t>
      </w:r>
      <w:r>
        <w:rPr>
          <w:rFonts w:ascii="Times New Roman;sans-serif" w:hAnsi="Times New Roman;sans-serif"/>
          <w:b w:val="false"/>
          <w:i/>
          <w:color w:val="000000"/>
          <w:sz w:val="24"/>
        </w:rPr>
        <w:t xml:space="preserve">GGE” </w:t>
      </w:r>
      <w:r>
        <w:rPr>
          <w:rFonts w:ascii="Times New Roman;sans-serif" w:hAnsi="Times New Roman;sans-serif"/>
          <w:b w:val="false"/>
          <w:color w:val="000000"/>
          <w:sz w:val="24"/>
        </w:rPr>
        <w:t xml:space="preserve">refers to gasoline gallon equivalent. It is used to measure the total volume of RNG production that OPAL Fuels expects to dispense each year. The conversion ratio is 1MMBtu equal to 7.74 GGE. </w:t>
      </w:r>
    </w:p>
    <w:p>
      <w:pPr>
        <w:pStyle w:val="TextBody"/>
        <w:bidi w:val="0"/>
        <w:spacing w:before="0" w:after="0"/>
        <w:jc w:val="both"/>
        <w:rPr/>
      </w:pPr>
      <w:r>
        <w:rPr/>
      </w:r>
    </w:p>
    <w:p>
      <w:pPr>
        <w:pStyle w:val="TextBody"/>
        <w:bidi w:val="0"/>
        <w:spacing w:lineRule="auto" w:line="288" w:before="0" w:after="0"/>
        <w:jc w:val="both"/>
        <w:rPr>
          <w:color w:val="000000"/>
          <w:shd w:fill="FFFFFF" w:val="clear"/>
        </w:rPr>
      </w:pPr>
      <w:r>
        <w:rPr>
          <w:color w:val="000000"/>
          <w:shd w:fill="FFFFFF" w:val="clear"/>
        </w:rPr>
        <w:t>“</w:t>
      </w:r>
      <w:r>
        <w:rPr>
          <w:rFonts w:ascii="Times New Roman;sans-serif" w:hAnsi="Times New Roman;sans-serif"/>
          <w:b w:val="false"/>
          <w:i/>
          <w:color w:val="000000"/>
          <w:sz w:val="24"/>
          <w:shd w:fill="FFFFFF" w:val="clear"/>
        </w:rPr>
        <w:t>LCFS” refers to Low Carbon Fuel Standard or similar types of federal and state programs.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LFG” </w:t>
      </w:r>
      <w:r>
        <w:rPr>
          <w:rFonts w:ascii="Times New Roman;sans-serif" w:hAnsi="Times New Roman;sans-serif"/>
          <w:b w:val="false"/>
          <w:color w:val="000000"/>
          <w:sz w:val="24"/>
        </w:rPr>
        <w:t>refers to landfill gas.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MMBtu” </w:t>
      </w:r>
      <w:r>
        <w:rPr>
          <w:rFonts w:ascii="Times New Roman;sans-serif" w:hAnsi="Times New Roman;sans-serif"/>
          <w:b w:val="false"/>
          <w:color w:val="000000"/>
          <w:sz w:val="24"/>
        </w:rPr>
        <w:t xml:space="preserve">refers to million British thermal units. </w:t>
      </w:r>
    </w:p>
    <w:p>
      <w:pPr>
        <w:pStyle w:val="TextBody"/>
        <w:bidi w:val="0"/>
        <w:spacing w:before="0" w:after="0"/>
        <w:jc w:val="both"/>
        <w:rPr/>
      </w:pPr>
      <w:r>
        <w:rPr/>
      </w:r>
    </w:p>
    <w:p>
      <w:pPr>
        <w:pStyle w:val="TextBody"/>
        <w:bidi w:val="0"/>
        <w:spacing w:lineRule="auto" w:line="312" w:before="0" w:after="0"/>
        <w:jc w:val="both"/>
        <w:rPr>
          <w:color w:val="000000"/>
          <w:shd w:fill="FFFFFF" w:val="clear"/>
        </w:rPr>
      </w:pPr>
      <w:r>
        <w:rPr>
          <w:color w:val="000000"/>
          <w:shd w:fill="FFFFFF" w:val="clear"/>
        </w:rPr>
        <w:t>“</w:t>
      </w:r>
      <w:r>
        <w:rPr>
          <w:rFonts w:ascii="Times New Roman;sans-serif" w:hAnsi="Times New Roman;sans-serif"/>
          <w:b w:val="false"/>
          <w:i/>
          <w:color w:val="000000"/>
          <w:sz w:val="24"/>
          <w:shd w:fill="FFFFFF" w:val="clear"/>
        </w:rPr>
        <w:t>RECs” refers to renewable energy credits.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Renewable Power” </w:t>
      </w:r>
      <w:r>
        <w:rPr>
          <w:rFonts w:ascii="Times New Roman;sans-serif" w:hAnsi="Times New Roman;sans-serif"/>
          <w:b w:val="false"/>
          <w:color w:val="000000"/>
          <w:sz w:val="24"/>
        </w:rPr>
        <w:t>refers to electricity generated from renewable sources.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RIN” </w:t>
      </w:r>
      <w:r>
        <w:rPr>
          <w:rFonts w:ascii="Times New Roman;sans-serif" w:hAnsi="Times New Roman;sans-serif"/>
          <w:b w:val="false"/>
          <w:color w:val="000000"/>
          <w:sz w:val="24"/>
        </w:rPr>
        <w:t>refers to Renewable Identification Numbers.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 xml:space="preserve">RNG” </w:t>
      </w:r>
      <w:r>
        <w:rPr>
          <w:rFonts w:ascii="Times New Roman;sans-serif" w:hAnsi="Times New Roman;sans-serif"/>
          <w:b w:val="false"/>
          <w:color w:val="000000"/>
          <w:sz w:val="24"/>
        </w:rPr>
        <w:t>refers to renewable natural gas.</w:t>
      </w:r>
    </w:p>
    <w:p>
      <w:pPr>
        <w:pStyle w:val="TextBody"/>
        <w:bidi w:val="0"/>
        <w:spacing w:before="0" w:after="0"/>
        <w:jc w:val="both"/>
        <w:rPr/>
      </w:pPr>
      <w:r>
        <w:rPr/>
      </w:r>
    </w:p>
    <w:p>
      <w:pPr>
        <w:pStyle w:val="TextBody"/>
        <w:bidi w:val="0"/>
        <w:spacing w:lineRule="auto" w:line="312" w:before="0" w:after="0"/>
        <w:jc w:val="both"/>
        <w:rPr/>
      </w:pPr>
      <w:r>
        <w:rPr>
          <w:color w:val="000000"/>
        </w:rPr>
        <w:t>“</w:t>
      </w:r>
      <w:r>
        <w:rPr>
          <w:rFonts w:ascii="Times New Roman;sans-serif" w:hAnsi="Times New Roman;sans-serif"/>
          <w:b w:val="false"/>
          <w:i/>
          <w:color w:val="000000"/>
          <w:sz w:val="24"/>
        </w:rPr>
        <w:t>VIEs”</w:t>
      </w:r>
      <w:r>
        <w:rPr>
          <w:color w:val="000000"/>
        </w:rPr>
        <w:t xml:space="preserve"> </w:t>
      </w:r>
      <w:r>
        <w:rPr>
          <w:rFonts w:ascii="Times New Roman;sans-serif" w:hAnsi="Times New Roman;sans-serif"/>
          <w:b w:val="false"/>
          <w:color w:val="000000"/>
          <w:sz w:val="24"/>
        </w:rPr>
        <w:t>refers to variable interest entities.</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About OPAL Fuels Inc.</w:t>
      </w:r>
    </w:p>
    <w:p>
      <w:pPr>
        <w:pStyle w:val="TextBody"/>
        <w:bidi w:val="0"/>
        <w:spacing w:lineRule="auto" w:line="288" w:before="0" w:after="0"/>
        <w:jc w:val="both"/>
        <w:rPr/>
      </w:pPr>
      <w:r>
        <w:rPr>
          <w:rFonts w:ascii="Times New Roman;sans-serif" w:hAnsi="Times New Roman;sans-serif"/>
          <w:b w:val="false"/>
          <w:color w:val="000000"/>
          <w:sz w:val="24"/>
        </w:rPr>
        <w:t>OPAL Fuels Inc. (Nasdaq: OPAL) is a leader in the capture and conversion of biogas into low carbon intensity RNG and renewable electricity. OPAL Fuels is also a leader in the marketing and distribution of RNG to heavy duty trucking and other hard to de-carbonize industrial sectors. For additional information, and to learn more about OPAL Fuels and how it is leading the effort to capture North America’s methane emissions and decarbonize the economy, p</w:t>
      </w:r>
      <w:r>
        <w:rPr>
          <w:rFonts w:ascii="Times New Roman;sans-serif" w:hAnsi="Times New Roman;sans-serif"/>
          <w:b w:val="false"/>
          <w:color w:val="212121"/>
          <w:sz w:val="24"/>
        </w:rPr>
        <w:t xml:space="preserve">lease visit </w:t>
      </w:r>
      <w:r>
        <w:rPr>
          <w:rFonts w:ascii="Times New Roman;sans-serif" w:hAnsi="Times New Roman;sans-serif"/>
          <w:b w:val="false"/>
          <w:color w:val="000000"/>
          <w:sz w:val="24"/>
        </w:rPr>
        <w:t>www.opalfuels.com.</w:t>
      </w:r>
    </w:p>
    <w:p>
      <w:pPr>
        <w:pStyle w:val="TextBody"/>
        <w:bidi w:val="0"/>
        <w:spacing w:before="0" w:after="0"/>
        <w:jc w:val="both"/>
        <w:rPr/>
      </w:pPr>
      <w:r>
        <w:rPr/>
      </w:r>
    </w:p>
    <w:p>
      <w:pPr>
        <w:pStyle w:val="TextBody"/>
        <w:bidi w:val="0"/>
        <w:spacing w:lineRule="auto" w:line="240" w:before="0" w:after="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10-K filed on March 15, 2024,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Disclaimer</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Contact information</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color w:val="000000"/>
          <w:sz w:val="24"/>
        </w:rPr>
      </w:pPr>
      <w:r>
        <w:rPr>
          <w:rFonts w:ascii="Times New Roman;sans-serif" w:hAnsi="Times New Roman;sans-serif"/>
          <w:b/>
          <w:color w:val="000000"/>
          <w:sz w:val="24"/>
        </w:rPr>
        <w:t>Investors</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Todd Firestone</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 Investor Relations &amp; Corporate Development</w:t>
      </w:r>
    </w:p>
    <w:p>
      <w:pPr>
        <w:pStyle w:val="TextBody"/>
        <w:bidi w:val="0"/>
        <w:spacing w:lineRule="auto" w:line="312"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914-705-4001</w:t>
      </w:r>
    </w:p>
    <w:p>
      <w:pPr>
        <w:pStyle w:val="TextBody"/>
        <w:bidi w:val="0"/>
        <w:spacing w:lineRule="auto" w:line="369" w:before="0" w:after="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investors@opalfuels.com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ICR, Inc. </w: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OPALFuelsPR@ircinc.com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tbl>
      <w:tblPr>
        <w:tblW w:w="10205" w:type="dxa"/>
        <w:jc w:val="center"/>
        <w:tblInd w:w="0" w:type="dxa"/>
        <w:tblLayout w:type="fixed"/>
        <w:tblCellMar>
          <w:top w:w="28" w:type="dxa"/>
          <w:left w:w="28" w:type="dxa"/>
          <w:bottom w:w="28" w:type="dxa"/>
          <w:right w:w="28" w:type="dxa"/>
        </w:tblCellMar>
      </w:tblPr>
      <w:tblGrid>
        <w:gridCol w:w="2824"/>
        <w:gridCol w:w="2392"/>
        <w:gridCol w:w="2374"/>
        <w:gridCol w:w="214"/>
        <w:gridCol w:w="805"/>
        <w:gridCol w:w="118"/>
        <w:gridCol w:w="109"/>
        <w:gridCol w:w="109"/>
        <w:gridCol w:w="109"/>
        <w:gridCol w:w="207"/>
        <w:gridCol w:w="777"/>
        <w:gridCol w:w="167"/>
      </w:tblGrid>
      <w:tr>
        <w:trPr/>
        <w:tc>
          <w:tcPr>
            <w:tcW w:w="2824"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$395 and $166 at September 30, 2024 and December 31, 2023, respectively, related to consolidated VIEs)</w:t>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$361 and $33 at September 30, 2024 and December 31, 2023, respectively, related to consolidated VIEs)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$953 and $4,395 at September 30, 2024 and December 31, 2023, respectively, related to consolidated VIEs)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 (includes $29 and $29 at September 30, 2024 and December 31, 2023, respectively, related to consolidated VIEs)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Convertible note receivable </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Environmental credits held for sale </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$21 and $107 at September 30, 2024 and December 31, 2023, respectively, related to consolidated VIEs)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 current portion</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128,073 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$25,514 and $26,626 at September 30, 2024 and December 31, 2023, respectively, related to consolidated VIEs)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410,247 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$2,208 and $1,850 at September 30, 2024 and December 31, 2023, respectively, related to consolidated VIEs)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831,088 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$26 and $744 at September 30, 2024 and December 31, 2023, respectively, related to consolidated VIEs)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(includes $383 and $1,046 at September 30, 2024 and December 31, 2023, respectively, related to consolidated VIEs) </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(includes $39 and $— at September 30, 2024 and December 31, 2023, respectively, related to consolidated VIEs)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capital expenses </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$753 and $647 at September 30, 2024 and December 31, 2023, respectively, related to consolidated VIEs)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 current portion</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963"/>
        <w:gridCol w:w="2386"/>
        <w:gridCol w:w="2401"/>
        <w:gridCol w:w="196"/>
        <w:gridCol w:w="736"/>
        <w:gridCol w:w="109"/>
        <w:gridCol w:w="109"/>
        <w:gridCol w:w="109"/>
        <w:gridCol w:w="109"/>
        <w:gridCol w:w="196"/>
        <w:gridCol w:w="736"/>
        <w:gridCol w:w="155"/>
      </w:tblGrid>
      <w:tr>
        <w:trPr/>
        <w:tc>
          <w:tcPr>
            <w:tcW w:w="2963"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 current portion (includes $1,722 and $1,608 at September 30, 2024 and December 31, 2023,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 (includes $99 and $92 at September 30, 2024 and December 31, 2023,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 non-current portion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$18,773 and $20,010 at September 30, 2024 and December 31, 2023,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(includes $2,398 and $211 at September 30, 2024 and December 31, 2023,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132,617</w:t>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519,373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802,720</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September 30, 2024; shares issued: 30,065,260 and 29,701,146 at September 30, 2024 and December 31, 2023, respectively; shares outstanding: 28,429,477 and 28,065,363 at September 30, 2024 and December 31, 2023,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September 30, 2024; 71,500,000 and none issued and outstanding as of September 30, 2024 and December 31, 2023,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September 30, 2024; none issued and outstanding as of September 30, 2024 and December 31,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September 30, 2024; 72,899,037 and 144,399,037 shares issued and outstanding at September 30, 2024 and December 31, 2023,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 at cost; 1,635,783 and 1,635,783 shares at September 30, 2024 and December 31, 2023,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(478,807)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(477,852)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Redeemable preferred non-controlling interests, Redeemable non-controlling interests and Stockholders' deficit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200" w:after="2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54"/>
        <w:gridCol w:w="1359"/>
        <w:gridCol w:w="1373"/>
        <w:gridCol w:w="109"/>
        <w:gridCol w:w="109"/>
        <w:gridCol w:w="109"/>
        <w:gridCol w:w="254"/>
        <w:gridCol w:w="733"/>
        <w:gridCol w:w="115"/>
        <w:gridCol w:w="115"/>
        <w:gridCol w:w="115"/>
        <w:gridCol w:w="115"/>
        <w:gridCol w:w="254"/>
        <w:gridCol w:w="733"/>
        <w:gridCol w:w="115"/>
        <w:gridCol w:w="109"/>
        <w:gridCol w:w="109"/>
        <w:gridCol w:w="109"/>
        <w:gridCol w:w="223"/>
        <w:gridCol w:w="738"/>
        <w:gridCol w:w="109"/>
        <w:gridCol w:w="109"/>
        <w:gridCol w:w="109"/>
        <w:gridCol w:w="109"/>
        <w:gridCol w:w="223"/>
        <w:gridCol w:w="738"/>
        <w:gridCol w:w="158"/>
      </w:tblGrid>
      <w:tr>
        <w:trPr/>
        <w:tc>
          <w:tcPr>
            <w:tcW w:w="17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48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$22,798 and $18,782 for the three months ended September 30, 2024 and 2023, respectively; $54,174 and $32,909 for the nine months ended September 30,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$10,616 and $6,942 for the three months ended September 30, 2024 and 2023, respectively; $27,885 and $10,875 for the nine months ended September 30,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$1,799 and $1,732 for the three months ended September 30, 2024 and 2023, respectively; $5,129 and $5,006, for the nine months ended September 30,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79,655 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Project development and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39,664 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183,439 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debt extinguishment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net of selling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Dividends on redeemable preferred non-controlling interests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27,709,203 </w:t>
            </w:r>
          </w:p>
        </w:tc>
        <w:tc>
          <w:tcPr>
            <w:tcW w:w="11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26,978,969 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27,110,953 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27,743,417 </w:t>
            </w:r>
          </w:p>
        </w:tc>
        <w:tc>
          <w:tcPr>
            <w:tcW w:w="1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26,978,969 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27,683,855 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200" w:after="2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61" w:type="dxa"/>
        <w:jc w:val="center"/>
        <w:tblInd w:w="0" w:type="dxa"/>
        <w:tblLayout w:type="fixed"/>
        <w:tblCellMar>
          <w:top w:w="28" w:type="dxa"/>
          <w:left w:w="28" w:type="dxa"/>
          <w:bottom w:w="28" w:type="dxa"/>
          <w:right w:w="28" w:type="dxa"/>
        </w:tblCellMar>
      </w:tblPr>
      <w:tblGrid>
        <w:gridCol w:w="2095"/>
        <w:gridCol w:w="1845"/>
        <w:gridCol w:w="1849"/>
        <w:gridCol w:w="109"/>
        <w:gridCol w:w="109"/>
        <w:gridCol w:w="109"/>
        <w:gridCol w:w="244"/>
        <w:gridCol w:w="920"/>
        <w:gridCol w:w="126"/>
        <w:gridCol w:w="126"/>
        <w:gridCol w:w="126"/>
        <w:gridCol w:w="126"/>
        <w:gridCol w:w="244"/>
        <w:gridCol w:w="955"/>
        <w:gridCol w:w="178"/>
      </w:tblGrid>
      <w:tr>
        <w:trPr/>
        <w:tc>
          <w:tcPr>
            <w:tcW w:w="209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57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warrant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(92,250)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(Purchase) proceeds from sale of short 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46,948 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Deconsolidation of VIEs, net of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(11,947)</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13,331 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investment in other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(86,546)</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OPAL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174,117 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 of shares upon exercise of put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(16,391)</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debt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(159,023)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(16,536)</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12,753 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(15,542)</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77,221 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color w:val="000000"/>
          <w:sz w:val="24"/>
        </w:rPr>
      </w:pPr>
      <w:r>
        <w:rPr>
          <w:rFonts w:ascii="Times New Roman;sans-serif" w:hAnsi="Times New Roman;sans-serif"/>
          <w:b/>
          <w:color w:val="000000"/>
          <w:sz w:val="24"/>
        </w:rPr>
        <w:t>Non-GAAP Financial Measures (Unaudited)</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Adjusted EBITDA</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supplement the Company’s unaudited condensed consolidated financial statements presented in accordance with GAAP, the Company uses a non-GAAP financial measure that it calls adjusted EBITDA (“Adjusted EBITDA”). This non-GAAP financial measure adjusts net income for interest and financing expense, net, loss on debt extinguishment, net (income) loss attributable to non-redeemable non-controlling interests, depreciation, amortization and accretion expense, adjustments to reflect Adjusted EBITDA from equity method investments, loss on warrant exchange, unrealized (gain) loss on derivative instruments, non-cash charges, one-time non-recurring expenses, major maintenance on Renewable Power, gain on deconsolidation of VIEs, project development and startup costs, incremental virtual pipeline costs at Prince William RNG facility due to their temporary nature, and ITC proceeds, net of expenses.</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 presents the reconciliation of our Net loss to Adjusted EBITDA:</w:t>
      </w:r>
    </w:p>
    <w:p>
      <w:pPr>
        <w:pStyle w:val="TextBody"/>
        <w:bidi w:val="0"/>
        <w:spacing w:before="0" w:after="0"/>
        <w:jc w:val="left"/>
        <w:rPr/>
      </w:pPr>
      <w:r>
        <w:rPr/>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GAAP Net income to Adjusted EBITDA </w:t>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2024 and 2023</w:t>
      </w:r>
    </w:p>
    <w:p>
      <w:pPr>
        <w:pStyle w:val="TextBody"/>
        <w:bidi w:val="0"/>
        <w:spacing w:lineRule="auto" w:line="369"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p>
      <w:pPr>
        <w:pStyle w:val="TextBody"/>
        <w:bidi w:val="0"/>
        <w:spacing w:before="0" w:after="0"/>
        <w:jc w:val="left"/>
        <w:rPr/>
      </w:pPr>
      <w:r>
        <w:rPr/>
      </w:r>
    </w:p>
    <w:tbl>
      <w:tblPr>
        <w:tblW w:w="15086" w:type="dxa"/>
        <w:jc w:val="left"/>
        <w:tblInd w:w="0" w:type="dxa"/>
        <w:tblLayout w:type="fixed"/>
        <w:tblCellMar>
          <w:top w:w="28" w:type="dxa"/>
          <w:left w:w="28" w:type="dxa"/>
          <w:bottom w:w="28" w:type="dxa"/>
          <w:right w:w="28" w:type="dxa"/>
        </w:tblCellMar>
      </w:tblPr>
      <w:tblGrid>
        <w:gridCol w:w="915"/>
        <w:gridCol w:w="280"/>
        <w:gridCol w:w="231"/>
        <w:gridCol w:w="109"/>
        <w:gridCol w:w="109"/>
        <w:gridCol w:w="109"/>
        <w:gridCol w:w="211"/>
        <w:gridCol w:w="721"/>
        <w:gridCol w:w="109"/>
        <w:gridCol w:w="109"/>
        <w:gridCol w:w="109"/>
        <w:gridCol w:w="109"/>
        <w:gridCol w:w="211"/>
        <w:gridCol w:w="721"/>
        <w:gridCol w:w="109"/>
        <w:gridCol w:w="109"/>
        <w:gridCol w:w="109"/>
        <w:gridCol w:w="109"/>
        <w:gridCol w:w="213"/>
        <w:gridCol w:w="622"/>
        <w:gridCol w:w="111"/>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3"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3"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2024</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34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amortization and accretion</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to reflect Adjusted EBITDA from equity method investments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Unrealized (gain) loss on derivative instruments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charges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ITC proceeds, net of expenses</w:t>
            </w:r>
            <w:r>
              <w:rPr>
                <w:color w:val="000000"/>
              </w:rPr>
              <w:t xml:space="preserve">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Project development and startup costs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Virtual pipeline costs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One-time non-recurring charges </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 maintenance for 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5101" w:type="dxa"/>
        <w:jc w:val="left"/>
        <w:tblInd w:w="0" w:type="dxa"/>
        <w:tblLayout w:type="fixed"/>
        <w:tblCellMar>
          <w:top w:w="28" w:type="dxa"/>
          <w:left w:w="28" w:type="dxa"/>
          <w:bottom w:w="28" w:type="dxa"/>
          <w:right w:w="28" w:type="dxa"/>
        </w:tblCellMar>
      </w:tblPr>
      <w:tblGrid>
        <w:gridCol w:w="930"/>
        <w:gridCol w:w="280"/>
        <w:gridCol w:w="231"/>
        <w:gridCol w:w="109"/>
        <w:gridCol w:w="109"/>
        <w:gridCol w:w="109"/>
        <w:gridCol w:w="211"/>
        <w:gridCol w:w="721"/>
        <w:gridCol w:w="109"/>
        <w:gridCol w:w="109"/>
        <w:gridCol w:w="109"/>
        <w:gridCol w:w="109"/>
        <w:gridCol w:w="211"/>
        <w:gridCol w:w="616"/>
        <w:gridCol w:w="109"/>
        <w:gridCol w:w="109"/>
        <w:gridCol w:w="109"/>
        <w:gridCol w:w="109"/>
        <w:gridCol w:w="213"/>
        <w:gridCol w:w="622"/>
        <w:gridCol w:w="111"/>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211"/>
        <w:gridCol w:w="82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8"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RNG Fuel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income (loss)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340"/>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deconsolidation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amortization and accretion</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to reflect Adjusted EBITDA from equity method investments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warrant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Unrealized (gain) loss on derivative instruments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charges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Project development and startup costs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One-time non-recurring charges </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 maintenance for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Net income (loss) by segment is included in our quarterly report on Form 10-Q. Net loss for RNG Fuel includes our portion of net income on our equity method investments. </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Includes development costs, interest, depreciation, amortization and accretion on equity method investments.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Unrealized (gain) loss on derivative instruments includes change in fair value of commodity swaps, earnout liabilities and put option on a forward purchase agreement. </w:t>
      </w:r>
    </w:p>
    <w:p>
      <w:pPr>
        <w:pStyle w:val="TextBody"/>
        <w:bidi w:val="0"/>
        <w:spacing w:before="0" w:after="0"/>
        <w:jc w:val="left"/>
        <w:rPr/>
      </w:pPr>
      <w:r>
        <w:rPr/>
      </w:r>
    </w:p>
    <w:p>
      <w:pPr>
        <w:pStyle w:val="TextBody"/>
        <w:bidi w:val="0"/>
        <w:spacing w:lineRule="auto" w:line="268"/>
        <w:jc w:val="left"/>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 xml:space="preserve">Non-cash charges include stock-based compensation expense, certain expenses included in selling, general and administrative expenses relating to employee benefit accruals, inventory write down charges included in cost of sales - RNG fuel and loss on disposal of assets.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Includes $258 of legal expenses which is included in Project development and start up costs.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Relates to certain development costs on our RNG projects in construction such as legal, consulting fees for joint venture structuring, royalties to the landfill owner, fines, settlements, site lease expenses and certification costs.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20"/>
        </w:rPr>
        <w:t xml:space="preserve">Includes incremental virtual pipeline costs (i.e., actual costs less anticipated operating costs of a permanent interconnection) on our Prince William RNG project which are temporary in nature and expected to be incurred until mid-2025 when the permanent interconnection is expected to be operational. The amounts included in the nine months ended September 30, 2024 include $2.2 million of costs incurred in the second quarter of 2024. These costs are included in Project development and startup costs.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13"/>
        </w:rPr>
        <w:t xml:space="preserve">(8) </w:t>
      </w:r>
      <w:r>
        <w:rPr>
          <w:rFonts w:ascii="Times New Roman;sans-serif" w:hAnsi="Times New Roman;sans-serif"/>
          <w:b w:val="false"/>
          <w:color w:val="000000"/>
          <w:sz w:val="20"/>
        </w:rPr>
        <w:t>One-time non-recurring charges include (i) certain expenses related to development of our RNG facilities such as lease expenses and legal costs incurred during construction phase that could not be capitalized per GAAP.</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69"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6870</Words>
  <Characters>38664</Characters>
  <CharactersWithSpaces>44999</CharactersWithSpaces>
  <Paragraphs>1375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