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565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6584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Coghlin John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3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6"/>
          <w:szCs w:val="16"/>
          <w:color w:val="0000FF"/>
        </w:rPr>
        <w:t>WHITE PLAINS NY</w:t>
      </w:r>
      <w:r>
        <w:rPr>
          <w:sz w:val="20"/>
          <w:szCs w:val="20"/>
          <w:color w:val="auto"/>
        </w:rPr>
        <w:tab/>
      </w:r>
      <w:r>
        <w:rPr>
          <w:rFonts w:ascii="Times New Roman" w:cs="Times New Roman" w:eastAsia="Times New Roman" w:hAnsi="Times New Roman"/>
          <w:sz w:val="16"/>
          <w:szCs w:val="16"/>
          <w:color w:val="0000FF"/>
        </w:rPr>
        <w:t>10601</w:t>
      </w:r>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03/31/2024</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0000FF"/>
              </w:rPr>
              <w:t>General Counsel</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8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20" w:space="4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jc w:val="center"/>
              <w:ind w:left="574"/>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line="126"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03/31/2024</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32,880</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48,868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03/31/2024</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12,458</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36,410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60"/>
              <w:spacing w:after="0" w:line="126"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4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restart"/>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231,856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tcPr>
          <w:p>
            <w:pPr>
              <w:jc w:val="right"/>
              <w:ind w:right="63"/>
              <w:spacing w:after="0" w:line="138" w:lineRule="exact"/>
              <w:rPr>
                <w:sz w:val="20"/>
                <w:szCs w:val="20"/>
                <w:color w:val="auto"/>
              </w:rPr>
            </w:pPr>
            <w:r>
              <w:rPr>
                <w:rFonts w:ascii="Times New Roman" w:cs="Times New Roman" w:eastAsia="Times New Roman" w:hAnsi="Times New Roman"/>
                <w:sz w:val="13"/>
                <w:szCs w:val="13"/>
                <w:color w:val="0000FF"/>
              </w:rPr>
              <w:t>231,856</w:t>
            </w:r>
          </w:p>
        </w:tc>
        <w:tc>
          <w:tcPr>
            <w:tcW w:w="4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4"/>
              </w:rPr>
              <w:t>314,354</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32,880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04/01/2024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32,880</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4"/>
              </w:rPr>
              <w:t>281,474</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41,177</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5.02</w:t>
            </w:r>
          </w:p>
        </w:tc>
        <w:tc>
          <w:tcPr>
            <w:tcW w:w="10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03/31/2024</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jc w:val="center"/>
              <w:ind w:right="381"/>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600" w:type="dxa"/>
            <w:vAlign w:val="bottom"/>
            <w:vMerge w:val="restart"/>
          </w:tcPr>
          <w:p>
            <w:pPr>
              <w:jc w:val="right"/>
              <w:ind w:right="103"/>
              <w:spacing w:after="0" w:line="138" w:lineRule="exact"/>
              <w:rPr>
                <w:sz w:val="20"/>
                <w:szCs w:val="20"/>
                <w:color w:val="auto"/>
              </w:rPr>
            </w:pPr>
            <w:r>
              <w:rPr>
                <w:rFonts w:ascii="Times New Roman" w:cs="Times New Roman" w:eastAsia="Times New Roman" w:hAnsi="Times New Roman"/>
                <w:sz w:val="13"/>
                <w:szCs w:val="13"/>
                <w:color w:val="0000FF"/>
              </w:rPr>
              <w:t>41,177</w:t>
            </w:r>
          </w:p>
        </w:tc>
        <w:tc>
          <w:tcPr>
            <w:tcW w:w="4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03/31/2034</w:t>
            </w:r>
          </w:p>
        </w:tc>
        <w:tc>
          <w:tcPr>
            <w:tcW w:w="56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41,177</w:t>
            </w:r>
          </w:p>
        </w:tc>
        <w:tc>
          <w:tcPr>
            <w:tcW w:w="64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-2410460</wp:posOffset>
            </wp:positionV>
            <wp:extent cx="28575" cy="2415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155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6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22" w:lineRule="exact"/>
        <w:rPr>
          <w:rFonts w:ascii="Times New Roman" w:cs="Times New Roman" w:eastAsia="Times New Roman" w:hAnsi="Times New Roman"/>
          <w:sz w:val="13"/>
          <w:szCs w:val="13"/>
          <w:color w:val="008000"/>
        </w:rPr>
      </w:pPr>
    </w:p>
    <w:p>
      <w:pPr>
        <w:ind w:left="40" w:right="14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$5.02 per share, the closing price of Class A common stock on March 28, 2024.</w:t>
      </w:r>
    </w:p>
    <w:p>
      <w:pPr>
        <w:spacing w:after="0" w:line="22" w:lineRule="exact"/>
        <w:rPr>
          <w:rFonts w:ascii="Times New Roman" w:cs="Times New Roman" w:eastAsia="Times New Roman" w:hAnsi="Times New Roman"/>
          <w:sz w:val="13"/>
          <w:szCs w:val="13"/>
          <w:color w:val="008000"/>
        </w:rPr>
      </w:pPr>
    </w:p>
    <w:p>
      <w:pPr>
        <w:ind w:left="40" w:right="14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pursuant to the terms under the Issuer's 2022 Omnibus Equity Incentive Plan (the "Plan"), which represent a contingent right to receive one share of common stock for each RSU. 32,880 RSUs vested on March 31, 2024, 56,401 RSUs are scheduled to vest on March 31, 2025, 40,260 RSUs on March 31, 2026 and 184,813 RSUs on March 31, 2027, provided, that the Reporting Person continues to provide services to the Issuer through the applicable vesting date.</w:t>
      </w:r>
    </w:p>
    <w:p>
      <w:pPr>
        <w:spacing w:after="0" w:line="25" w:lineRule="exact"/>
        <w:rPr>
          <w:rFonts w:ascii="Times New Roman" w:cs="Times New Roman" w:eastAsia="Times New Roman" w:hAnsi="Times New Roman"/>
          <w:sz w:val="13"/>
          <w:szCs w:val="13"/>
          <w:color w:val="008000"/>
        </w:rPr>
      </w:pPr>
    </w:p>
    <w:p>
      <w:pPr>
        <w:ind w:left="40" w:right="28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pursuant to the terms under the Plan at an exercise price of $5.02 per share, which was the closing price per share of the Issuer's Class A common stock on March 28, 2024, as quoted on the Nasdaq Stock Market. The Option vests in three (3) equal installments on each of the following dates: (i) March 31, 2025, (ii) March 31, 2026, and (iii) March 31, 2027, provided, that the Reporting Person continues to provide services to the Issuer through the applicable vesting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John Coghlin</w:t>
            </w:r>
          </w:p>
        </w:tc>
        <w:tc>
          <w:tcPr>
            <w:tcW w:w="11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04/02/2024</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6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2024-04-02T06:20:14Z</dcterms:created>
  <dcterms:modified xsi:type="dcterms:W3CDTF">2024-04-02T06:20:14Z</dcterms:modified>
</cp:coreProperties>
</file>