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680"/>
        <w:spacing w:after="0"/>
        <w:rPr>
          <w:sz w:val="20"/>
          <w:szCs w:val="20"/>
          <w:color w:val="auto"/>
        </w:rPr>
      </w:pPr>
      <w:r>
        <w:rPr>
          <w:rFonts w:ascii="Arial" w:cs="Arial" w:eastAsia="Arial" w:hAnsi="Arial"/>
          <w:sz w:val="16"/>
          <w:szCs w:val="16"/>
          <w:b w:val="1"/>
          <w:bCs w:val="1"/>
          <w:color w:val="auto"/>
        </w:rPr>
        <w:t>Filed by ArcLight Clean Transition Corp. II pursuant to</w:t>
      </w:r>
    </w:p>
    <w:p>
      <w:pPr>
        <w:spacing w:after="0" w:line="50" w:lineRule="exact"/>
        <w:rPr>
          <w:sz w:val="24"/>
          <w:szCs w:val="24"/>
          <w:color w:val="auto"/>
        </w:rPr>
      </w:pPr>
    </w:p>
    <w:p>
      <w:pPr>
        <w:ind w:left="784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780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776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ArcLight Clean Transition Corp. II</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001-40272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1465580" cy="351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5580"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960" w:type="dxa"/>
            <w:vAlign w:val="bottom"/>
          </w:tcPr>
          <w:p>
            <w:pPr>
              <w:spacing w:after="0"/>
              <w:rPr>
                <w:sz w:val="17"/>
                <w:szCs w:val="17"/>
                <w:color w:val="auto"/>
              </w:rPr>
            </w:pPr>
          </w:p>
        </w:tc>
        <w:tc>
          <w:tcPr>
            <w:tcW w:w="5260" w:type="dxa"/>
            <w:vAlign w:val="bottom"/>
            <w:gridSpan w:val="2"/>
          </w:tcPr>
          <w:p>
            <w:pPr>
              <w:ind w:left="3840"/>
              <w:spacing w:after="0"/>
              <w:rPr>
                <w:sz w:val="20"/>
                <w:szCs w:val="20"/>
                <w:color w:val="auto"/>
              </w:rPr>
            </w:pPr>
            <w:r>
              <w:rPr>
                <w:rFonts w:ascii="Arial" w:cs="Arial" w:eastAsia="Arial" w:hAnsi="Arial"/>
                <w:sz w:val="18"/>
                <w:szCs w:val="18"/>
                <w:b w:val="1"/>
                <w:bCs w:val="1"/>
                <w:color w:val="auto"/>
              </w:rPr>
              <w:t>MEMORANDUM</w:t>
            </w:r>
          </w:p>
        </w:tc>
      </w:tr>
      <w:tr>
        <w:trPr>
          <w:trHeight w:val="480"/>
        </w:trPr>
        <w:tc>
          <w:tcPr>
            <w:tcW w:w="96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tcPr>
          <w:p>
            <w:pPr>
              <w:ind w:left="360"/>
              <w:spacing w:after="0"/>
              <w:rPr>
                <w:sz w:val="20"/>
                <w:szCs w:val="20"/>
                <w:color w:val="auto"/>
              </w:rPr>
            </w:pPr>
            <w:r>
              <w:rPr>
                <w:rFonts w:ascii="Arial" w:cs="Arial" w:eastAsia="Arial" w:hAnsi="Arial"/>
                <w:sz w:val="18"/>
                <w:szCs w:val="18"/>
                <w:color w:val="auto"/>
              </w:rPr>
              <w:t>December 2, 2021</w:t>
            </w:r>
          </w:p>
        </w:tc>
        <w:tc>
          <w:tcPr>
            <w:tcW w:w="1420" w:type="dxa"/>
            <w:vAlign w:val="bottom"/>
            <w:tcBorders>
              <w:top w:val="single" w:sz="8" w:color="auto"/>
            </w:tcBorders>
          </w:tcPr>
          <w:p>
            <w:pPr>
              <w:spacing w:after="0"/>
              <w:rPr>
                <w:sz w:val="24"/>
                <w:szCs w:val="24"/>
                <w:color w:val="auto"/>
              </w:rPr>
            </w:pP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To:</w:t>
            </w: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All FORTISTAR and OPAL Fuels Employees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From:</w:t>
            </w: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rPr>
              <w:t>Mark Comora, Adam Comora and Jonathan Maurer</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Subject:</w:t>
            </w:r>
          </w:p>
        </w:tc>
        <w:tc>
          <w:tcPr>
            <w:tcW w:w="5260" w:type="dxa"/>
            <w:vAlign w:val="bottom"/>
            <w:gridSpan w:val="2"/>
          </w:tcPr>
          <w:p>
            <w:pPr>
              <w:ind w:left="360"/>
              <w:spacing w:after="0"/>
              <w:rPr>
                <w:sz w:val="20"/>
                <w:szCs w:val="20"/>
                <w:color w:val="auto"/>
              </w:rPr>
            </w:pPr>
            <w:r>
              <w:rPr>
                <w:rFonts w:ascii="Arial" w:cs="Arial" w:eastAsia="Arial" w:hAnsi="Arial"/>
                <w:sz w:val="18"/>
                <w:szCs w:val="18"/>
                <w:color w:val="auto"/>
                <w:w w:val="99"/>
              </w:rPr>
              <w:t>OPAL Fuels to Become Publicly Traded Company on Nasdaq</w:t>
            </w:r>
          </w:p>
        </w:tc>
      </w:tr>
    </w:tbl>
    <w:p>
      <w:pPr>
        <w:spacing w:after="0" w:line="202" w:lineRule="exact"/>
        <w:rPr>
          <w:sz w:val="24"/>
          <w:szCs w:val="24"/>
          <w:color w:val="auto"/>
        </w:rPr>
      </w:pPr>
    </w:p>
    <w:p>
      <w:pPr>
        <w:ind w:right="20"/>
        <w:spacing w:after="0" w:line="296" w:lineRule="auto"/>
        <w:rPr>
          <w:sz w:val="20"/>
          <w:szCs w:val="20"/>
          <w:color w:val="auto"/>
        </w:rPr>
      </w:pPr>
      <w:r>
        <w:rPr>
          <w:rFonts w:ascii="Arial" w:cs="Arial" w:eastAsia="Arial" w:hAnsi="Arial"/>
          <w:sz w:val="16"/>
          <w:szCs w:val="16"/>
          <w:color w:val="auto"/>
        </w:rPr>
        <w:t xml:space="preserve">In pursuit of our mission to solve the two most critical issues causing climate change – capturing harmful methane emissions from the source and reducing greenhouse gas emissions from transportation – we are thrilled to announce a significant milestone for OPAL Fuels as we plan to become a public company and list our stock on the Nasdaq exchange. This milestone is similar to an initial public offering (IPO), accomplished through a business combination with a special purpose acquisition company (SPAC), ArcLight Clean Transition Corp. II (“ArcLight”). The Wall Street Journal covered this news a short while ago, which can be viewed as an attachment. We have also just issued a </w:t>
      </w:r>
      <w:r>
        <w:rPr>
          <w:rFonts w:ascii="Arial" w:cs="Arial" w:eastAsia="Arial" w:hAnsi="Arial"/>
          <w:sz w:val="16"/>
          <w:szCs w:val="16"/>
          <w:u w:val="single" w:color="auto"/>
          <w:color w:val="auto"/>
        </w:rPr>
        <w:t>press release</w:t>
      </w:r>
      <w:r>
        <w:rPr>
          <w:rFonts w:ascii="Arial" w:cs="Arial" w:eastAsia="Arial" w:hAnsi="Arial"/>
          <w:sz w:val="16"/>
          <w:szCs w:val="16"/>
          <w:color w:val="auto"/>
        </w:rPr>
        <w:t xml:space="preserve"> officially announcing this transaction.</w:t>
      </w:r>
    </w:p>
    <w:p>
      <w:pPr>
        <w:spacing w:after="0" w:line="161" w:lineRule="exact"/>
        <w:rPr>
          <w:sz w:val="24"/>
          <w:szCs w:val="24"/>
          <w:color w:val="auto"/>
        </w:rPr>
      </w:pPr>
    </w:p>
    <w:p>
      <w:pPr>
        <w:ind w:right="20"/>
        <w:spacing w:after="0" w:line="286" w:lineRule="auto"/>
        <w:rPr>
          <w:sz w:val="20"/>
          <w:szCs w:val="20"/>
          <w:color w:val="auto"/>
        </w:rPr>
      </w:pPr>
      <w:r>
        <w:rPr>
          <w:rFonts w:ascii="Arial" w:cs="Arial" w:eastAsia="Arial" w:hAnsi="Arial"/>
          <w:sz w:val="17"/>
          <w:szCs w:val="17"/>
          <w:color w:val="auto"/>
        </w:rPr>
        <w:t>Because ArcLight Clean Transition Corp. II is already publicly traded, OPAL Fuels will become a public company when the deal is complete, trading on the Nasdaq under the ticker symbol “OPL.” We currently expect to complete the transaction in the second quarter of 2022. We will continue to operate under the OPAL Fuels name and manage our business the way we do today. It’s business as usual at OPAL Fuels.</w:t>
      </w:r>
    </w:p>
    <w:p>
      <w:pPr>
        <w:spacing w:after="0" w:line="165" w:lineRule="exact"/>
        <w:rPr>
          <w:sz w:val="24"/>
          <w:szCs w:val="24"/>
          <w:color w:val="auto"/>
        </w:rPr>
      </w:pPr>
    </w:p>
    <w:p>
      <w:pPr>
        <w:ind w:right="140"/>
        <w:spacing w:after="0" w:line="296" w:lineRule="auto"/>
        <w:rPr>
          <w:sz w:val="20"/>
          <w:szCs w:val="20"/>
          <w:color w:val="auto"/>
        </w:rPr>
      </w:pPr>
      <w:r>
        <w:rPr>
          <w:rFonts w:ascii="Arial" w:cs="Arial" w:eastAsia="Arial" w:hAnsi="Arial"/>
          <w:sz w:val="16"/>
          <w:szCs w:val="16"/>
          <w:color w:val="auto"/>
        </w:rPr>
        <w:t>This event provides significant financial and strategic resources to fund our accelerated growth and scale our waste-to-energy, vertically integrated renewable fuels platform. As a public company, we will be ideally positioned to meet the fast-growing demand for renewable fuels and expand the role of ultra low-carbon renewable natural gas across the transportation sector. With expected gross proceeds of this transaction and related financings of approximately $536 million (less transaction expenses and assuming no redemptions by ArcLight stockholders), we are all the more excited to kick off the next chapter in our ambition to chart the course for the renewable natural gas industry and support our customers’ decarbonization efforts.</w:t>
      </w:r>
    </w:p>
    <w:p>
      <w:pPr>
        <w:spacing w:after="0" w:line="161" w:lineRule="exact"/>
        <w:rPr>
          <w:sz w:val="24"/>
          <w:szCs w:val="24"/>
          <w:color w:val="auto"/>
        </w:rPr>
      </w:pPr>
    </w:p>
    <w:p>
      <w:pPr>
        <w:ind w:right="80"/>
        <w:spacing w:after="0" w:line="275" w:lineRule="auto"/>
        <w:rPr>
          <w:sz w:val="20"/>
          <w:szCs w:val="20"/>
          <w:color w:val="auto"/>
        </w:rPr>
      </w:pPr>
      <w:r>
        <w:rPr>
          <w:rFonts w:ascii="Arial" w:cs="Arial" w:eastAsia="Arial" w:hAnsi="Arial"/>
          <w:sz w:val="17"/>
          <w:szCs w:val="17"/>
          <w:color w:val="auto"/>
        </w:rPr>
        <w:t>However, as we enter this new chapter, there are some rules we must all follow. The U.S. Securities and Exchange Commission (SEC) has strict guidelines governing external communications. To avoid delays or any other repercussions the SEC might impose if we do not adhere to these rules, we must avoid speaking publicly about this process and our business metrics and financials. Accordingly, we ask that you refrain from making statements about our company or our performance in open forums (e.g., online, to friends, on Facebook, Twitter, LinkedIn, via email, to existing or prospective customers, etc.). Please see the attached guidelines for posting on social media about this event.</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29" w:right="439" w:bottom="1440" w:gutter="0" w:footer="0" w:header="0"/>
        </w:sectPr>
      </w:pPr>
    </w:p>
    <w:bookmarkStart w:id="1" w:name="page2"/>
    <w:bookmarkEnd w:id="1"/>
    <w:p>
      <w:pPr>
        <w:ind w:right="100" w:firstLine="9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465580"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65580" cy="351155"/>
                    </a:xfrm>
                    <a:prstGeom prst="rect">
                      <a:avLst/>
                    </a:prstGeom>
                    <a:noFill/>
                  </pic:spPr>
                </pic:pic>
              </a:graphicData>
            </a:graphic>
          </wp:anchor>
        </w:drawing>
        <w:t>If someone asks you about the process of going public or company fundamentals, the best response is to say, “I cannot comment.” If pushed further, you can say something like, “I can’t speak to that, but I would be happy to connect you with the appropriate team members,” and share the request with Jason Stewart, Senior Director of Marketing and PR at jstewart@opalfuels.com.</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Should you receive any press inquiries, please forward details of the inquiry to Jason Stewart, Senior Director of Marketing and PR at jstewart@opalfuels.com, who can help handle media requests appropriately during this sensitive time. Understanding that communications are highly regulated through this process, please know that we will continue to share updates with you as we have more to report.</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is an exciting time for all of us at FORTISTAR and OPAL Fuels and we want to take this moment to thank you all for your continued hard work and dedication to our company. We look forward to keeping you apprised of our progress throughout this process.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in this communication may be considered forward-looking statements. Forward- looking statements are statements that are not historical facts and generally relate to future events or ArcLight’s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including the identification of a target business and a potential business combination or other such transaction are subject to risks and uncertainties, which could cause actual results to differ materially from those expressed or implied by such forward looking statements. New risks and uncertainties may emerge from time to time, and it is not possible to predict all risks and uncertainties. These forward-looking statements are based upon estimates and assumptions that, while considered reasonable by ArcLight and its management, and the Company and its management, as the case may be, are inherently uncertain and subject to material change. Factors that may cause actual results to differ materially from current expectations include, but are not limited to, various factors beyond management’s control, including general economic conditions and other risks, uncertainties and factors set forth in the section entitled “Risk Factors” and “Cautionary Note Regarding Forward-Looking Statements” in ArcLight’s final prospectus relating to its initial public offering, dated September 22, 2020, and other filings with the Securities and Exchange Commission (SEC), including the registration statement on Form S-4 to be filed by ArcLight in connection with the transaction, as well as (1) the inability to complete the proposed transaction; (2) factors associated with companies, such as the Company, that are engaged in the production and integration of renewable natural gas (RNG), including anticipated trends, growth rates, and challenges in those businesses and in the markets in which they operate; (3) macroeconomic conditions related to the global COVID-19 pandemic; (4) the effects of increased competition; (5) contractual arrangements with, and the cooperation of, landfill and livestock waste site owners and operators, on which the Company operates its landfill gas and livestock waste projects that generate electricity and RNG prices for environmental attributes, low carbon fuel standard credits and other incentives; (6) the ability to identify, acquire, develop and operate renewable projects and RNG fueling stations; (7) the failure to realize the anticipated benefits of the proposed transaction, which may be affected by, among other things, competition, the ability of the combined company to grow and manage growth profitably, maintain relationships with customers and suppliers and retain key employees; (8) delays in obtaining, adverse conditions contained in, or the inability to obtain necessary regulatory approvals or complete regulatory reviews required to complete the proposed transaction; (9) the outcome of any legal proceedings that may be instituted in connection with the proposed transaction; (10) the amount of redemption requests made by ArcLight’s public shareholders; and (11) the ability of the combined company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976" w:right="459" w:bottom="1440" w:gutter="0" w:footer="0" w:header="0"/>
        </w:sectPr>
      </w:pPr>
    </w:p>
    <w:bookmarkStart w:id="2" w:name="page3"/>
    <w:bookmarkEnd w:id="2"/>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465580" cy="35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65580" cy="351155"/>
                    </a:xfrm>
                    <a:prstGeom prst="rect">
                      <a:avLst/>
                    </a:prstGeom>
                    <a:noFill/>
                  </pic:spPr>
                </pic:pic>
              </a:graphicData>
            </a:graphic>
          </wp:anchor>
        </w:drawing>
        <w:t>that results from the proposed transaction to issue equity or equity-linked securities or obtain debt financing in connection with the transaction or in the future.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Both ArcLight and the Company expressly disclaim any obligations or undertaking to release publicly any updates or revisions to any forward-looking statements contained herein to reflect any change in ArcLight’s or the Company’s expectations with respect thereto or any change in events, conditions or circumstances on which any statement is based.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A full description of the terms of the transaction will be provided in a registration statement on Form S-4 to be filed with the SEC by ArcLight that will include a prospectus with respect to the combined company’s securities to be issued in connection with the business combination and a proxy statement with respect to the shareholders meeting of ArcLight to vote on the business combination. </w:t>
      </w:r>
      <w:r>
        <w:rPr>
          <w:rFonts w:ascii="Arial" w:cs="Arial" w:eastAsia="Arial" w:hAnsi="Arial"/>
          <w:sz w:val="16"/>
          <w:szCs w:val="16"/>
          <w:b w:val="1"/>
          <w:bCs w:val="1"/>
          <w:color w:val="auto"/>
        </w:rPr>
        <w:t>ArcLight urges its investors, shareholders and other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interested persons to read, when available, the preliminary proxy statement/prospectus as well as other documents filed with the SEC because these documents will contain important information about ArcLight, the Company and the transaction. </w:t>
      </w:r>
      <w:r>
        <w:rPr>
          <w:rFonts w:ascii="Arial" w:cs="Arial" w:eastAsia="Arial" w:hAnsi="Arial"/>
          <w:sz w:val="16"/>
          <w:szCs w:val="16"/>
          <w:color w:val="auto"/>
        </w:rPr>
        <w:t>After the registration statement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declared effective, the definitive proxy statement/prospectus to be included in the registration statement will be mailed to shareholders of ArcLight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ArcLight Clean Transition Corp. II, 200 Clarendon Street, 55th Floor, Boston, Massachusetts 02116. The preliminary and definitive proxy statement/prospectus to be included in the registration statement, once available, can also be obtained, without charge, at the SEC’s website (www.sec.gov).</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ArcLight and the Company and their respective directors and officers may be deemed to be participants in the solicitation of proxies from ArcLight’s shareholders in connection with the proposed transaction. Information about ArcLight’s directors and executive officers and their ownership of ArcLight’s securities is set forth in ArcLight’s filings with the SEC. To the extent that holdings of ArcLight’s securities have changed since the amounts printed in ArcLight’s Registration Statement on Form S-1, such changes have been or will be reflected on Statements of Change in Ownership on Form 4 filed with the SEC. Additional information regarding the interests of those persons and other persons who may be deemed participants in the proposed transaction may be obtained by reading the proxy statement/consent solicitation statement/prospectus regarding the proposed transaction when it becomes available. You may obtain free copies of these documents as described in the preceding paragraph.</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communication is not a proxy statement or solicitation of a proxy, consent or authorization with respect to any securities or in respect of the potential transaction and shall not constitute an offer to sell or a solicitation of an offer to buy the securities of ArcLight, the Company or the combined company,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000"/>
      </w:cols>
      <w:pgMar w:left="440" w:top="97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2021-12-02T15:52:51Z</dcterms:created>
  <dcterms:modified xsi:type="dcterms:W3CDTF">2021-12-02T15:52:51Z</dcterms:modified>
</cp:coreProperties>
</file>