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560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60133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508"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Comora Adam</w:t>
              </w:r>
            </w:hyperlink>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500" w:type="dxa"/>
            <w:vAlign w:val="bottom"/>
            <w:gridSpan w:val="4"/>
            <w:vMerge w:val="restart"/>
          </w:tcPr>
          <w:p>
            <w:pPr>
              <w:ind w:left="140"/>
              <w:spacing w:after="0" w:line="169" w:lineRule="exact"/>
              <w:rPr>
                <w:sz w:val="20"/>
                <w:szCs w:val="20"/>
                <w:color w:val="auto"/>
              </w:rPr>
            </w:pPr>
            <w:r>
              <w:rPr>
                <w:rFonts w:ascii="Times New Roman" w:cs="Times New Roman" w:eastAsia="Times New Roman" w:hAnsi="Times New Roman"/>
                <w:sz w:val="16"/>
                <w:szCs w:val="16"/>
                <w:color w:val="0000FF"/>
              </w:rPr>
              <w:t>03/31/2025</w:t>
            </w: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0"/>
          <w:szCs w:val="20"/>
          <w:color w:val="auto"/>
        </w:rPr>
      </w:pPr>
    </w:p>
    <w:p>
      <w:pPr>
        <w:ind w:left="681"/>
        <w:spacing w:after="0"/>
        <w:rPr>
          <w:sz w:val="20"/>
          <w:szCs w:val="20"/>
          <w:color w:val="auto"/>
        </w:rPr>
      </w:pPr>
      <w:r>
        <w:rPr>
          <w:rFonts w:ascii="Times New Roman" w:cs="Times New Roman" w:eastAsia="Times New Roman" w:hAnsi="Times New Roman"/>
          <w:sz w:val="16"/>
          <w:szCs w:val="16"/>
          <w:color w:val="0000FF"/>
        </w:rPr>
        <w:t>Co-Chief Executive Officer</w:t>
      </w:r>
    </w:p>
    <w:p>
      <w:pPr>
        <w:spacing w:after="0" w:line="307" w:lineRule="exact"/>
        <w:rPr>
          <w:sz w:val="20"/>
          <w:szCs w:val="20"/>
          <w:color w:val="auto"/>
        </w:rPr>
      </w:pPr>
    </w:p>
    <w:p>
      <w:pPr>
        <w:sectPr>
          <w:pgSz w:w="11900" w:h="16838" w:orient="portrait"/>
          <w:cols w:equalWidth="0" w:num="2">
            <w:col w:w="7680" w:space="59"/>
            <w:col w:w="3341"/>
          </w:cols>
          <w:pgMar w:left="460" w:top="215" w:right="359" w:bottom="508"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00" w:type="dxa"/>
            <w:vAlign w:val="bottom"/>
            <w:vMerge w:val="restart"/>
          </w:tcPr>
          <w:p>
            <w:pPr>
              <w:ind w:left="32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0" w:type="dxa"/>
            <w:vAlign w:val="bottom"/>
          </w:tcPr>
          <w:p>
            <w:pPr>
              <w:ind w:left="3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70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0000FF"/>
              </w:rPr>
              <w:t>10601</w:t>
            </w:r>
          </w:p>
        </w:tc>
        <w:tc>
          <w:tcPr>
            <w:tcW w:w="3660" w:type="dxa"/>
            <w:vAlign w:val="bottom"/>
          </w:tcPr>
          <w:p>
            <w:pPr>
              <w:spacing w:after="0"/>
              <w:rPr>
                <w:sz w:val="19"/>
                <w:szCs w:val="19"/>
                <w:color w:val="auto"/>
              </w:rPr>
            </w:pPr>
          </w:p>
        </w:tc>
        <w:tc>
          <w:tcPr>
            <w:tcW w:w="3200" w:type="dxa"/>
            <w:vAlign w:val="bottom"/>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660" w:type="dxa"/>
            <w:vAlign w:val="bottom"/>
          </w:tcPr>
          <w:p>
            <w:pPr>
              <w:spacing w:after="0"/>
              <w:rPr>
                <w:sz w:val="12"/>
                <w:szCs w:val="12"/>
                <w:color w:val="auto"/>
              </w:rPr>
            </w:pPr>
          </w:p>
        </w:tc>
        <w:tc>
          <w:tcPr>
            <w:tcW w:w="3200" w:type="dxa"/>
            <w:vAlign w:val="bottom"/>
          </w:tcPr>
          <w:p>
            <w:pPr>
              <w:ind w:left="8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0" w:type="dxa"/>
            <w:vAlign w:val="bottom"/>
          </w:tcPr>
          <w:p>
            <w:pPr>
              <w:ind w:left="840"/>
              <w:spacing w:after="0" w:line="138"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52"/>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32"/>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35,868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106,643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12,930</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93,713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67,205</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160,918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24,227</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136,691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35,868</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35,868</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35,868</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67,205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67,205</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134,408</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489,429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489,429</w:t>
            </w: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489,429</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0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1" w:lineRule="exact"/>
        <w:rPr>
          <w:rFonts w:ascii="Times New Roman" w:cs="Times New Roman" w:eastAsia="Times New Roman" w:hAnsi="Times New Roman"/>
          <w:sz w:val="13"/>
          <w:szCs w:val="13"/>
          <w:color w:val="008000"/>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$1.84 per share, the closing price of Class A common stock on March 31, 2025.</w:t>
      </w:r>
    </w:p>
    <w:p>
      <w:pPr>
        <w:spacing w:after="0" w:line="21"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granted 107,605 restricted stock units ("RSUs") pursuant to the terms of the Issuer's 2022 Omnibus Equity Incentive Plan (the "Plan"). A total of 35,869 RSUs vested on March 31, 2024, a total of 35,868 RSUs vested on March 31, 2025, and a total of 35,868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2024, the Reporting Person was granted 201,613 RSUs pursuant to the Plan. A total of 67,205 RSUs vested on March 31, 2025, a total of 67,204 RSUs are scheduled to vest on March 31, 2026, and a total of 67,204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rFonts w:ascii="Times New Roman" w:cs="Times New Roman" w:eastAsia="Times New Roman" w:hAnsi="Times New Roman"/>
          <w:sz w:val="13"/>
          <w:szCs w:val="13"/>
          <w:color w:val="008000"/>
        </w:rPr>
      </w:pPr>
    </w:p>
    <w:p>
      <w:pPr>
        <w:ind w:left="40" w:right="4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489,429 RSUs pursuant to the Plan. A total of 163,143 RSUs are scheduled to vest on March 31, 2026, a total of 163,143 RSUs are scheduled to vest on March 31, 2027, and a total of 163,143 RSUs are scheduled to vest on March 31, 2028,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178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-79375</wp:posOffset>
            </wp:positionV>
            <wp:extent cx="472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5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308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2025-04-02T19:42:02Z</dcterms:created>
  <dcterms:modified xsi:type="dcterms:W3CDTF">2025-04-02T19:42:02Z</dcterms:modified>
</cp:coreProperties>
</file>