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1795.xml.htm"/>
      <w:bookmarkStart w:id="1" w:name="kswkform4_17751617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Vemuri Ashok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3"/>
        <w:gridCol w:w="772"/>
        <w:gridCol w:w="600"/>
        <w:gridCol w:w="352"/>
        <w:gridCol w:w="939"/>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66,073</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122,785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54,773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Class A common stock. This transaction represents the settlement of restricted stock units in shares of Class A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March 31, 2026, the Reporting Person was granted 54,773 RSUs pursuant to the terms of the Issuer's 2022 Omnibus Equity Incentive Plan. The RSUs are scheduled to vest on March 31, 2027,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6651"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3757</Characters>
  <CharactersWithSpaces>4383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