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Fogarty Kevin Michael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OPAL Fuels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OPAL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60" w:type="dxa"/>
            <w:vAlign w:val="bottom"/>
          </w:tcPr>
          <w:p>
            <w:pPr>
              <w:spacing w:after="0"/>
              <w:rPr>
                <w:sz w:val="2"/>
                <w:szCs w:val="2"/>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520" w:type="dxa"/>
            <w:vAlign w:val="bottom"/>
            <w:gridSpan w:val="3"/>
            <w:vMerge w:val="restart"/>
          </w:tcPr>
          <w:p>
            <w:pPr>
              <w:ind w:left="280"/>
              <w:spacing w:after="0"/>
              <w:rPr>
                <w:sz w:val="20"/>
                <w:szCs w:val="20"/>
                <w:color w:val="auto"/>
              </w:rPr>
            </w:pPr>
            <w:r>
              <w:rPr>
                <w:rFonts w:ascii="Arial" w:cs="Arial" w:eastAsia="Arial" w:hAnsi="Arial"/>
                <w:sz w:val="13"/>
                <w:szCs w:val="13"/>
                <w:color w:val="auto"/>
              </w:rPr>
              <w:t>Officer (give title</w:t>
            </w: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520" w:type="dxa"/>
            <w:vAlign w:val="bottom"/>
            <w:gridSpan w:val="3"/>
            <w:vMerge w:val="continue"/>
          </w:tcPr>
          <w:p>
            <w:pPr>
              <w:spacing w:after="0" w:line="20" w:lineRule="exact"/>
              <w:rPr>
                <w:sz w:val="1"/>
                <w:szCs w:val="1"/>
                <w:color w:val="auto"/>
              </w:rPr>
            </w:pPr>
          </w:p>
        </w:tc>
        <w:tc>
          <w:tcPr>
            <w:tcW w:w="15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520" w:type="dxa"/>
            <w:vAlign w:val="bottom"/>
            <w:gridSpan w:val="3"/>
            <w:vMerge w:val="continue"/>
          </w:tcPr>
          <w:p>
            <w:pPr>
              <w:spacing w:after="0"/>
              <w:rPr>
                <w:sz w:val="3"/>
                <w:szCs w:val="3"/>
                <w:color w:val="auto"/>
              </w:rPr>
            </w:pPr>
          </w:p>
        </w:tc>
        <w:tc>
          <w:tcPr>
            <w:tcW w:w="15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7"/>
            <w:vMerge w:val="continue"/>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5"/>
                <w:szCs w:val="15"/>
                <w:color w:val="auto"/>
              </w:rPr>
            </w:pPr>
          </w:p>
        </w:tc>
        <w:tc>
          <w:tcPr>
            <w:tcW w:w="80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ONE NORTH LEXINGTON AVE, 14TH FLOOR</w:t>
            </w: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08/29/2022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gridSpan w:val="3"/>
          </w:tcPr>
          <w:p>
            <w:pPr>
              <w:spacing w:after="0"/>
              <w:rPr>
                <w:sz w:val="12"/>
                <w:szCs w:val="12"/>
                <w:color w:val="auto"/>
              </w:rPr>
            </w:pPr>
          </w:p>
        </w:tc>
        <w:tc>
          <w:tcPr>
            <w:tcW w:w="100" w:type="dxa"/>
            <w:vAlign w:val="bottom"/>
            <w:tcBorders>
              <w:bottom w:val="single" w:sz="8" w:color="2C2C2C"/>
            </w:tcBorders>
            <w:gridSpan w:val="2"/>
          </w:tcPr>
          <w:p>
            <w:pPr>
              <w:spacing w:after="0"/>
              <w:rPr>
                <w:sz w:val="12"/>
                <w:szCs w:val="12"/>
                <w:color w:val="auto"/>
              </w:rPr>
            </w:pPr>
          </w:p>
        </w:tc>
        <w:tc>
          <w:tcPr>
            <w:tcW w:w="1980" w:type="dxa"/>
            <w:vAlign w:val="bottom"/>
            <w:tcBorders>
              <w:bottom w:val="single" w:sz="8" w:color="2C2C2C"/>
            </w:tcBorders>
            <w:gridSpan w:val="3"/>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gridSpan w:val="2"/>
          </w:tcPr>
          <w:p>
            <w:pPr>
              <w:spacing w:after="0"/>
              <w:rPr>
                <w:sz w:val="12"/>
                <w:szCs w:val="12"/>
                <w:color w:val="auto"/>
              </w:rPr>
            </w:pPr>
          </w:p>
        </w:tc>
        <w:tc>
          <w:tcPr>
            <w:tcW w:w="298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4"/>
                <w:szCs w:val="4"/>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8"/>
            <w:vMerge w:val="continue"/>
          </w:tcPr>
          <w:p>
            <w:pPr>
              <w:spacing w:after="0"/>
              <w:rPr>
                <w:sz w:val="10"/>
                <w:szCs w:val="10"/>
                <w:color w:val="auto"/>
              </w:rPr>
            </w:pPr>
          </w:p>
        </w:tc>
        <w:tc>
          <w:tcPr>
            <w:tcW w:w="340" w:type="dxa"/>
            <w:vAlign w:val="bottom"/>
          </w:tcPr>
          <w:p>
            <w:pPr>
              <w:spacing w:after="0"/>
              <w:rPr>
                <w:sz w:val="10"/>
                <w:szCs w:val="10"/>
                <w:color w:val="auto"/>
              </w:rPr>
            </w:pPr>
          </w:p>
        </w:tc>
        <w:tc>
          <w:tcPr>
            <w:tcW w:w="342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WHITE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7"/>
              </w:rPr>
              <w:t>NY</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10601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PLAINS</w:t>
            </w:r>
          </w:p>
        </w:tc>
        <w:tc>
          <w:tcPr>
            <w:tcW w:w="84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00" w:type="dxa"/>
            <w:vAlign w:val="bottom"/>
            <w:gridSpan w:val="8"/>
            <w:vMerge w:val="restart"/>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1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280"/>
              <w:spacing w:after="0" w:line="146" w:lineRule="exact"/>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232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9"/>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GBBH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5"/>
            <w:vMerge w:val="restart"/>
          </w:tcPr>
          <w:p>
            <w:pPr>
              <w:ind w:left="760"/>
              <w:spacing w:after="0"/>
              <w:rPr>
                <w:sz w:val="20"/>
                <w:szCs w:val="20"/>
                <w:color w:val="auto"/>
              </w:rPr>
            </w:pPr>
            <w:r>
              <w:rPr>
                <w:rFonts w:ascii="Times New Roman" w:cs="Times New Roman" w:eastAsia="Times New Roman" w:hAnsi="Times New Roman"/>
                <w:sz w:val="17"/>
                <w:szCs w:val="17"/>
                <w:color w:val="0000FF"/>
              </w:rPr>
              <w:t>08/29/2022</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right"/>
              <w:ind w:right="133"/>
              <w:spacing w:after="0"/>
              <w:rPr>
                <w:sz w:val="20"/>
                <w:szCs w:val="20"/>
                <w:color w:val="auto"/>
              </w:rPr>
            </w:pPr>
            <w:r>
              <w:rPr>
                <w:rFonts w:ascii="Times New Roman" w:cs="Times New Roman" w:eastAsia="Times New Roman" w:hAnsi="Times New Roman"/>
                <w:sz w:val="17"/>
                <w:szCs w:val="17"/>
                <w:color w:val="0000FF"/>
              </w:rPr>
              <w:t>1,200</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3"/>
            <w:vMerge w:val="restart"/>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9.79</w:t>
            </w:r>
            <w:r>
              <w:rPr>
                <w:rFonts w:ascii="Times New Roman" w:cs="Times New Roman" w:eastAsia="Times New Roman" w:hAnsi="Times New Roman"/>
                <w:sz w:val="22"/>
                <w:szCs w:val="22"/>
                <w:color w:val="008000"/>
                <w:w w:val="95"/>
                <w:vertAlign w:val="superscript"/>
              </w:rPr>
              <w:t>(1)</w:t>
            </w:r>
          </w:p>
        </w:tc>
        <w:tc>
          <w:tcPr>
            <w:tcW w:w="12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4,763</w:t>
            </w:r>
          </w:p>
        </w:tc>
        <w:tc>
          <w:tcPr>
            <w:tcW w:w="360" w:type="dxa"/>
            <w:vAlign w:val="bottom"/>
          </w:tcPr>
          <w:p>
            <w:pPr>
              <w:spacing w:after="0"/>
              <w:rPr>
                <w:sz w:val="18"/>
                <w:szCs w:val="18"/>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GBBH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5"/>
            <w:vMerge w:val="restart"/>
          </w:tcPr>
          <w:p>
            <w:pPr>
              <w:ind w:left="760"/>
              <w:spacing w:after="0"/>
              <w:rPr>
                <w:sz w:val="20"/>
                <w:szCs w:val="20"/>
                <w:color w:val="auto"/>
              </w:rPr>
            </w:pPr>
            <w:r>
              <w:rPr>
                <w:rFonts w:ascii="Times New Roman" w:cs="Times New Roman" w:eastAsia="Times New Roman" w:hAnsi="Times New Roman"/>
                <w:sz w:val="17"/>
                <w:szCs w:val="17"/>
                <w:color w:val="0000FF"/>
              </w:rPr>
              <w:t>08/30/2022</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color w:val="0000FF"/>
              </w:rPr>
              <w:t>237</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3"/>
            <w:vMerge w:val="restart"/>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9.94</w:t>
            </w:r>
            <w:r>
              <w:rPr>
                <w:rFonts w:ascii="Times New Roman" w:cs="Times New Roman" w:eastAsia="Times New Roman" w:hAnsi="Times New Roman"/>
                <w:sz w:val="22"/>
                <w:szCs w:val="22"/>
                <w:color w:val="008000"/>
                <w:w w:val="95"/>
                <w:vertAlign w:val="superscript"/>
              </w:rPr>
              <w:t>(2)</w:t>
            </w:r>
          </w:p>
        </w:tc>
        <w:tc>
          <w:tcPr>
            <w:tcW w:w="12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5,000</w:t>
            </w:r>
          </w:p>
        </w:tc>
        <w:tc>
          <w:tcPr>
            <w:tcW w:w="360" w:type="dxa"/>
            <w:vAlign w:val="bottom"/>
          </w:tcPr>
          <w:p>
            <w:pPr>
              <w:spacing w:after="0"/>
              <w:rPr>
                <w:sz w:val="18"/>
                <w:szCs w:val="18"/>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4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purchase price per share. These shares were purchased in multiple tranches at prices ranging between $9.67 and $9.95. The reporting person undertakes to the Issuer or the Staff of the Securities and Exchange Commission, upon request, to provide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jc w:val="both"/>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purchase price per share. These shares were purchased in multiple tranches at prices ranging between $9.93 and $9.95. The reporting person undertakes to the Issuer or the Staff of the Securities and Exchange Commission, upon request,to provide full information regarding the number of shares purchased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s/s John Coghlin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8560"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2022-08-31T15:04:17Z</dcterms:created>
  <dcterms:modified xsi:type="dcterms:W3CDTF">2022-08-31T15:04:17Z</dcterms:modified>
</cp:coreProperties>
</file>