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664845</wp:posOffset>
            </wp:positionV>
            <wp:extent cx="714311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15875"/>
                    </a:xfrm>
                    <a:prstGeom prst="rect">
                      <a:avLst/>
                    </a:prstGeom>
                    <a:noFill/>
                  </pic:spPr>
                </pic:pic>
              </a:graphicData>
            </a:graphic>
          </wp:anchor>
        </w:drawing>
        <w:t>UNITED STATES</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84" w:lineRule="exact"/>
        <w:rPr>
          <w:sz w:val="24"/>
          <w:szCs w:val="24"/>
          <w:color w:val="auto"/>
        </w:rPr>
      </w:pPr>
    </w:p>
    <w:p>
      <w:pPr>
        <w:ind w:left="3820" w:right="2240" w:hanging="3804"/>
        <w:spacing w:after="0" w:line="406" w:lineRule="auto"/>
        <w:tabs>
          <w:tab w:leader="none" w:pos="60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2022</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200" w:lineRule="exact"/>
        <w:rPr>
          <w:sz w:val="24"/>
          <w:szCs w:val="24"/>
          <w:color w:val="auto"/>
        </w:rPr>
      </w:pPr>
    </w:p>
    <w:p>
      <w:pPr>
        <w:spacing w:after="0" w:line="226" w:lineRule="exact"/>
        <w:rPr>
          <w:sz w:val="24"/>
          <w:szCs w:val="24"/>
          <w:color w:val="auto"/>
        </w:rPr>
      </w:pPr>
    </w:p>
    <w:p>
      <w:pPr>
        <w:ind w:left="3280" w:right="2220" w:hanging="3264"/>
        <w:spacing w:after="0" w:line="406" w:lineRule="auto"/>
        <w:tabs>
          <w:tab w:leader="none" w:pos="59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_______________ to ____________</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001-40272</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OPAL FUELS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tcPr>
          <w:p>
            <w:pPr>
              <w:jc w:val="center"/>
              <w:ind w:left="217"/>
              <w:spacing w:after="0"/>
              <w:rPr>
                <w:sz w:val="20"/>
                <w:szCs w:val="20"/>
                <w:color w:val="auto"/>
              </w:rPr>
            </w:pPr>
            <w:r>
              <w:rPr>
                <w:rFonts w:ascii="Arial" w:cs="Arial" w:eastAsia="Arial" w:hAnsi="Arial"/>
                <w:sz w:val="17"/>
                <w:szCs w:val="17"/>
                <w:b w:val="1"/>
                <w:bCs w:val="1"/>
                <w:color w:val="auto"/>
                <w:w w:val="88"/>
              </w:rPr>
              <w:t>Delaware</w:t>
            </w:r>
          </w:p>
        </w:tc>
        <w:tc>
          <w:tcPr>
            <w:tcW w:w="5000" w:type="dxa"/>
            <w:vAlign w:val="bottom"/>
          </w:tcPr>
          <w:p>
            <w:pPr>
              <w:jc w:val="right"/>
              <w:ind w:right="717"/>
              <w:spacing w:after="0"/>
              <w:rPr>
                <w:sz w:val="20"/>
                <w:szCs w:val="20"/>
                <w:color w:val="auto"/>
              </w:rPr>
            </w:pPr>
            <w:r>
              <w:rPr>
                <w:rFonts w:ascii="Arial" w:cs="Arial" w:eastAsia="Arial" w:hAnsi="Arial"/>
                <w:sz w:val="17"/>
                <w:szCs w:val="17"/>
                <w:b w:val="1"/>
                <w:bCs w:val="1"/>
                <w:color w:val="auto"/>
              </w:rPr>
              <w:t>98-1578357</w:t>
            </w:r>
          </w:p>
        </w:tc>
      </w:tr>
      <w:tr>
        <w:trPr>
          <w:trHeight w:val="286"/>
        </w:trPr>
        <w:tc>
          <w:tcPr>
            <w:tcW w:w="4800" w:type="dxa"/>
            <w:vAlign w:val="bottom"/>
          </w:tcPr>
          <w:p>
            <w:pPr>
              <w:jc w:val="center"/>
              <w:ind w:left="237"/>
              <w:spacing w:after="0"/>
              <w:rPr>
                <w:sz w:val="20"/>
                <w:szCs w:val="20"/>
                <w:color w:val="auto"/>
              </w:rPr>
            </w:pPr>
            <w:r>
              <w:rPr>
                <w:rFonts w:ascii="Arial" w:cs="Arial" w:eastAsia="Arial" w:hAnsi="Arial"/>
                <w:sz w:val="17"/>
                <w:szCs w:val="17"/>
                <w:color w:val="auto"/>
                <w:w w:val="90"/>
              </w:rPr>
              <w:t>(State or other jurisdiction of incorporation or organization)</w:t>
            </w:r>
          </w:p>
        </w:tc>
        <w:tc>
          <w:tcPr>
            <w:tcW w:w="5000" w:type="dxa"/>
            <w:vAlign w:val="bottom"/>
          </w:tcPr>
          <w:p>
            <w:pPr>
              <w:jc w:val="center"/>
              <w:ind w:left="2517"/>
              <w:spacing w:after="0"/>
              <w:rPr>
                <w:sz w:val="20"/>
                <w:szCs w:val="20"/>
                <w:color w:val="auto"/>
              </w:rPr>
            </w:pPr>
            <w:r>
              <w:rPr>
                <w:rFonts w:ascii="Arial" w:cs="Arial" w:eastAsia="Arial" w:hAnsi="Arial"/>
                <w:sz w:val="17"/>
                <w:szCs w:val="17"/>
                <w:color w:val="auto"/>
                <w:w w:val="91"/>
              </w:rPr>
              <w:t>(I.R.S. Employer Identification No.)</w:t>
            </w:r>
          </w:p>
        </w:tc>
      </w:tr>
      <w:tr>
        <w:trPr>
          <w:trHeight w:val="348"/>
        </w:trPr>
        <w:tc>
          <w:tcPr>
            <w:tcW w:w="4800" w:type="dxa"/>
            <w:vAlign w:val="bottom"/>
          </w:tcPr>
          <w:p>
            <w:pPr>
              <w:jc w:val="center"/>
              <w:ind w:left="217"/>
              <w:spacing w:after="0"/>
              <w:rPr>
                <w:sz w:val="20"/>
                <w:szCs w:val="20"/>
                <w:color w:val="auto"/>
              </w:rPr>
            </w:pPr>
            <w:r>
              <w:rPr>
                <w:rFonts w:ascii="Arial" w:cs="Arial" w:eastAsia="Arial" w:hAnsi="Arial"/>
                <w:sz w:val="17"/>
                <w:szCs w:val="17"/>
                <w:b w:val="1"/>
                <w:bCs w:val="1"/>
                <w:color w:val="auto"/>
                <w:w w:val="88"/>
              </w:rPr>
              <w:t>One North Lexington Avenue, Suite 1450</w:t>
            </w:r>
          </w:p>
        </w:tc>
        <w:tc>
          <w:tcPr>
            <w:tcW w:w="5000" w:type="dxa"/>
            <w:vAlign w:val="bottom"/>
          </w:tcPr>
          <w:p>
            <w:pPr>
              <w:spacing w:after="0"/>
              <w:rPr>
                <w:sz w:val="24"/>
                <w:szCs w:val="24"/>
                <w:color w:val="auto"/>
              </w:rPr>
            </w:pPr>
          </w:p>
        </w:tc>
      </w:tr>
      <w:tr>
        <w:trPr>
          <w:trHeight w:val="360"/>
        </w:trPr>
        <w:tc>
          <w:tcPr>
            <w:tcW w:w="4800" w:type="dxa"/>
            <w:vAlign w:val="bottom"/>
          </w:tcPr>
          <w:p>
            <w:pPr>
              <w:jc w:val="center"/>
              <w:ind w:left="217"/>
              <w:spacing w:after="0"/>
              <w:rPr>
                <w:sz w:val="20"/>
                <w:szCs w:val="20"/>
                <w:color w:val="auto"/>
              </w:rPr>
            </w:pPr>
            <w:r>
              <w:rPr>
                <w:rFonts w:ascii="Arial" w:cs="Arial" w:eastAsia="Arial" w:hAnsi="Arial"/>
                <w:sz w:val="17"/>
                <w:szCs w:val="17"/>
                <w:b w:val="1"/>
                <w:bCs w:val="1"/>
                <w:color w:val="auto"/>
                <w:w w:val="90"/>
              </w:rPr>
              <w:t>White Plains, New York</w:t>
            </w:r>
          </w:p>
        </w:tc>
        <w:tc>
          <w:tcPr>
            <w:tcW w:w="5000" w:type="dxa"/>
            <w:vAlign w:val="bottom"/>
          </w:tcPr>
          <w:p>
            <w:pPr>
              <w:jc w:val="right"/>
              <w:ind w:right="897"/>
              <w:spacing w:after="0"/>
              <w:rPr>
                <w:sz w:val="20"/>
                <w:szCs w:val="20"/>
                <w:color w:val="auto"/>
              </w:rPr>
            </w:pPr>
            <w:r>
              <w:rPr>
                <w:rFonts w:ascii="Arial" w:cs="Arial" w:eastAsia="Arial" w:hAnsi="Arial"/>
                <w:sz w:val="17"/>
                <w:szCs w:val="17"/>
                <w:b w:val="1"/>
                <w:bCs w:val="1"/>
                <w:color w:val="auto"/>
              </w:rPr>
              <w:t>10601</w:t>
            </w:r>
          </w:p>
        </w:tc>
      </w:tr>
      <w:tr>
        <w:trPr>
          <w:trHeight w:val="273"/>
        </w:trPr>
        <w:tc>
          <w:tcPr>
            <w:tcW w:w="4800" w:type="dxa"/>
            <w:vAlign w:val="bottom"/>
          </w:tcPr>
          <w:p>
            <w:pPr>
              <w:spacing w:after="0"/>
              <w:rPr>
                <w:sz w:val="20"/>
                <w:szCs w:val="20"/>
                <w:color w:val="auto"/>
              </w:rPr>
            </w:pPr>
            <w:r>
              <w:rPr>
                <w:rFonts w:ascii="Arial" w:cs="Arial" w:eastAsia="Arial" w:hAnsi="Arial"/>
                <w:sz w:val="17"/>
                <w:szCs w:val="17"/>
                <w:color w:val="auto"/>
              </w:rPr>
              <w:t>(Address of principal executive offices)</w:t>
            </w:r>
          </w:p>
        </w:tc>
        <w:tc>
          <w:tcPr>
            <w:tcW w:w="5000" w:type="dxa"/>
            <w:vAlign w:val="bottom"/>
          </w:tcPr>
          <w:p>
            <w:pPr>
              <w:jc w:val="center"/>
              <w:ind w:left="2537"/>
              <w:spacing w:after="0"/>
              <w:rPr>
                <w:sz w:val="20"/>
                <w:szCs w:val="20"/>
                <w:color w:val="auto"/>
              </w:rPr>
            </w:pPr>
            <w:r>
              <w:rPr>
                <w:rFonts w:ascii="Arial" w:cs="Arial" w:eastAsia="Arial" w:hAnsi="Arial"/>
                <w:sz w:val="17"/>
                <w:szCs w:val="17"/>
                <w:color w:val="auto"/>
                <w:w w:val="92"/>
              </w:rPr>
              <w:t>(Zip Code)</w:t>
            </w:r>
          </w:p>
        </w:tc>
      </w:tr>
      <w:tr>
        <w:trPr>
          <w:trHeight w:val="311"/>
        </w:trPr>
        <w:tc>
          <w:tcPr>
            <w:tcW w:w="4800" w:type="dxa"/>
            <w:vAlign w:val="bottom"/>
          </w:tcPr>
          <w:p>
            <w:pPr>
              <w:spacing w:after="0"/>
              <w:rPr>
                <w:sz w:val="24"/>
                <w:szCs w:val="24"/>
                <w:color w:val="auto"/>
              </w:rPr>
            </w:pPr>
          </w:p>
        </w:tc>
        <w:tc>
          <w:tcPr>
            <w:tcW w:w="5000" w:type="dxa"/>
            <w:vAlign w:val="bottom"/>
          </w:tcPr>
          <w:p>
            <w:pPr>
              <w:jc w:val="right"/>
              <w:ind w:right="3617"/>
              <w:spacing w:after="0"/>
              <w:rPr>
                <w:sz w:val="20"/>
                <w:szCs w:val="20"/>
                <w:color w:val="auto"/>
              </w:rPr>
            </w:pPr>
            <w:r>
              <w:rPr>
                <w:rFonts w:ascii="Arial" w:cs="Arial" w:eastAsia="Arial" w:hAnsi="Arial"/>
                <w:sz w:val="17"/>
                <w:szCs w:val="17"/>
                <w:b w:val="1"/>
                <w:bCs w:val="1"/>
                <w:color w:val="auto"/>
              </w:rPr>
              <w:t>(914) 705-4000</w:t>
            </w:r>
          </w:p>
        </w:tc>
      </w:tr>
    </w:tbl>
    <w:p>
      <w:pPr>
        <w:jc w:val="center"/>
        <w:ind w:right="2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Class A Common Stock, par value $0.0001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OPAL</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The Nasdaq Stock Market LLC</w:t>
            </w:r>
          </w:p>
        </w:tc>
      </w:tr>
      <w:tr>
        <w:trPr>
          <w:trHeight w:val="185"/>
        </w:trPr>
        <w:tc>
          <w:tcPr>
            <w:tcW w:w="3900" w:type="dxa"/>
            <w:vAlign w:val="bottom"/>
            <w:tcBorders>
              <w:left w:val="single" w:sz="8" w:color="auto"/>
              <w:right w:val="single" w:sz="8" w:color="auto"/>
            </w:tcBorders>
          </w:tcPr>
          <w:p>
            <w:pPr>
              <w:ind w:left="20"/>
              <w:spacing w:after="0" w:line="185" w:lineRule="exact"/>
              <w:rPr>
                <w:sz w:val="20"/>
                <w:szCs w:val="20"/>
                <w:color w:val="auto"/>
              </w:rPr>
            </w:pPr>
            <w:r>
              <w:rPr>
                <w:rFonts w:ascii="Arial" w:cs="Arial" w:eastAsia="Arial" w:hAnsi="Arial"/>
                <w:sz w:val="17"/>
                <w:szCs w:val="17"/>
                <w:color w:val="auto"/>
                <w:w w:val="91"/>
              </w:rPr>
              <w:t>Redeemable Warrants, each whole warrant exercisable</w:t>
            </w:r>
          </w:p>
        </w:tc>
        <w:tc>
          <w:tcPr>
            <w:tcW w:w="2400" w:type="dxa"/>
            <w:vAlign w:val="bottom"/>
            <w:tcBorders>
              <w:right w:val="single" w:sz="8" w:color="auto"/>
            </w:tcBorders>
          </w:tcPr>
          <w:p>
            <w:pPr>
              <w:spacing w:after="0"/>
              <w:rPr>
                <w:sz w:val="16"/>
                <w:szCs w:val="16"/>
                <w:color w:val="auto"/>
              </w:rPr>
            </w:pPr>
          </w:p>
        </w:tc>
        <w:tc>
          <w:tcPr>
            <w:tcW w:w="4960" w:type="dxa"/>
            <w:vAlign w:val="bottom"/>
            <w:tcBorders>
              <w:right w:val="single" w:sz="8" w:color="auto"/>
            </w:tcBorders>
          </w:tcPr>
          <w:p>
            <w:pPr>
              <w:spacing w:after="0"/>
              <w:rPr>
                <w:sz w:val="16"/>
                <w:szCs w:val="16"/>
                <w:color w:val="auto"/>
              </w:rPr>
            </w:pPr>
          </w:p>
        </w:tc>
      </w:tr>
      <w:tr>
        <w:trPr>
          <w:trHeight w:val="186"/>
        </w:trPr>
        <w:tc>
          <w:tcPr>
            <w:tcW w:w="390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7"/>
                <w:szCs w:val="17"/>
                <w:color w:val="auto"/>
                <w:w w:val="92"/>
              </w:rPr>
              <w:t>for one share of Class A Common Stock at an exercise</w:t>
            </w:r>
          </w:p>
        </w:tc>
        <w:tc>
          <w:tcPr>
            <w:tcW w:w="24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OPALW</w:t>
            </w:r>
          </w:p>
        </w:tc>
        <w:tc>
          <w:tcPr>
            <w:tcW w:w="4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The Nasdaq Stock Market LLC</w:t>
            </w:r>
          </w:p>
        </w:tc>
      </w:tr>
      <w:tr>
        <w:trPr>
          <w:trHeight w:val="212"/>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price of $11.50 per share</w:t>
            </w:r>
          </w:p>
        </w:tc>
        <w:tc>
          <w:tcPr>
            <w:tcW w:w="24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r>
      <w:tr>
        <w:trPr>
          <w:trHeight w:val="25"/>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298" w:lineRule="exact"/>
        <w:rPr>
          <w:sz w:val="24"/>
          <w:szCs w:val="24"/>
          <w:color w:val="auto"/>
        </w:rPr>
      </w:pPr>
    </w:p>
    <w:p>
      <w:pPr>
        <w:ind w:right="200"/>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5" w:lineRule="exact"/>
        <w:rPr>
          <w:sz w:val="24"/>
          <w:szCs w:val="24"/>
          <w:color w:val="auto"/>
        </w:rPr>
      </w:pPr>
    </w:p>
    <w:p>
      <w:pPr>
        <w:ind w:right="20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4" w:lineRule="exact"/>
        <w:rPr>
          <w:sz w:val="24"/>
          <w:szCs w:val="24"/>
          <w:color w:val="auto"/>
        </w:rPr>
      </w:pPr>
    </w:p>
    <w:p>
      <w:pPr>
        <w:jc w:val="both"/>
        <w:ind w:right="20"/>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540385</wp:posOffset>
            </wp:positionV>
            <wp:extent cx="71685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20" w:top="1344" w:right="319" w:bottom="1440" w:gutter="0" w:footer="0" w:header="0"/>
        </w:sectPr>
      </w:pPr>
    </w:p>
    <w:bookmarkStart w:id="1" w:name="page2"/>
    <w:bookmarkEnd w:id="1"/>
    <w:tbl>
      <w:tblPr>
        <w:tblLayout w:type="fixed"/>
        <w:tblInd w:w="840" w:type="dxa"/>
        <w:tblCellMar>
          <w:top w:w="0" w:type="dxa"/>
          <w:left w:w="0" w:type="dxa"/>
          <w:bottom w:w="0" w:type="dxa"/>
          <w:right w:w="0" w:type="dxa"/>
        </w:tblCellMar>
      </w:tblPr>
      <w:tr>
        <w:trPr>
          <w:trHeight w:val="231"/>
        </w:trPr>
        <w:tc>
          <w:tcPr>
            <w:tcW w:w="2140" w:type="dxa"/>
            <w:vAlign w:val="bottom"/>
          </w:tcPr>
          <w:p>
            <w:pPr>
              <w:jc w:val="center"/>
              <w:ind w:right="577"/>
              <w:spacing w:after="0"/>
              <w:rPr>
                <w:sz w:val="20"/>
                <w:szCs w:val="20"/>
                <w:color w:val="auto"/>
              </w:rPr>
            </w:pPr>
            <w:r>
              <w:rPr>
                <w:rFonts w:ascii="Arial" w:cs="Arial" w:eastAsia="Arial" w:hAnsi="Arial"/>
                <w:sz w:val="17"/>
                <w:szCs w:val="17"/>
                <w:color w:val="auto"/>
                <w:w w:val="87"/>
              </w:rPr>
              <w:t>Large accelerated filer</w:t>
            </w:r>
          </w:p>
        </w:tc>
        <w:tc>
          <w:tcPr>
            <w:tcW w:w="13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140" w:type="dxa"/>
            <w:vAlign w:val="bottom"/>
          </w:tcPr>
          <w:p>
            <w:pPr>
              <w:ind w:left="600"/>
              <w:spacing w:after="0"/>
              <w:rPr>
                <w:sz w:val="20"/>
                <w:szCs w:val="20"/>
                <w:color w:val="auto"/>
              </w:rPr>
            </w:pPr>
            <w:r>
              <w:rPr>
                <w:rFonts w:ascii="Arial" w:cs="Arial" w:eastAsia="Arial" w:hAnsi="Arial"/>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7"/>
        </w:trPr>
        <w:tc>
          <w:tcPr>
            <w:tcW w:w="2140" w:type="dxa"/>
            <w:vAlign w:val="bottom"/>
          </w:tcPr>
          <w:p>
            <w:pPr>
              <w:jc w:val="center"/>
              <w:ind w:right="597"/>
              <w:spacing w:after="0"/>
              <w:rPr>
                <w:sz w:val="20"/>
                <w:szCs w:val="20"/>
                <w:color w:val="auto"/>
              </w:rPr>
            </w:pPr>
            <w:r>
              <w:rPr>
                <w:rFonts w:ascii="Arial" w:cs="Arial" w:eastAsia="Arial" w:hAnsi="Arial"/>
                <w:sz w:val="17"/>
                <w:szCs w:val="17"/>
                <w:color w:val="auto"/>
                <w:w w:val="90"/>
              </w:rPr>
              <w:t>Non-accelerated filer</w:t>
            </w:r>
          </w:p>
        </w:tc>
        <w:tc>
          <w:tcPr>
            <w:tcW w:w="13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140" w:type="dxa"/>
            <w:vAlign w:val="bottom"/>
          </w:tcPr>
          <w:p>
            <w:pPr>
              <w:ind w:left="600"/>
              <w:spacing w:after="0"/>
              <w:rPr>
                <w:sz w:val="20"/>
                <w:szCs w:val="20"/>
                <w:color w:val="auto"/>
              </w:rPr>
            </w:pPr>
            <w:r>
              <w:rPr>
                <w:rFonts w:ascii="Arial" w:cs="Arial" w:eastAsia="Arial" w:hAnsi="Arial"/>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6"/>
        </w:trPr>
        <w:tc>
          <w:tcPr>
            <w:tcW w:w="2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7"/>
                <w:szCs w:val="17"/>
                <w:color w:val="auto"/>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23"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71" w:lineRule="exact"/>
        <w:rPr>
          <w:sz w:val="20"/>
          <w:szCs w:val="20"/>
          <w:color w:val="auto"/>
        </w:rPr>
      </w:pP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tabs>
          <w:tab w:leader="none" w:pos="7700" w:val="left"/>
          <w:tab w:leader="none" w:pos="8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November 11, 2022</w:t>
      </w:r>
      <w:r>
        <w:rPr>
          <w:rFonts w:ascii="Arial" w:cs="Arial" w:eastAsia="Arial" w:hAnsi="Arial"/>
          <w:sz w:val="19"/>
          <w:szCs w:val="19"/>
          <w:color w:val="auto"/>
        </w:rPr>
        <w:t>,</w:t>
      </w:r>
      <w:r>
        <w:rPr>
          <w:rFonts w:ascii="Arial" w:cs="Arial" w:eastAsia="Arial" w:hAnsi="Arial"/>
          <w:sz w:val="17"/>
          <w:szCs w:val="17"/>
          <w:color w:val="auto"/>
        </w:rPr>
        <w:t xml:space="preserve"> a total of 25,671,390 shares of Class A common stock, par value $0.0001 per share, and 144,399,037 shares of Class D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892175</wp:posOffset>
            </wp:positionV>
            <wp:extent cx="71685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71431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 w:name="page3"/>
    <w:bookmarkEnd w:id="2"/>
    <w:p>
      <w:pPr>
        <w:ind w:left="1"/>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9" w:lineRule="exact"/>
        <w:rPr>
          <w:sz w:val="20"/>
          <w:szCs w:val="20"/>
          <w:color w:val="auto"/>
        </w:rPr>
      </w:pPr>
    </w:p>
    <w:p>
      <w:pPr>
        <w:jc w:val="both"/>
        <w:ind w:left="1" w:firstLine="597"/>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federal securities laws.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4" w:lineRule="exact"/>
        <w:rPr>
          <w:sz w:val="20"/>
          <w:szCs w:val="20"/>
          <w:color w:val="auto"/>
        </w:rPr>
      </w:pPr>
    </w:p>
    <w:p>
      <w:pPr>
        <w:ind w:left="1" w:right="260" w:hanging="1"/>
        <w:spacing w:after="0" w:line="235"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realize the benefits of the Business Combination (as defined herein), which may be affected by, among other things, competition, our ability to grow and manage growth profitably, maintain relationships with customers and suppliers and retain key employees;</w:t>
      </w:r>
    </w:p>
    <w:p>
      <w:pPr>
        <w:spacing w:after="0" w:line="212" w:lineRule="exact"/>
        <w:rPr>
          <w:rFonts w:ascii="Arial" w:cs="Arial" w:eastAsia="Arial" w:hAnsi="Arial"/>
          <w:sz w:val="17"/>
          <w:szCs w:val="17"/>
          <w:color w:val="auto"/>
        </w:rPr>
      </w:pPr>
    </w:p>
    <w:p>
      <w:pPr>
        <w:ind w:left="261" w:hanging="261"/>
        <w:spacing w:after="0"/>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our principal officers, key employees or directors;</w:t>
      </w:r>
    </w:p>
    <w:p>
      <w:pPr>
        <w:spacing w:after="0" w:line="4" w:lineRule="exact"/>
        <w:rPr>
          <w:rFonts w:ascii="Arial" w:cs="Arial" w:eastAsia="Arial" w:hAnsi="Arial"/>
          <w:sz w:val="17"/>
          <w:szCs w:val="17"/>
          <w:color w:val="auto"/>
        </w:rPr>
      </w:pPr>
    </w:p>
    <w:p>
      <w:pPr>
        <w:ind w:left="261" w:hanging="261"/>
        <w:spacing w:after="0"/>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intense competition and competitive pressures from other companies in the industry in which we operate;</w:t>
      </w:r>
    </w:p>
    <w:p>
      <w:pPr>
        <w:spacing w:after="0" w:line="200" w:lineRule="exact"/>
        <w:rPr>
          <w:rFonts w:ascii="Arial" w:cs="Arial" w:eastAsia="Arial" w:hAnsi="Arial"/>
          <w:sz w:val="17"/>
          <w:szCs w:val="17"/>
          <w:color w:val="auto"/>
        </w:rPr>
      </w:pPr>
    </w:p>
    <w:p>
      <w:pPr>
        <w:ind w:left="1" w:right="100" w:hanging="1"/>
        <w:spacing w:after="0" w:line="264"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179" w:lineRule="exact"/>
        <w:rPr>
          <w:rFonts w:ascii="Arial" w:cs="Arial" w:eastAsia="Arial" w:hAnsi="Arial"/>
          <w:sz w:val="17"/>
          <w:szCs w:val="17"/>
          <w:color w:val="auto"/>
        </w:rPr>
      </w:pPr>
    </w:p>
    <w:p>
      <w:pPr>
        <w:ind w:left="261" w:hanging="261"/>
        <w:spacing w:after="0"/>
        <w:tabs>
          <w:tab w:leader="none" w:pos="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factors relating to our business, operations and financial performance, including market conditions and global and economic factors beyond our control;</w:t>
      </w:r>
    </w:p>
    <w:p>
      <w:pPr>
        <w:spacing w:after="0" w:line="226" w:lineRule="exact"/>
        <w:rPr>
          <w:rFonts w:ascii="Arial" w:cs="Arial" w:eastAsia="Arial" w:hAnsi="Arial"/>
          <w:sz w:val="16"/>
          <w:szCs w:val="16"/>
          <w:color w:val="auto"/>
        </w:rPr>
      </w:pPr>
    </w:p>
    <w:p>
      <w:pPr>
        <w:ind w:left="261" w:hanging="261"/>
        <w:spacing w:after="0"/>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macroeconomic conditions related to the global COVID-19 pandemic;</w:t>
      </w:r>
    </w:p>
    <w:p>
      <w:pPr>
        <w:spacing w:after="0" w:line="16" w:lineRule="exact"/>
        <w:rPr>
          <w:rFonts w:ascii="Arial" w:cs="Arial" w:eastAsia="Arial" w:hAnsi="Arial"/>
          <w:sz w:val="17"/>
          <w:szCs w:val="17"/>
          <w:color w:val="auto"/>
        </w:rPr>
      </w:pPr>
    </w:p>
    <w:p>
      <w:pPr>
        <w:ind w:left="261" w:hanging="261"/>
        <w:spacing w:after="0" w:line="230"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reduction or elimination of government economic incentives to the renewable energy market;</w:t>
      </w:r>
    </w:p>
    <w:p>
      <w:pPr>
        <w:jc w:val="both"/>
        <w:ind w:left="1" w:hanging="1"/>
        <w:spacing w:after="0" w:line="232" w:lineRule="auto"/>
        <w:tabs>
          <w:tab w:leader="none" w:pos="393"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spacing w:after="0" w:line="2" w:lineRule="exact"/>
        <w:rPr>
          <w:rFonts w:ascii="Arial" w:cs="Arial" w:eastAsia="Arial" w:hAnsi="Arial"/>
          <w:sz w:val="17"/>
          <w:szCs w:val="17"/>
          <w:color w:val="auto"/>
        </w:rPr>
      </w:pPr>
    </w:p>
    <w:p>
      <w:pPr>
        <w:ind w:left="261" w:hanging="261"/>
        <w:spacing w:after="0"/>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identify, acquire, develop and operate renewable projects and fueling stations ("Fueling Stations");</w:t>
      </w:r>
    </w:p>
    <w:p>
      <w:pPr>
        <w:spacing w:after="0" w:line="2" w:lineRule="exact"/>
        <w:rPr>
          <w:rFonts w:ascii="Arial" w:cs="Arial" w:eastAsia="Arial" w:hAnsi="Arial"/>
          <w:sz w:val="17"/>
          <w:szCs w:val="17"/>
          <w:color w:val="auto"/>
        </w:rPr>
      </w:pPr>
    </w:p>
    <w:p>
      <w:pPr>
        <w:ind w:left="261" w:hanging="261"/>
        <w:spacing w:after="0" w:line="230"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issue equity or equity-linked securities or obtain debt financing;</w:t>
      </w:r>
    </w:p>
    <w:p>
      <w:pPr>
        <w:ind w:left="261" w:hanging="261"/>
        <w:spacing w:after="0" w:line="228"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renewable energy not being sustained;</w:t>
      </w:r>
    </w:p>
    <w:p>
      <w:pPr>
        <w:ind w:left="261" w:hanging="261"/>
        <w:spacing w:after="0"/>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impacts of climate change, changing weather patterns and conditions and natural disasters;</w:t>
      </w:r>
    </w:p>
    <w:p>
      <w:pPr>
        <w:spacing w:after="0" w:line="2" w:lineRule="exact"/>
        <w:rPr>
          <w:rFonts w:ascii="Arial" w:cs="Arial" w:eastAsia="Arial" w:hAnsi="Arial"/>
          <w:sz w:val="17"/>
          <w:szCs w:val="17"/>
          <w:color w:val="auto"/>
        </w:rPr>
      </w:pPr>
    </w:p>
    <w:p>
      <w:pPr>
        <w:ind w:left="261" w:hanging="261"/>
        <w:spacing w:after="0" w:line="230"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legal, tax and regulatory changes; and</w:t>
      </w:r>
    </w:p>
    <w:p>
      <w:pPr>
        <w:ind w:left="261" w:hanging="261"/>
        <w:spacing w:after="0" w:line="228"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detailed under the section entitled “Risk Factors.”</w:t>
      </w:r>
    </w:p>
    <w:p>
      <w:pPr>
        <w:spacing w:after="0" w:line="1" w:lineRule="exact"/>
        <w:rPr>
          <w:sz w:val="20"/>
          <w:szCs w:val="20"/>
          <w:color w:val="auto"/>
        </w:rPr>
      </w:pPr>
    </w:p>
    <w:p>
      <w:pPr>
        <w:jc w:val="both"/>
        <w:ind w:left="1" w:firstLine="597"/>
        <w:spacing w:after="0" w:line="293" w:lineRule="auto"/>
        <w:rPr>
          <w:sz w:val="20"/>
          <w:szCs w:val="20"/>
          <w:color w:val="auto"/>
        </w:rPr>
      </w:pPr>
      <w:r>
        <w:rPr>
          <w:rFonts w:ascii="Arial" w:cs="Arial" w:eastAsia="Arial" w:hAnsi="Arial"/>
          <w:sz w:val="14"/>
          <w:szCs w:val="14"/>
          <w:color w:val="auto"/>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494030</wp:posOffset>
            </wp:positionV>
            <wp:extent cx="716851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5"/>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20" w:type="dxa"/>
            <w:vAlign w:val="bottom"/>
            <w:tcBorders>
              <w:bottom w:val="single" w:sz="8" w:color="auto"/>
            </w:tcBorders>
            <w:gridSpan w:val="3"/>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9"/>
              </w:rPr>
              <w:t>PART I. FINANCIAL INFORMATION</w:t>
            </w:r>
          </w:p>
        </w:tc>
        <w:tc>
          <w:tcPr>
            <w:tcW w:w="3660" w:type="dxa"/>
            <w:vAlign w:val="bottom"/>
            <w:tcBorders>
              <w:bottom w:val="single" w:sz="8" w:color="CCEEFF"/>
            </w:tcBorders>
            <w:gridSpan w:val="6"/>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Arial" w:cs="Arial" w:eastAsia="Arial" w:hAnsi="Arial"/>
                <w:sz w:val="17"/>
                <w:szCs w:val="17"/>
                <w:color w:val="auto"/>
              </w:rPr>
              <w:t>ITEM 1.</w:t>
            </w:r>
          </w:p>
        </w:tc>
        <w:tc>
          <w:tcPr>
            <w:tcW w:w="8940" w:type="dxa"/>
            <w:vAlign w:val="bottom"/>
            <w:gridSpan w:val="12"/>
          </w:tcPr>
          <w:p>
            <w:pPr>
              <w:spacing w:after="0" w:line="174" w:lineRule="exact"/>
              <w:rPr>
                <w:sz w:val="20"/>
                <w:szCs w:val="20"/>
                <w:color w:val="auto"/>
              </w:rPr>
            </w:pPr>
            <w:r>
              <w:rPr>
                <w:rFonts w:ascii="Arial" w:cs="Arial" w:eastAsia="Arial" w:hAnsi="Arial"/>
                <w:sz w:val="17"/>
                <w:szCs w:val="17"/>
                <w:color w:val="auto"/>
              </w:rPr>
              <w:t>FINANCIAL STATEMENTS</w:t>
            </w:r>
          </w:p>
        </w:tc>
        <w:tc>
          <w:tcPr>
            <w:tcW w:w="580" w:type="dxa"/>
            <w:vAlign w:val="bottom"/>
            <w:gridSpan w:val="3"/>
          </w:tcPr>
          <w:p>
            <w:pPr>
              <w:jc w:val="center"/>
              <w:ind w:left="417"/>
              <w:spacing w:after="0" w:line="174" w:lineRule="exact"/>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780" w:type="dxa"/>
            <w:vAlign w:val="bottom"/>
            <w:gridSpan w:val="4"/>
            <w:shd w:val="clear" w:color="auto" w:fill="CCEEFF"/>
          </w:tcPr>
          <w:p>
            <w:pPr>
              <w:spacing w:after="0" w:line="183" w:lineRule="exact"/>
              <w:rPr>
                <w:sz w:val="20"/>
                <w:szCs w:val="20"/>
                <w:color w:val="auto"/>
              </w:rPr>
            </w:pPr>
            <w:r>
              <w:rPr>
                <w:rFonts w:ascii="Arial" w:cs="Arial" w:eastAsia="Arial" w:hAnsi="Arial"/>
                <w:sz w:val="17"/>
                <w:szCs w:val="17"/>
                <w:color w:val="auto"/>
                <w:w w:val="92"/>
              </w:rPr>
              <w:t>CONDENSED CONSOLIDATED BALANCE SHEETS</w:t>
            </w:r>
          </w:p>
        </w:tc>
        <w:tc>
          <w:tcPr>
            <w:tcW w:w="5160" w:type="dxa"/>
            <w:vAlign w:val="bottom"/>
            <w:gridSpan w:val="8"/>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center"/>
              <w:ind w:right="300"/>
              <w:spacing w:after="0" w:line="183" w:lineRule="exact"/>
              <w:rPr>
                <w:sz w:val="20"/>
                <w:szCs w:val="20"/>
                <w:color w:val="auto"/>
              </w:rPr>
            </w:pPr>
            <w:r>
              <w:rPr>
                <w:rFonts w:ascii="Arial" w:cs="Arial" w:eastAsia="Arial" w:hAnsi="Arial"/>
                <w:sz w:val="17"/>
                <w:szCs w:val="17"/>
                <w:color w:val="auto"/>
                <w:w w:val="86"/>
              </w:rPr>
              <w:t>F-1</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940" w:type="dxa"/>
            <w:vAlign w:val="bottom"/>
            <w:gridSpan w:val="12"/>
          </w:tcPr>
          <w:p>
            <w:pPr>
              <w:spacing w:after="0" w:line="174" w:lineRule="exact"/>
              <w:rPr>
                <w:sz w:val="20"/>
                <w:szCs w:val="20"/>
                <w:color w:val="auto"/>
              </w:rPr>
            </w:pPr>
            <w:r>
              <w:rPr>
                <w:rFonts w:ascii="Arial" w:cs="Arial" w:eastAsia="Arial" w:hAnsi="Arial"/>
                <w:sz w:val="17"/>
                <w:szCs w:val="17"/>
                <w:color w:val="auto"/>
              </w:rPr>
              <w:t>CONDENSED CONSOLIDATED STATEMENTS OF OPERATIONS</w:t>
            </w:r>
          </w:p>
        </w:tc>
        <w:tc>
          <w:tcPr>
            <w:tcW w:w="320" w:type="dxa"/>
            <w:vAlign w:val="bottom"/>
          </w:tcPr>
          <w:p>
            <w:pPr>
              <w:spacing w:after="0"/>
              <w:rPr>
                <w:sz w:val="15"/>
                <w:szCs w:val="15"/>
                <w:color w:val="auto"/>
              </w:rPr>
            </w:pPr>
          </w:p>
        </w:tc>
        <w:tc>
          <w:tcPr>
            <w:tcW w:w="760" w:type="dxa"/>
            <w:vAlign w:val="bottom"/>
            <w:gridSpan w:val="5"/>
          </w:tcPr>
          <w:p>
            <w:pPr>
              <w:jc w:val="center"/>
              <w:ind w:right="300"/>
              <w:spacing w:after="0" w:line="174" w:lineRule="exact"/>
              <w:rPr>
                <w:sz w:val="20"/>
                <w:szCs w:val="20"/>
                <w:color w:val="auto"/>
              </w:rPr>
            </w:pPr>
            <w:r>
              <w:rPr>
                <w:rFonts w:ascii="Arial" w:cs="Arial" w:eastAsia="Arial" w:hAnsi="Arial"/>
                <w:sz w:val="17"/>
                <w:szCs w:val="17"/>
                <w:color w:val="auto"/>
                <w:w w:val="86"/>
              </w:rPr>
              <w:t>F-3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940" w:type="dxa"/>
            <w:vAlign w:val="bottom"/>
            <w:gridSpan w:val="12"/>
            <w:shd w:val="clear" w:color="auto" w:fill="CCEEFF"/>
          </w:tcPr>
          <w:p>
            <w:pPr>
              <w:spacing w:after="0" w:line="183" w:lineRule="exact"/>
              <w:rPr>
                <w:sz w:val="20"/>
                <w:szCs w:val="20"/>
                <w:color w:val="auto"/>
              </w:rPr>
            </w:pPr>
            <w:r>
              <w:rPr>
                <w:rFonts w:ascii="Arial" w:cs="Arial" w:eastAsia="Arial" w:hAnsi="Arial"/>
                <w:sz w:val="17"/>
                <w:szCs w:val="17"/>
                <w:color w:val="auto"/>
              </w:rPr>
              <w:t>CONDENSED CONSOLIDATED STATEMENTS OF CHANGES IN REDEEMABLE NON-CONTROLLING INTEREST,</w:t>
            </w:r>
          </w:p>
        </w:tc>
        <w:tc>
          <w:tcPr>
            <w:tcW w:w="320" w:type="dxa"/>
            <w:vAlign w:val="bottom"/>
            <w:shd w:val="clear" w:color="auto" w:fill="CCEEFF"/>
          </w:tcPr>
          <w:p>
            <w:pPr>
              <w:spacing w:after="0"/>
              <w:rPr>
                <w:sz w:val="15"/>
                <w:szCs w:val="15"/>
                <w:color w:val="auto"/>
              </w:rPr>
            </w:pPr>
          </w:p>
        </w:tc>
        <w:tc>
          <w:tcPr>
            <w:tcW w:w="760" w:type="dxa"/>
            <w:vAlign w:val="bottom"/>
            <w:gridSpan w:val="5"/>
            <w:vMerge w:val="restart"/>
            <w:shd w:val="clear" w:color="auto" w:fill="CCEEFF"/>
          </w:tcPr>
          <w:p>
            <w:pPr>
              <w:jc w:val="center"/>
              <w:ind w:right="300"/>
              <w:spacing w:after="0"/>
              <w:rPr>
                <w:sz w:val="20"/>
                <w:szCs w:val="20"/>
                <w:color w:val="auto"/>
              </w:rPr>
            </w:pPr>
            <w:r>
              <w:rPr>
                <w:rFonts w:ascii="Arial" w:cs="Arial" w:eastAsia="Arial" w:hAnsi="Arial"/>
                <w:sz w:val="17"/>
                <w:szCs w:val="17"/>
                <w:color w:val="auto"/>
                <w:w w:val="86"/>
              </w:rPr>
              <w:t>F-5</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auto"/>
            </w:tcBorders>
            <w:gridSpan w:val="11"/>
            <w:shd w:val="clear" w:color="auto" w:fill="CCEEFF"/>
          </w:tcPr>
          <w:p>
            <w:pPr>
              <w:spacing w:after="0" w:line="154" w:lineRule="exact"/>
              <w:rPr>
                <w:sz w:val="20"/>
                <w:szCs w:val="20"/>
                <w:color w:val="auto"/>
              </w:rPr>
            </w:pPr>
            <w:r>
              <w:rPr>
                <w:rFonts w:ascii="Arial" w:cs="Arial" w:eastAsia="Arial" w:hAnsi="Arial"/>
                <w:sz w:val="17"/>
                <w:szCs w:val="17"/>
                <w:color w:val="auto"/>
              </w:rPr>
              <w:t>REDEEMABLE PREFERRED NON-CONTROLLING INTEREST AND STOCKHOLDERS' EQUITY</w:t>
            </w:r>
          </w:p>
        </w:tc>
        <w:tc>
          <w:tcPr>
            <w:tcW w:w="6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gridSpan w:val="5"/>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700" w:type="dxa"/>
            <w:vAlign w:val="bottom"/>
            <w:gridSpan w:val="5"/>
          </w:tcPr>
          <w:p>
            <w:pPr>
              <w:spacing w:after="0" w:line="174" w:lineRule="exact"/>
              <w:rPr>
                <w:sz w:val="20"/>
                <w:szCs w:val="20"/>
                <w:color w:val="auto"/>
              </w:rPr>
            </w:pPr>
            <w:r>
              <w:rPr>
                <w:rFonts w:ascii="Arial" w:cs="Arial" w:eastAsia="Arial" w:hAnsi="Arial"/>
                <w:sz w:val="17"/>
                <w:szCs w:val="17"/>
                <w:color w:val="auto"/>
                <w:w w:val="91"/>
              </w:rPr>
              <w:t>CONDENSED CONSOLIDATED STATEMENTS OF CASH FLOWS</w:t>
            </w:r>
          </w:p>
        </w:tc>
        <w:tc>
          <w:tcPr>
            <w:tcW w:w="2280" w:type="dxa"/>
            <w:vAlign w:val="bottom"/>
            <w:gridSpan w:val="4"/>
          </w:tcPr>
          <w:p>
            <w:pPr>
              <w:spacing w:after="0"/>
              <w:rPr>
                <w:sz w:val="15"/>
                <w:szCs w:val="15"/>
                <w:color w:val="auto"/>
              </w:rPr>
            </w:pPr>
          </w:p>
        </w:tc>
        <w:tc>
          <w:tcPr>
            <w:tcW w:w="19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5"/>
          </w:tcPr>
          <w:p>
            <w:pPr>
              <w:jc w:val="center"/>
              <w:ind w:right="300"/>
              <w:spacing w:after="0" w:line="174" w:lineRule="exact"/>
              <w:rPr>
                <w:sz w:val="20"/>
                <w:szCs w:val="20"/>
                <w:color w:val="auto"/>
              </w:rPr>
            </w:pPr>
            <w:r>
              <w:rPr>
                <w:rFonts w:ascii="Arial" w:cs="Arial" w:eastAsia="Arial" w:hAnsi="Arial"/>
                <w:sz w:val="17"/>
                <w:szCs w:val="17"/>
                <w:color w:val="auto"/>
                <w:w w:val="86"/>
              </w:rPr>
              <w:t>F-7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180" w:type="dxa"/>
            <w:vAlign w:val="bottom"/>
            <w:gridSpan w:val="8"/>
            <w:shd w:val="clear" w:color="auto" w:fill="CCEEFF"/>
          </w:tcPr>
          <w:p>
            <w:pPr>
              <w:spacing w:after="0" w:line="183" w:lineRule="exact"/>
              <w:rPr>
                <w:sz w:val="20"/>
                <w:szCs w:val="20"/>
                <w:color w:val="auto"/>
              </w:rPr>
            </w:pPr>
            <w:r>
              <w:rPr>
                <w:rFonts w:ascii="Arial" w:cs="Arial" w:eastAsia="Arial" w:hAnsi="Arial"/>
                <w:sz w:val="17"/>
                <w:szCs w:val="17"/>
                <w:color w:val="auto"/>
                <w:w w:val="93"/>
              </w:rPr>
              <w:t>NOTES TO UNAUDITED CONDENSED CONSOLIDATED FINANCIAL STATEMENTS</w:t>
            </w:r>
          </w:p>
        </w:tc>
        <w:tc>
          <w:tcPr>
            <w:tcW w:w="2760" w:type="dxa"/>
            <w:vAlign w:val="bottom"/>
            <w:gridSpan w:val="4"/>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center"/>
              <w:ind w:right="300"/>
              <w:spacing w:after="0" w:line="183" w:lineRule="exact"/>
              <w:rPr>
                <w:sz w:val="20"/>
                <w:szCs w:val="20"/>
                <w:color w:val="auto"/>
              </w:rPr>
            </w:pPr>
            <w:r>
              <w:rPr>
                <w:rFonts w:ascii="Arial" w:cs="Arial" w:eastAsia="Arial" w:hAnsi="Arial"/>
                <w:sz w:val="17"/>
                <w:szCs w:val="17"/>
                <w:color w:val="auto"/>
                <w:w w:val="86"/>
              </w:rPr>
              <w:t>F-9</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Arial" w:cs="Arial" w:eastAsia="Arial" w:hAnsi="Arial"/>
                <w:sz w:val="17"/>
                <w:szCs w:val="17"/>
                <w:color w:val="auto"/>
              </w:rPr>
              <w:t>ITEM 2.</w:t>
            </w:r>
          </w:p>
        </w:tc>
        <w:tc>
          <w:tcPr>
            <w:tcW w:w="8940" w:type="dxa"/>
            <w:vAlign w:val="bottom"/>
            <w:gridSpan w:val="12"/>
          </w:tcPr>
          <w:p>
            <w:pPr>
              <w:spacing w:after="0" w:line="174"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580" w:type="dxa"/>
            <w:vAlign w:val="bottom"/>
            <w:gridSpan w:val="3"/>
          </w:tcPr>
          <w:p>
            <w:pPr>
              <w:jc w:val="center"/>
              <w:ind w:left="417"/>
              <w:spacing w:after="0" w:line="174" w:lineRule="exact"/>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ITEM 3.</w:t>
            </w:r>
          </w:p>
        </w:tc>
        <w:tc>
          <w:tcPr>
            <w:tcW w:w="8940" w:type="dxa"/>
            <w:vAlign w:val="bottom"/>
            <w:gridSpan w:val="12"/>
            <w:shd w:val="clear" w:color="auto" w:fill="CCEEFF"/>
          </w:tcPr>
          <w:p>
            <w:pPr>
              <w:spacing w:after="0" w:line="183" w:lineRule="exact"/>
              <w:rPr>
                <w:sz w:val="20"/>
                <w:szCs w:val="20"/>
                <w:color w:val="auto"/>
              </w:rPr>
            </w:pPr>
            <w:r>
              <w:rPr>
                <w:rFonts w:ascii="Arial" w:cs="Arial" w:eastAsia="Arial" w:hAnsi="Arial"/>
                <w:sz w:val="17"/>
                <w:szCs w:val="17"/>
                <w:color w:val="auto"/>
              </w:rPr>
              <w:t>QUANTITATIVE AND QUALITATIVE DISCLOSURES ABOUT MARKET RISK</w:t>
            </w:r>
          </w:p>
        </w:tc>
        <w:tc>
          <w:tcPr>
            <w:tcW w:w="660" w:type="dxa"/>
            <w:vAlign w:val="bottom"/>
            <w:gridSpan w:val="4"/>
            <w:shd w:val="clear" w:color="auto" w:fill="CCEEFF"/>
          </w:tcPr>
          <w:p>
            <w:pPr>
              <w:jc w:val="center"/>
              <w:ind w:left="357"/>
              <w:spacing w:after="0" w:line="183" w:lineRule="exact"/>
              <w:rPr>
                <w:sz w:val="20"/>
                <w:szCs w:val="20"/>
                <w:color w:val="auto"/>
              </w:rPr>
            </w:pPr>
            <w:r>
              <w:rPr>
                <w:rFonts w:ascii="Arial" w:cs="Arial" w:eastAsia="Arial" w:hAnsi="Arial"/>
                <w:sz w:val="17"/>
                <w:szCs w:val="17"/>
                <w:color w:val="auto"/>
                <w:w w:val="94"/>
              </w:rPr>
              <w:t>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Arial" w:cs="Arial" w:eastAsia="Arial" w:hAnsi="Arial"/>
                <w:sz w:val="17"/>
                <w:szCs w:val="17"/>
                <w:color w:val="auto"/>
              </w:rPr>
              <w:t>ITEM 4.</w:t>
            </w:r>
          </w:p>
        </w:tc>
        <w:tc>
          <w:tcPr>
            <w:tcW w:w="8940" w:type="dxa"/>
            <w:vAlign w:val="bottom"/>
            <w:gridSpan w:val="12"/>
          </w:tcPr>
          <w:p>
            <w:pPr>
              <w:spacing w:after="0" w:line="174" w:lineRule="exact"/>
              <w:rPr>
                <w:sz w:val="20"/>
                <w:szCs w:val="20"/>
                <w:color w:val="auto"/>
              </w:rPr>
            </w:pPr>
            <w:r>
              <w:rPr>
                <w:rFonts w:ascii="Arial" w:cs="Arial" w:eastAsia="Arial" w:hAnsi="Arial"/>
                <w:sz w:val="17"/>
                <w:szCs w:val="17"/>
                <w:color w:val="auto"/>
              </w:rPr>
              <w:t>CONTROLS AND PROCEDURES</w:t>
            </w:r>
          </w:p>
        </w:tc>
        <w:tc>
          <w:tcPr>
            <w:tcW w:w="660" w:type="dxa"/>
            <w:vAlign w:val="bottom"/>
            <w:gridSpan w:val="4"/>
          </w:tcPr>
          <w:p>
            <w:pPr>
              <w:jc w:val="center"/>
              <w:ind w:left="357"/>
              <w:spacing w:after="0" w:line="174" w:lineRule="exact"/>
              <w:rPr>
                <w:sz w:val="20"/>
                <w:szCs w:val="20"/>
                <w:color w:val="auto"/>
              </w:rPr>
            </w:pPr>
            <w:r>
              <w:rPr>
                <w:rFonts w:ascii="Arial" w:cs="Arial" w:eastAsia="Arial" w:hAnsi="Arial"/>
                <w:sz w:val="17"/>
                <w:szCs w:val="17"/>
                <w:color w:val="auto"/>
                <w:w w:val="94"/>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tcBorders>
              <w:left w:val="single" w:sz="8" w:color="CCEEFF"/>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7"/>
                <w:szCs w:val="17"/>
                <w:b w:val="1"/>
                <w:bCs w:val="1"/>
                <w:color w:val="auto"/>
                <w:w w:val="99"/>
              </w:rPr>
              <w:t>PART II. OTHER INFORMATION</w:t>
            </w:r>
          </w:p>
        </w:tc>
        <w:tc>
          <w:tcPr>
            <w:tcW w:w="4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ITEM 1.</w:t>
            </w:r>
          </w:p>
        </w:tc>
        <w:tc>
          <w:tcPr>
            <w:tcW w:w="9600" w:type="dxa"/>
            <w:vAlign w:val="bottom"/>
            <w:gridSpan w:val="10"/>
            <w:shd w:val="clear" w:color="auto" w:fill="CCEEFF"/>
          </w:tcPr>
          <w:p>
            <w:pPr>
              <w:ind w:left="200"/>
              <w:spacing w:after="0" w:line="183" w:lineRule="exact"/>
              <w:rPr>
                <w:sz w:val="20"/>
                <w:szCs w:val="20"/>
                <w:color w:val="auto"/>
              </w:rPr>
            </w:pPr>
            <w:r>
              <w:rPr>
                <w:rFonts w:ascii="Arial" w:cs="Arial" w:eastAsia="Arial" w:hAnsi="Arial"/>
                <w:sz w:val="17"/>
                <w:szCs w:val="17"/>
                <w:color w:val="auto"/>
              </w:rPr>
              <w:t>LEGAL PROCEEDINGS</w:t>
            </w:r>
          </w:p>
        </w:tc>
        <w:tc>
          <w:tcPr>
            <w:tcW w:w="620" w:type="dxa"/>
            <w:vAlign w:val="bottom"/>
            <w:gridSpan w:val="2"/>
            <w:shd w:val="clear" w:color="auto" w:fill="CCEEFF"/>
          </w:tcPr>
          <w:p>
            <w:pPr>
              <w:jc w:val="right"/>
              <w:ind w:right="440"/>
              <w:spacing w:after="0" w:line="183" w:lineRule="exact"/>
              <w:rPr>
                <w:sz w:val="20"/>
                <w:szCs w:val="20"/>
                <w:color w:val="auto"/>
              </w:rPr>
            </w:pPr>
            <w:r>
              <w:rPr>
                <w:rFonts w:ascii="Arial" w:cs="Arial" w:eastAsia="Arial" w:hAnsi="Arial"/>
                <w:sz w:val="17"/>
                <w:szCs w:val="17"/>
                <w:color w:val="auto"/>
                <w:w w:val="84"/>
              </w:rPr>
              <w:t>16</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CCEEFF"/>
            </w:tcBorders>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7"/>
                <w:szCs w:val="17"/>
                <w:color w:val="auto"/>
              </w:rPr>
              <w:t>ITEM 1A.</w:t>
            </w:r>
          </w:p>
        </w:tc>
        <w:tc>
          <w:tcPr>
            <w:tcW w:w="9600" w:type="dxa"/>
            <w:vAlign w:val="bottom"/>
            <w:gridSpan w:val="10"/>
          </w:tcPr>
          <w:p>
            <w:pPr>
              <w:ind w:left="200"/>
              <w:spacing w:after="0" w:line="174" w:lineRule="exact"/>
              <w:rPr>
                <w:sz w:val="20"/>
                <w:szCs w:val="20"/>
                <w:color w:val="auto"/>
              </w:rPr>
            </w:pPr>
            <w:r>
              <w:rPr>
                <w:rFonts w:ascii="Arial" w:cs="Arial" w:eastAsia="Arial" w:hAnsi="Arial"/>
                <w:sz w:val="17"/>
                <w:szCs w:val="17"/>
                <w:color w:val="auto"/>
              </w:rPr>
              <w:t>RISK FACTORS</w:t>
            </w:r>
          </w:p>
        </w:tc>
        <w:tc>
          <w:tcPr>
            <w:tcW w:w="620" w:type="dxa"/>
            <w:vAlign w:val="bottom"/>
            <w:gridSpan w:val="2"/>
          </w:tcPr>
          <w:p>
            <w:pPr>
              <w:jc w:val="right"/>
              <w:ind w:right="440"/>
              <w:spacing w:after="0" w:line="174" w:lineRule="exact"/>
              <w:rPr>
                <w:sz w:val="20"/>
                <w:szCs w:val="20"/>
                <w:color w:val="auto"/>
              </w:rPr>
            </w:pPr>
            <w:r>
              <w:rPr>
                <w:rFonts w:ascii="Arial" w:cs="Arial" w:eastAsia="Arial" w:hAnsi="Arial"/>
                <w:sz w:val="17"/>
                <w:szCs w:val="17"/>
                <w:color w:val="auto"/>
                <w:w w:val="84"/>
              </w:rPr>
              <w:t>16</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ITEM 2.</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0" w:type="dxa"/>
            <w:vAlign w:val="bottom"/>
            <w:gridSpan w:val="9"/>
            <w:shd w:val="clear" w:color="auto" w:fill="CCEEFF"/>
          </w:tcPr>
          <w:p>
            <w:pPr>
              <w:spacing w:after="0" w:line="183" w:lineRule="exact"/>
              <w:rPr>
                <w:sz w:val="20"/>
                <w:szCs w:val="20"/>
                <w:color w:val="auto"/>
              </w:rPr>
            </w:pPr>
            <w:r>
              <w:rPr>
                <w:rFonts w:ascii="Arial" w:cs="Arial" w:eastAsia="Arial" w:hAnsi="Arial"/>
                <w:sz w:val="17"/>
                <w:szCs w:val="17"/>
                <w:color w:val="auto"/>
              </w:rPr>
              <w:t>UNREGISTERED SALES OF EQUITY SECURITIES AND USE OF PROCEEDS</w:t>
            </w:r>
          </w:p>
        </w:tc>
        <w:tc>
          <w:tcPr>
            <w:tcW w:w="620" w:type="dxa"/>
            <w:vAlign w:val="bottom"/>
            <w:gridSpan w:val="2"/>
            <w:shd w:val="clear" w:color="auto" w:fill="CCEEFF"/>
          </w:tcPr>
          <w:p>
            <w:pPr>
              <w:jc w:val="right"/>
              <w:ind w:right="440"/>
              <w:spacing w:after="0" w:line="183" w:lineRule="exact"/>
              <w:rPr>
                <w:sz w:val="20"/>
                <w:szCs w:val="20"/>
                <w:color w:val="auto"/>
              </w:rPr>
            </w:pPr>
            <w:r>
              <w:rPr>
                <w:rFonts w:ascii="Arial" w:cs="Arial" w:eastAsia="Arial" w:hAnsi="Arial"/>
                <w:sz w:val="17"/>
                <w:szCs w:val="17"/>
                <w:color w:val="auto"/>
                <w:w w:val="84"/>
              </w:rPr>
              <w:t>47</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7"/>
                <w:szCs w:val="17"/>
                <w:color w:val="auto"/>
              </w:rPr>
              <w:t>ITEM 3.</w:t>
            </w:r>
          </w:p>
        </w:tc>
        <w:tc>
          <w:tcPr>
            <w:tcW w:w="9600" w:type="dxa"/>
            <w:vAlign w:val="bottom"/>
            <w:gridSpan w:val="10"/>
          </w:tcPr>
          <w:p>
            <w:pPr>
              <w:ind w:left="200"/>
              <w:spacing w:after="0" w:line="174" w:lineRule="exact"/>
              <w:rPr>
                <w:sz w:val="20"/>
                <w:szCs w:val="20"/>
                <w:color w:val="auto"/>
              </w:rPr>
            </w:pPr>
            <w:r>
              <w:rPr>
                <w:rFonts w:ascii="Arial" w:cs="Arial" w:eastAsia="Arial" w:hAnsi="Arial"/>
                <w:sz w:val="17"/>
                <w:szCs w:val="17"/>
                <w:color w:val="auto"/>
              </w:rPr>
              <w:t>DEFAULTS UPON SENIOR SECURITIES</w:t>
            </w:r>
          </w:p>
        </w:tc>
        <w:tc>
          <w:tcPr>
            <w:tcW w:w="620" w:type="dxa"/>
            <w:vAlign w:val="bottom"/>
            <w:gridSpan w:val="2"/>
          </w:tcPr>
          <w:p>
            <w:pPr>
              <w:jc w:val="right"/>
              <w:ind w:right="440"/>
              <w:spacing w:after="0" w:line="174" w:lineRule="exact"/>
              <w:rPr>
                <w:sz w:val="20"/>
                <w:szCs w:val="20"/>
                <w:color w:val="auto"/>
              </w:rPr>
            </w:pPr>
            <w:r>
              <w:rPr>
                <w:rFonts w:ascii="Arial" w:cs="Arial" w:eastAsia="Arial" w:hAnsi="Arial"/>
                <w:sz w:val="17"/>
                <w:szCs w:val="17"/>
                <w:color w:val="auto"/>
                <w:w w:val="84"/>
              </w:rPr>
              <w:t>47</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ITEM 4.</w:t>
            </w:r>
          </w:p>
        </w:tc>
        <w:tc>
          <w:tcPr>
            <w:tcW w:w="9600" w:type="dxa"/>
            <w:vAlign w:val="bottom"/>
            <w:gridSpan w:val="10"/>
            <w:shd w:val="clear" w:color="auto" w:fill="CCEEFF"/>
          </w:tcPr>
          <w:p>
            <w:pPr>
              <w:ind w:left="200"/>
              <w:spacing w:after="0" w:line="183" w:lineRule="exact"/>
              <w:rPr>
                <w:sz w:val="20"/>
                <w:szCs w:val="20"/>
                <w:color w:val="auto"/>
              </w:rPr>
            </w:pPr>
            <w:r>
              <w:rPr>
                <w:rFonts w:ascii="Arial" w:cs="Arial" w:eastAsia="Arial" w:hAnsi="Arial"/>
                <w:sz w:val="17"/>
                <w:szCs w:val="17"/>
                <w:color w:val="auto"/>
              </w:rPr>
              <w:t>MINE SAFETY DISCLOSURES</w:t>
            </w:r>
          </w:p>
        </w:tc>
        <w:tc>
          <w:tcPr>
            <w:tcW w:w="620" w:type="dxa"/>
            <w:vAlign w:val="bottom"/>
            <w:gridSpan w:val="2"/>
            <w:shd w:val="clear" w:color="auto" w:fill="CCEEFF"/>
          </w:tcPr>
          <w:p>
            <w:pPr>
              <w:jc w:val="right"/>
              <w:ind w:right="440"/>
              <w:spacing w:after="0" w:line="183" w:lineRule="exact"/>
              <w:rPr>
                <w:sz w:val="20"/>
                <w:szCs w:val="20"/>
                <w:color w:val="auto"/>
              </w:rPr>
            </w:pPr>
            <w:r>
              <w:rPr>
                <w:rFonts w:ascii="Arial" w:cs="Arial" w:eastAsia="Arial" w:hAnsi="Arial"/>
                <w:sz w:val="17"/>
                <w:szCs w:val="17"/>
                <w:color w:val="auto"/>
                <w:w w:val="84"/>
              </w:rPr>
              <w:t>47</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7"/>
                <w:szCs w:val="17"/>
                <w:color w:val="auto"/>
              </w:rPr>
              <w:t>ITEM 5.</w:t>
            </w:r>
          </w:p>
        </w:tc>
        <w:tc>
          <w:tcPr>
            <w:tcW w:w="9600" w:type="dxa"/>
            <w:vAlign w:val="bottom"/>
            <w:gridSpan w:val="10"/>
          </w:tcPr>
          <w:p>
            <w:pPr>
              <w:ind w:left="200"/>
              <w:spacing w:after="0" w:line="174" w:lineRule="exact"/>
              <w:rPr>
                <w:sz w:val="20"/>
                <w:szCs w:val="20"/>
                <w:color w:val="auto"/>
              </w:rPr>
            </w:pPr>
            <w:r>
              <w:rPr>
                <w:rFonts w:ascii="Arial" w:cs="Arial" w:eastAsia="Arial" w:hAnsi="Arial"/>
                <w:sz w:val="17"/>
                <w:szCs w:val="17"/>
                <w:color w:val="auto"/>
              </w:rPr>
              <w:t>OTHER INFORMATION</w:t>
            </w:r>
          </w:p>
        </w:tc>
        <w:tc>
          <w:tcPr>
            <w:tcW w:w="620" w:type="dxa"/>
            <w:vAlign w:val="bottom"/>
            <w:gridSpan w:val="2"/>
          </w:tcPr>
          <w:p>
            <w:pPr>
              <w:jc w:val="right"/>
              <w:ind w:right="440"/>
              <w:spacing w:after="0" w:line="174" w:lineRule="exact"/>
              <w:rPr>
                <w:sz w:val="20"/>
                <w:szCs w:val="20"/>
                <w:color w:val="auto"/>
              </w:rPr>
            </w:pPr>
            <w:r>
              <w:rPr>
                <w:rFonts w:ascii="Arial" w:cs="Arial" w:eastAsia="Arial" w:hAnsi="Arial"/>
                <w:sz w:val="17"/>
                <w:szCs w:val="17"/>
                <w:color w:val="auto"/>
                <w:w w:val="84"/>
              </w:rPr>
              <w:t>48</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ITEM 6.</w:t>
            </w:r>
          </w:p>
        </w:tc>
        <w:tc>
          <w:tcPr>
            <w:tcW w:w="9600" w:type="dxa"/>
            <w:vAlign w:val="bottom"/>
            <w:gridSpan w:val="10"/>
            <w:shd w:val="clear" w:color="auto" w:fill="CCEEFF"/>
          </w:tcPr>
          <w:p>
            <w:pPr>
              <w:ind w:left="200"/>
              <w:spacing w:after="0" w:line="183" w:lineRule="exact"/>
              <w:rPr>
                <w:sz w:val="20"/>
                <w:szCs w:val="20"/>
                <w:color w:val="auto"/>
              </w:rPr>
            </w:pPr>
            <w:r>
              <w:rPr>
                <w:rFonts w:ascii="Arial" w:cs="Arial" w:eastAsia="Arial" w:hAnsi="Arial"/>
                <w:sz w:val="17"/>
                <w:szCs w:val="17"/>
                <w:color w:val="auto"/>
              </w:rPr>
              <w:t>EXHIBITS</w:t>
            </w:r>
          </w:p>
        </w:tc>
        <w:tc>
          <w:tcPr>
            <w:tcW w:w="620" w:type="dxa"/>
            <w:vAlign w:val="bottom"/>
            <w:gridSpan w:val="2"/>
            <w:shd w:val="clear" w:color="auto" w:fill="CCEEFF"/>
          </w:tcPr>
          <w:p>
            <w:pPr>
              <w:jc w:val="right"/>
              <w:ind w:right="440"/>
              <w:spacing w:after="0" w:line="183" w:lineRule="exact"/>
              <w:rPr>
                <w:sz w:val="20"/>
                <w:szCs w:val="20"/>
                <w:color w:val="auto"/>
              </w:rPr>
            </w:pPr>
            <w:r>
              <w:rPr>
                <w:rFonts w:ascii="Arial" w:cs="Arial" w:eastAsia="Arial" w:hAnsi="Arial"/>
                <w:sz w:val="17"/>
                <w:szCs w:val="17"/>
                <w:color w:val="auto"/>
                <w:w w:val="84"/>
              </w:rPr>
              <w:t>48</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7"/>
                <w:szCs w:val="17"/>
                <w:color w:val="auto"/>
                <w:w w:val="88"/>
              </w:rPr>
              <w:t>SIGNATURES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gridSpan w:val="2"/>
          </w:tcPr>
          <w:p>
            <w:pPr>
              <w:jc w:val="right"/>
              <w:ind w:right="440"/>
              <w:spacing w:after="0" w:line="174" w:lineRule="exact"/>
              <w:rPr>
                <w:sz w:val="20"/>
                <w:szCs w:val="20"/>
                <w:color w:val="auto"/>
              </w:rPr>
            </w:pPr>
            <w:r>
              <w:rPr>
                <w:rFonts w:ascii="Arial" w:cs="Arial" w:eastAsia="Arial" w:hAnsi="Arial"/>
                <w:sz w:val="17"/>
                <w:szCs w:val="17"/>
                <w:color w:val="auto"/>
                <w:w w:val="84"/>
              </w:rPr>
              <w:t>50</w:t>
            </w:r>
          </w:p>
        </w:tc>
      </w:tr>
      <w:tr>
        <w:trPr>
          <w:trHeight w:val="954"/>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OPAL FUELS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September 30,</w:t>
            </w:r>
          </w:p>
        </w:tc>
        <w:tc>
          <w:tcPr>
            <w:tcW w:w="2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193"/>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5"/>
              <w:spacing w:after="0"/>
              <w:rPr>
                <w:sz w:val="20"/>
                <w:szCs w:val="20"/>
                <w:color w:val="auto"/>
              </w:rPr>
            </w:pPr>
            <w:r>
              <w:rPr>
                <w:rFonts w:ascii="Arial" w:cs="Arial" w:eastAsia="Arial" w:hAnsi="Arial"/>
                <w:sz w:val="15"/>
                <w:szCs w:val="15"/>
                <w:b w:val="1"/>
                <w:bCs w:val="1"/>
                <w:color w:val="auto"/>
                <w:w w:val="83"/>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(Unaudited)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6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w w:val="92"/>
              </w:rPr>
              <w:t>Cash and cash equivalents (includes $10,045 and $1,991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25,286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39,314</w:t>
            </w: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8"/>
              </w:rPr>
              <w:t>Accounts receivable, net (includes $1,129 and $40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25,391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6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w w:val="98"/>
              </w:rPr>
              <w:t>Restricted cash - current (includes $7,623 and $—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41,419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7"/>
              </w:rPr>
              <w:t>Short term investments ( includes $15,411 and $—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146,936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Fuel tax credits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3,442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Contract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14,676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8,484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Parts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5,143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Environmental credits held for sale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386</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RNG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2"/>
              </w:rPr>
              <w:t>Prepaid expense and other current assets (includes $268 and $113 at September 30, 2022 and December 31, 2021, respectively,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related to 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6,513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5,482</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Derivative financial assets,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86"/>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286,255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86,975</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spares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3,333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3,025</w:t>
            </w: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3"/>
              </w:rPr>
              <w:t>Property, plant, and equipment, net (includes $50,099 and $27,794 at September 30, 2022 and December 31, 2021, respectively,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related to 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250,355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169,770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Investment in other entities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48,708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47,150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Note receivable</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9,200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Note receivable - variable fee component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Deferred financing costs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2,370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long-term assets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Intangible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2,861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6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w w:val="92"/>
              </w:rPr>
              <w:t>Restricted cash - non-current (includes $2,867 and $1,163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54,608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54,608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2"/>
              </w:rPr>
              <w:t>Accounts payable (includes $2,783 and $544 at September 30, 2022 and December 31, 2021, respectively, related to consolidated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5,798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12,581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 related party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Fuel tax credits payable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1,978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payroll</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5,266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7,652</w:t>
            </w:r>
          </w:p>
        </w:tc>
        <w:tc>
          <w:tcPr>
            <w:tcW w:w="0" w:type="dxa"/>
            <w:vAlign w:val="bottom"/>
          </w:tcPr>
          <w:p>
            <w:pPr>
              <w:spacing w:after="0"/>
              <w:rPr>
                <w:sz w:val="1"/>
                <w:szCs w:val="1"/>
                <w:color w:val="auto"/>
              </w:rPr>
            </w:pPr>
          </w:p>
        </w:tc>
      </w:tr>
      <w:tr>
        <w:trPr>
          <w:trHeight w:val="166"/>
        </w:trPr>
        <w:tc>
          <w:tcPr>
            <w:tcW w:w="8160" w:type="dxa"/>
            <w:vAlign w:val="bottom"/>
          </w:tcPr>
          <w:p>
            <w:pPr>
              <w:ind w:left="140"/>
              <w:spacing w:after="0" w:line="166" w:lineRule="exact"/>
              <w:rPr>
                <w:sz w:val="20"/>
                <w:szCs w:val="20"/>
                <w:color w:val="auto"/>
              </w:rPr>
            </w:pPr>
            <w:r>
              <w:rPr>
                <w:rFonts w:ascii="Arial" w:cs="Arial" w:eastAsia="Arial" w:hAnsi="Arial"/>
                <w:sz w:val="15"/>
                <w:szCs w:val="15"/>
                <w:color w:val="auto"/>
                <w:w w:val="94"/>
              </w:rPr>
              <w:t>Accrued capital expenses (includes $1,493 and $1,722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9,284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5,517</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16,063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7,220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Contract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6,750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Senior Secured Credit Facility - term loan, current portion, net of debt issuance costs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73,145</w:t>
            </w:r>
          </w:p>
        </w:tc>
        <w:tc>
          <w:tcPr>
            <w:tcW w:w="0" w:type="dxa"/>
            <w:vAlign w:val="bottom"/>
          </w:tcPr>
          <w:p>
            <w:pPr>
              <w:spacing w:after="0"/>
              <w:rPr>
                <w:sz w:val="1"/>
                <w:szCs w:val="1"/>
                <w:color w:val="auto"/>
              </w:rPr>
            </w:pPr>
          </w:p>
        </w:tc>
      </w:tr>
      <w:tr>
        <w:trPr>
          <w:trHeight w:val="31"/>
        </w:trPr>
        <w:tc>
          <w:tcPr>
            <w:tcW w:w="8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8160" w:type="dxa"/>
            <w:vAlign w:val="bottom"/>
          </w:tcPr>
          <w:p>
            <w:pPr>
              <w:ind w:left="140"/>
              <w:spacing w:after="0"/>
              <w:rPr>
                <w:sz w:val="20"/>
                <w:szCs w:val="20"/>
                <w:color w:val="auto"/>
              </w:rPr>
            </w:pPr>
            <w:r>
              <w:rPr>
                <w:rFonts w:ascii="Arial" w:cs="Arial" w:eastAsia="Arial" w:hAnsi="Arial"/>
                <w:sz w:val="15"/>
                <w:szCs w:val="15"/>
                <w:color w:val="auto"/>
              </w:rPr>
              <w:t>Senior Secured Credit Facility - working capital facility, current portion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7,500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OPAL Term Loan,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28,432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13,425</w:t>
            </w:r>
          </w:p>
        </w:tc>
        <w:tc>
          <w:tcPr>
            <w:tcW w:w="0" w:type="dxa"/>
            <w:vAlign w:val="bottom"/>
          </w:tcPr>
          <w:p>
            <w:pPr>
              <w:spacing w:after="0"/>
              <w:rPr>
                <w:sz w:val="1"/>
                <w:szCs w:val="1"/>
                <w:color w:val="auto"/>
              </w:rPr>
            </w:pPr>
          </w:p>
        </w:tc>
      </w:tr>
      <w:tr>
        <w:trPr>
          <w:trHeight w:val="178"/>
        </w:trPr>
        <w:tc>
          <w:tcPr>
            <w:tcW w:w="8160" w:type="dxa"/>
            <w:vAlign w:val="bottom"/>
          </w:tcPr>
          <w:p>
            <w:pPr>
              <w:ind w:left="140"/>
              <w:spacing w:after="0"/>
              <w:rPr>
                <w:sz w:val="20"/>
                <w:szCs w:val="20"/>
                <w:color w:val="auto"/>
              </w:rPr>
            </w:pPr>
            <w:r>
              <w:rPr>
                <w:rFonts w:ascii="Arial" w:cs="Arial" w:eastAsia="Arial" w:hAnsi="Arial"/>
                <w:sz w:val="15"/>
                <w:szCs w:val="15"/>
                <w:color w:val="auto"/>
                <w:w w:val="96"/>
              </w:rPr>
              <w:t>Sunoma loan, current portion (includes $— and $756 at September 30, 2022 and December 31, 2021, respectively, related to</w:t>
            </w:r>
          </w:p>
        </w:tc>
        <w:tc>
          <w:tcPr>
            <w:tcW w:w="4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198"/>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4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Convertible Note Payable</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27,964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Municipality loan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Derivative financial liability,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4,648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832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Asset retirement obligation, current portion</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0" w:type="dxa"/>
            <w:vAlign w:val="bottom"/>
          </w:tcPr>
          <w:p>
            <w:pPr>
              <w:spacing w:after="0"/>
              <w:rPr>
                <w:sz w:val="1"/>
                <w:szCs w:val="1"/>
                <w:color w:val="auto"/>
              </w:rPr>
            </w:pPr>
          </w:p>
        </w:tc>
      </w:tr>
      <w:tr>
        <w:trPr>
          <w:trHeight w:val="186"/>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187,580</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142,116</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Asset retirement obligation, non-current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4,382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4,907</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OPAL Term Loan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60,816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59,090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Convertible Note Payable</w:t>
            </w:r>
          </w:p>
        </w:tc>
        <w:tc>
          <w:tcPr>
            <w:tcW w:w="4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58,710</w:t>
            </w:r>
          </w:p>
        </w:tc>
        <w:tc>
          <w:tcPr>
            <w:tcW w:w="0" w:type="dxa"/>
            <w:vAlign w:val="bottom"/>
          </w:tcPr>
          <w:p>
            <w:pPr>
              <w:spacing w:after="0"/>
              <w:rPr>
                <w:sz w:val="1"/>
                <w:szCs w:val="1"/>
                <w:color w:val="auto"/>
              </w:rPr>
            </w:pPr>
          </w:p>
        </w:tc>
      </w:tr>
      <w:tr>
        <w:trPr>
          <w:trHeight w:val="178"/>
        </w:trPr>
        <w:tc>
          <w:tcPr>
            <w:tcW w:w="8160" w:type="dxa"/>
            <w:vAlign w:val="bottom"/>
          </w:tcPr>
          <w:p>
            <w:pPr>
              <w:ind w:left="140"/>
              <w:spacing w:after="0"/>
              <w:rPr>
                <w:sz w:val="20"/>
                <w:szCs w:val="20"/>
                <w:color w:val="auto"/>
              </w:rPr>
            </w:pPr>
            <w:r>
              <w:rPr>
                <w:rFonts w:ascii="Arial" w:cs="Arial" w:eastAsia="Arial" w:hAnsi="Arial"/>
                <w:sz w:val="15"/>
                <w:szCs w:val="15"/>
                <w:color w:val="auto"/>
                <w:w w:val="89"/>
              </w:rPr>
              <w:t>Sunoma loan, net of debt issuance costs (includes $22,080 and $16,199 at September 30, 2022 and December 31, 2021, respectively,</w:t>
            </w: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22,080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16,199</w:t>
            </w:r>
          </w:p>
        </w:tc>
        <w:tc>
          <w:tcPr>
            <w:tcW w:w="0" w:type="dxa"/>
            <w:vAlign w:val="bottom"/>
          </w:tcPr>
          <w:p>
            <w:pPr>
              <w:spacing w:after="0"/>
              <w:rPr>
                <w:sz w:val="1"/>
                <w:szCs w:val="1"/>
                <w:color w:val="auto"/>
              </w:rPr>
            </w:pPr>
          </w:p>
        </w:tc>
      </w:tr>
      <w:tr>
        <w:trPr>
          <w:trHeight w:val="198"/>
        </w:trPr>
        <w:tc>
          <w:tcPr>
            <w:tcW w:w="8160" w:type="dxa"/>
            <w:vAlign w:val="bottom"/>
          </w:tcPr>
          <w:p>
            <w:pPr>
              <w:ind w:left="300"/>
              <w:spacing w:after="0"/>
              <w:rPr>
                <w:sz w:val="20"/>
                <w:szCs w:val="20"/>
                <w:color w:val="auto"/>
              </w:rPr>
            </w:pPr>
            <w:r>
              <w:rPr>
                <w:rFonts w:ascii="Arial" w:cs="Arial" w:eastAsia="Arial" w:hAnsi="Arial"/>
                <w:sz w:val="15"/>
                <w:szCs w:val="15"/>
                <w:color w:val="auto"/>
              </w:rPr>
              <w:t>related to consolidated VIEs)</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Municipality loan</w:t>
            </w:r>
          </w:p>
        </w:tc>
        <w:tc>
          <w:tcPr>
            <w:tcW w:w="4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Derivative warrant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22,410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Earn out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39,500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Other long-term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4,781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337,365</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285,887</w:t>
            </w:r>
          </w:p>
        </w:tc>
        <w:tc>
          <w:tcPr>
            <w:tcW w:w="0" w:type="dxa"/>
            <w:vAlign w:val="bottom"/>
          </w:tcPr>
          <w:p>
            <w:pPr>
              <w:spacing w:after="0"/>
              <w:rPr>
                <w:sz w:val="1"/>
                <w:szCs w:val="1"/>
                <w:color w:val="auto"/>
              </w:rPr>
            </w:pPr>
          </w:p>
        </w:tc>
      </w:tr>
      <w:tr>
        <w:trPr>
          <w:trHeight w:val="173"/>
        </w:trPr>
        <w:tc>
          <w:tcPr>
            <w:tcW w:w="8160" w:type="dxa"/>
            <w:vAlign w:val="bottom"/>
          </w:tcPr>
          <w:p>
            <w:pPr>
              <w:ind w:left="20"/>
              <w:spacing w:after="0"/>
              <w:rPr>
                <w:sz w:val="20"/>
                <w:szCs w:val="20"/>
                <w:color w:val="auto"/>
              </w:rPr>
            </w:pPr>
            <w:r>
              <w:rPr>
                <w:rFonts w:ascii="Arial" w:cs="Arial" w:eastAsia="Arial" w:hAnsi="Arial"/>
                <w:sz w:val="15"/>
                <w:szCs w:val="15"/>
                <w:color w:val="auto"/>
              </w:rPr>
              <w:t>Commitments and contingencies</w:t>
            </w: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preferred non-controlling interests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30,210</w:t>
            </w:r>
          </w:p>
        </w:tc>
        <w:tc>
          <w:tcPr>
            <w:tcW w:w="0" w:type="dxa"/>
            <w:vAlign w:val="bottom"/>
          </w:tcPr>
          <w:p>
            <w:pPr>
              <w:spacing w:after="0"/>
              <w:rPr>
                <w:sz w:val="1"/>
                <w:szCs w:val="1"/>
                <w:color w:val="auto"/>
              </w:rPr>
            </w:pPr>
          </w:p>
        </w:tc>
      </w:tr>
      <w:tr>
        <w:trPr>
          <w:trHeight w:val="221"/>
        </w:trPr>
        <w:tc>
          <w:tcPr>
            <w:tcW w:w="8160" w:type="dxa"/>
            <w:vAlign w:val="bottom"/>
          </w:tcPr>
          <w:p>
            <w:pPr>
              <w:ind w:left="140"/>
              <w:spacing w:after="0"/>
              <w:rPr>
                <w:sz w:val="20"/>
                <w:szCs w:val="20"/>
                <w:color w:val="auto"/>
              </w:rPr>
            </w:pPr>
            <w:r>
              <w:rPr>
                <w:rFonts w:ascii="Arial" w:cs="Arial" w:eastAsia="Arial" w:hAnsi="Arial"/>
                <w:sz w:val="15"/>
                <w:szCs w:val="15"/>
                <w:color w:val="auto"/>
              </w:rPr>
              <w:t>Redeemable non-controlling interests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1,222,657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63,545</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(deficit) equity</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160" w:type="dxa"/>
            <w:vAlign w:val="bottom"/>
          </w:tcPr>
          <w:p>
            <w:pPr>
              <w:ind w:left="140"/>
              <w:spacing w:after="0"/>
              <w:rPr>
                <w:sz w:val="20"/>
                <w:szCs w:val="20"/>
                <w:color w:val="auto"/>
              </w:rPr>
            </w:pPr>
            <w:r>
              <w:rPr>
                <w:rFonts w:ascii="Arial" w:cs="Arial" w:eastAsia="Arial" w:hAnsi="Arial"/>
                <w:sz w:val="15"/>
                <w:szCs w:val="15"/>
                <w:color w:val="auto"/>
                <w:w w:val="88"/>
              </w:rPr>
              <w:t>Class A common stock, $0.0001 par value, 337,852,251 shares authorized as of September 30, 2022; 25,671,390 and 0 shares, issued</w:t>
            </w: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160" w:type="dxa"/>
            <w:vAlign w:val="bottom"/>
          </w:tcPr>
          <w:p>
            <w:pPr>
              <w:ind w:left="300"/>
              <w:spacing w:after="0"/>
              <w:rPr>
                <w:sz w:val="20"/>
                <w:szCs w:val="20"/>
                <w:color w:val="auto"/>
              </w:rPr>
            </w:pPr>
            <w:r>
              <w:rPr>
                <w:rFonts w:ascii="Arial" w:cs="Arial" w:eastAsia="Arial" w:hAnsi="Arial"/>
                <w:sz w:val="15"/>
                <w:szCs w:val="15"/>
                <w:color w:val="auto"/>
              </w:rPr>
              <w:t>and outstanding at September 30, 2022 and December 31, 2021, respectively</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9"/>
              </w:rPr>
              <w:t>Class B common stock, $0.0001 par value, 157,498,947 shares authorized as of September 30, 2022; None issued and outstanding as</w:t>
            </w:r>
          </w:p>
        </w:tc>
        <w:tc>
          <w:tcPr>
            <w:tcW w:w="4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of September 30, 2022 and December 31, 2021</w:t>
            </w:r>
          </w:p>
        </w:tc>
        <w:tc>
          <w:tcPr>
            <w:tcW w:w="4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160" w:type="dxa"/>
            <w:vAlign w:val="bottom"/>
          </w:tcPr>
          <w:p>
            <w:pPr>
              <w:ind w:left="140"/>
              <w:spacing w:after="0"/>
              <w:rPr>
                <w:sz w:val="20"/>
                <w:szCs w:val="20"/>
                <w:color w:val="auto"/>
              </w:rPr>
            </w:pPr>
            <w:r>
              <w:rPr>
                <w:rFonts w:ascii="Arial" w:cs="Arial" w:eastAsia="Arial" w:hAnsi="Arial"/>
                <w:sz w:val="15"/>
                <w:szCs w:val="15"/>
                <w:color w:val="auto"/>
                <w:w w:val="89"/>
              </w:rPr>
              <w:t>Class C common stock, $0.0001 par value, 154,309,729 shares authorized as of September 30, 2022; None issued and outstanding as</w:t>
            </w:r>
          </w:p>
        </w:tc>
        <w:tc>
          <w:tcPr>
            <w:tcW w:w="4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160" w:type="dxa"/>
            <w:vAlign w:val="bottom"/>
          </w:tcPr>
          <w:p>
            <w:pPr>
              <w:ind w:left="300"/>
              <w:spacing w:after="0"/>
              <w:rPr>
                <w:sz w:val="20"/>
                <w:szCs w:val="20"/>
                <w:color w:val="auto"/>
              </w:rPr>
            </w:pPr>
            <w:r>
              <w:rPr>
                <w:rFonts w:ascii="Arial" w:cs="Arial" w:eastAsia="Arial" w:hAnsi="Arial"/>
                <w:sz w:val="15"/>
                <w:szCs w:val="15"/>
                <w:color w:val="auto"/>
              </w:rPr>
              <w:t>of September 30, 2022 and December 31, 2021</w:t>
            </w:r>
          </w:p>
        </w:tc>
        <w:tc>
          <w:tcPr>
            <w:tcW w:w="4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Class D common stock, $0.0001 par value, 154,309,729 shares authorized as of September 30, 2022; 144,399,037 issued and</w:t>
            </w:r>
          </w:p>
        </w:tc>
        <w:tc>
          <w:tcPr>
            <w:tcW w:w="4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outstanding at September 30, 2022 and December 31, 2021</w:t>
            </w:r>
          </w:p>
        </w:tc>
        <w:tc>
          <w:tcPr>
            <w:tcW w:w="4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4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(1,066,137)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5"/>
                <w:szCs w:val="15"/>
                <w:color w:val="auto"/>
              </w:rPr>
              <w:t>Accumulated other comprehensive income</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(deficit) equity attributable to the Company</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(1,065,943)</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6"/>
        </w:trPr>
        <w:tc>
          <w:tcPr>
            <w:tcW w:w="8160" w:type="dxa"/>
            <w:vAlign w:val="bottom"/>
          </w:tcPr>
          <w:p>
            <w:pPr>
              <w:ind w:left="140"/>
              <w:spacing w:after="0"/>
              <w:rPr>
                <w:sz w:val="20"/>
                <w:szCs w:val="20"/>
                <w:color w:val="auto"/>
              </w:rPr>
            </w:pPr>
            <w:r>
              <w:rPr>
                <w:rFonts w:ascii="Arial" w:cs="Arial" w:eastAsia="Arial" w:hAnsi="Arial"/>
                <w:sz w:val="15"/>
                <w:szCs w:val="15"/>
                <w:color w:val="auto"/>
              </w:rPr>
              <w:t>Non-redeemable non-controlling interests</w:t>
            </w: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26,674</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(deficit) equity</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(1,039,269)</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0" w:type="dxa"/>
            <w:vAlign w:val="bottom"/>
          </w:tcPr>
          <w:p>
            <w:pPr>
              <w:spacing w:after="0"/>
              <w:rPr>
                <w:sz w:val="1"/>
                <w:szCs w:val="1"/>
                <w:color w:val="auto"/>
              </w:rPr>
            </w:pPr>
          </w:p>
        </w:tc>
      </w:tr>
      <w:tr>
        <w:trPr>
          <w:trHeight w:val="213"/>
        </w:trPr>
        <w:tc>
          <w:tcPr>
            <w:tcW w:w="8160" w:type="dxa"/>
            <w:vAlign w:val="bottom"/>
          </w:tcPr>
          <w:p>
            <w:pPr>
              <w:ind w:left="300"/>
              <w:spacing w:after="0"/>
              <w:rPr>
                <w:sz w:val="20"/>
                <w:szCs w:val="20"/>
                <w:color w:val="auto"/>
              </w:rPr>
            </w:pPr>
            <w:r>
              <w:rPr>
                <w:rFonts w:ascii="Arial" w:cs="Arial" w:eastAsia="Arial" w:hAnsi="Arial"/>
                <w:sz w:val="15"/>
                <w:szCs w:val="15"/>
                <w:color w:val="auto"/>
              </w:rPr>
              <w:t>Total liabilities, Redeemable preferred, Redeemable non-controlling interests and Stockholders' (deficit) equity</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656,056</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380,844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OPAL FUELS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per unit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225"/>
              <w:spacing w:after="0"/>
              <w:rPr>
                <w:sz w:val="20"/>
                <w:szCs w:val="20"/>
                <w:color w:val="auto"/>
              </w:rPr>
            </w:pPr>
            <w:r>
              <w:rPr>
                <w:rFonts w:ascii="Arial" w:cs="Arial" w:eastAsia="Arial" w:hAnsi="Arial"/>
                <w:sz w:val="15"/>
                <w:szCs w:val="15"/>
                <w:b w:val="1"/>
                <w:bCs w:val="1"/>
                <w:color w:val="auto"/>
                <w:w w:val="91"/>
              </w:rPr>
              <w:t>Nine Months Ended</w:t>
            </w:r>
          </w:p>
        </w:tc>
      </w:tr>
      <w:tr>
        <w:trPr>
          <w:trHeight w:val="208"/>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8"/>
                <w:szCs w:val="18"/>
                <w:color w:val="auto"/>
              </w:rPr>
            </w:pPr>
          </w:p>
        </w:tc>
        <w:tc>
          <w:tcPr>
            <w:tcW w:w="2580" w:type="dxa"/>
            <w:vAlign w:val="bottom"/>
            <w:gridSpan w:val="4"/>
          </w:tcPr>
          <w:p>
            <w:pPr>
              <w:jc w:val="center"/>
              <w:ind w:right="205"/>
              <w:spacing w:after="0"/>
              <w:rPr>
                <w:sz w:val="20"/>
                <w:szCs w:val="20"/>
                <w:color w:val="auto"/>
              </w:rPr>
            </w:pPr>
            <w:r>
              <w:rPr>
                <w:rFonts w:ascii="Arial" w:cs="Arial" w:eastAsia="Arial" w:hAnsi="Arial"/>
                <w:sz w:val="15"/>
                <w:szCs w:val="15"/>
                <w:b w:val="1"/>
                <w:bCs w:val="1"/>
                <w:color w:val="auto"/>
                <w:w w:val="87"/>
              </w:rPr>
              <w:t>September 30,</w:t>
            </w:r>
          </w:p>
        </w:tc>
      </w:tr>
      <w:tr>
        <w:trPr>
          <w:trHeight w:val="188"/>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5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45"/>
              <w:spacing w:after="0"/>
              <w:rPr>
                <w:sz w:val="20"/>
                <w:szCs w:val="20"/>
                <w:color w:val="auto"/>
              </w:rPr>
            </w:pPr>
            <w:r>
              <w:rPr>
                <w:rFonts w:ascii="Arial" w:cs="Arial" w:eastAsia="Arial" w:hAnsi="Arial"/>
                <w:sz w:val="15"/>
                <w:szCs w:val="15"/>
                <w:b w:val="1"/>
                <w:bCs w:val="1"/>
                <w:color w:val="auto"/>
              </w:rPr>
              <w:t>(Restated)</w:t>
            </w:r>
          </w:p>
        </w:tc>
      </w:tr>
      <w:tr>
        <w:trPr>
          <w:trHeight w:val="193"/>
        </w:trPr>
        <w:tc>
          <w:tcPr>
            <w:tcW w:w="540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RNG fuel</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17,892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83,196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center"/>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37,066</w:t>
            </w: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Fuel station services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18,387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55,524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35,560</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Renewable Power</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10,905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32,342</w:t>
            </w:r>
          </w:p>
        </w:tc>
      </w:tr>
      <w:tr>
        <w:trPr>
          <w:trHeight w:val="186"/>
        </w:trPr>
        <w:tc>
          <w:tcPr>
            <w:tcW w:w="5400" w:type="dxa"/>
            <w:vAlign w:val="bottom"/>
          </w:tcPr>
          <w:p>
            <w:pPr>
              <w:ind w:left="300"/>
              <w:spacing w:after="0"/>
              <w:rPr>
                <w:sz w:val="20"/>
                <w:szCs w:val="20"/>
                <w:color w:val="auto"/>
              </w:rPr>
            </w:pPr>
            <w:r>
              <w:rPr>
                <w:rFonts w:ascii="Arial" w:cs="Arial" w:eastAsia="Arial" w:hAnsi="Arial"/>
                <w:sz w:val="15"/>
                <w:szCs w:val="15"/>
                <w:color w:val="auto"/>
              </w:rPr>
              <w:t>Total revenues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66,550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47,184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168,814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104,968</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Cost of sales - RNG fuel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20,959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11,973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51,843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23,053</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Cost of sales - Fuel station services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20,886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49,643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29,775</w:t>
            </w: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Cost of sales - Renewable Power</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23,593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23,952</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7,922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34,561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19,107</w:t>
            </w: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Depreciation, amortization, and accretion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9,816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6,672</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68,499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44,030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169,456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102,559</w:t>
            </w:r>
          </w:p>
        </w:tc>
      </w:tr>
      <w:tr>
        <w:trPr>
          <w:trHeight w:val="186"/>
        </w:trPr>
        <w:tc>
          <w:tcPr>
            <w:tcW w:w="5400" w:type="dxa"/>
            <w:vAlign w:val="bottom"/>
          </w:tcPr>
          <w:p>
            <w:pPr>
              <w:ind w:left="300"/>
              <w:spacing w:after="0"/>
              <w:rPr>
                <w:sz w:val="20"/>
                <w:szCs w:val="20"/>
                <w:color w:val="auto"/>
              </w:rPr>
            </w:pPr>
            <w:r>
              <w:rPr>
                <w:rFonts w:ascii="Arial" w:cs="Arial" w:eastAsia="Arial" w:hAnsi="Arial"/>
                <w:sz w:val="15"/>
                <w:szCs w:val="15"/>
                <w:color w:val="auto"/>
              </w:rPr>
              <w:t>Operating (loss) income</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(1,949)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3,154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(642)</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2,409</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(expense) income:</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Interest and financing expense, net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(5,659)</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Change in fair value of derivative instruments, net</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Gain on acquisition of equity method investment</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19,818</w:t>
            </w:r>
          </w:p>
        </w:tc>
      </w:tr>
      <w:tr>
        <w:trPr>
          <w:trHeight w:val="193"/>
        </w:trPr>
        <w:tc>
          <w:tcPr>
            <w:tcW w:w="5400" w:type="dxa"/>
            <w:vAlign w:val="bottom"/>
          </w:tcPr>
          <w:p>
            <w:pPr>
              <w:ind w:left="180"/>
              <w:spacing w:after="0"/>
              <w:rPr>
                <w:sz w:val="20"/>
                <w:szCs w:val="20"/>
                <w:color w:val="auto"/>
              </w:rPr>
            </w:pPr>
            <w:r>
              <w:rPr>
                <w:rFonts w:ascii="Arial" w:cs="Arial" w:eastAsia="Arial" w:hAnsi="Arial"/>
                <w:sz w:val="15"/>
                <w:szCs w:val="15"/>
                <w:color w:val="auto"/>
              </w:rPr>
              <w:t>Income from equity method investments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3,694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2,392</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Income before provision for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18,950</w:t>
            </w:r>
          </w:p>
        </w:tc>
      </w:tr>
      <w:tr>
        <w:trPr>
          <w:trHeight w:val="186"/>
        </w:trPr>
        <w:tc>
          <w:tcPr>
            <w:tcW w:w="5400" w:type="dxa"/>
            <w:vAlign w:val="bottom"/>
          </w:tcPr>
          <w:p>
            <w:pPr>
              <w:ind w:left="140"/>
              <w:spacing w:after="0"/>
              <w:rPr>
                <w:sz w:val="20"/>
                <w:szCs w:val="20"/>
                <w:color w:val="auto"/>
              </w:rPr>
            </w:pPr>
            <w:r>
              <w:rPr>
                <w:rFonts w:ascii="Arial" w:cs="Arial" w:eastAsia="Arial" w:hAnsi="Arial"/>
                <w:sz w:val="15"/>
                <w:szCs w:val="15"/>
                <w:color w:val="auto"/>
              </w:rPr>
              <w:t>Provision for income taxes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18,950</w:t>
            </w:r>
          </w:p>
        </w:tc>
      </w:tr>
      <w:tr>
        <w:trPr>
          <w:trHeight w:val="186"/>
        </w:trPr>
        <w:tc>
          <w:tcPr>
            <w:tcW w:w="5400" w:type="dxa"/>
            <w:vAlign w:val="bottom"/>
          </w:tcPr>
          <w:p>
            <w:pPr>
              <w:ind w:left="140"/>
              <w:spacing w:after="0"/>
              <w:rPr>
                <w:sz w:val="20"/>
                <w:szCs w:val="20"/>
                <w:color w:val="auto"/>
              </w:rPr>
            </w:pPr>
            <w:r>
              <w:rPr>
                <w:rFonts w:ascii="Arial" w:cs="Arial" w:eastAsia="Arial" w:hAnsi="Arial"/>
                <w:sz w:val="15"/>
                <w:szCs w:val="15"/>
                <w:color w:val="auto"/>
              </w:rPr>
              <w:t>Net income (loss) attributable to redeemable non-controlling interests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4,161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(2,584)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5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loss attributable to non-redeemable non-controlling interests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24"/>
        </w:trPr>
        <w:tc>
          <w:tcPr>
            <w:tcW w:w="5400" w:type="dxa"/>
            <w:vAlign w:val="bottom"/>
          </w:tcPr>
          <w:p>
            <w:pPr>
              <w:ind w:left="300"/>
              <w:spacing w:after="0"/>
              <w:rPr>
                <w:sz w:val="20"/>
                <w:szCs w:val="20"/>
                <w:color w:val="auto"/>
              </w:rPr>
            </w:pPr>
            <w:r>
              <w:rPr>
                <w:rFonts w:ascii="Arial" w:cs="Arial" w:eastAsia="Arial" w:hAnsi="Arial"/>
                <w:sz w:val="15"/>
                <w:szCs w:val="15"/>
                <w:color w:val="auto"/>
              </w:rPr>
              <w:t xml:space="preserve">Paid-in-kind preferred dividends </w:t>
            </w:r>
            <w:r>
              <w:rPr>
                <w:rFonts w:ascii="Arial" w:cs="Arial" w:eastAsia="Arial" w:hAnsi="Arial"/>
                <w:sz w:val="19"/>
                <w:szCs w:val="19"/>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Net income attributable to OPAL Fuels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center"/>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19,364</w:t>
            </w:r>
          </w:p>
        </w:tc>
      </w:tr>
      <w:tr>
        <w:trPr>
          <w:trHeight w:val="186"/>
        </w:trPr>
        <w:tc>
          <w:tcPr>
            <w:tcW w:w="5400" w:type="dxa"/>
            <w:vAlign w:val="bottom"/>
          </w:tcPr>
          <w:p>
            <w:pPr>
              <w:ind w:left="300"/>
              <w:spacing w:after="0"/>
              <w:rPr>
                <w:sz w:val="20"/>
                <w:szCs w:val="20"/>
                <w:color w:val="auto"/>
              </w:rPr>
            </w:pPr>
            <w:r>
              <w:rPr>
                <w:rFonts w:ascii="Arial" w:cs="Arial" w:eastAsia="Arial" w:hAnsi="Arial"/>
                <w:sz w:val="15"/>
                <w:szCs w:val="15"/>
                <w:color w:val="auto"/>
              </w:rPr>
              <w:t>Net loss attributable to Class A common stockholders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center"/>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4"/>
        </w:trPr>
        <w:tc>
          <w:tcPr>
            <w:tcW w:w="5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Weighted average shares outstanding of Class A common stock :</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rPr>
              <w:t>25,671,390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25,671,390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Diluted</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25,823,772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25,823,772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Per share amounts: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4"/>
        </w:trPr>
        <w:tc>
          <w:tcPr>
            <w:tcW w:w="5400" w:type="dxa"/>
            <w:vAlign w:val="bottom"/>
          </w:tcPr>
          <w:p>
            <w:pPr>
              <w:ind w:left="300"/>
              <w:spacing w:after="0"/>
              <w:rPr>
                <w:sz w:val="20"/>
                <w:szCs w:val="20"/>
                <w:color w:val="auto"/>
              </w:rPr>
            </w:pPr>
            <w:r>
              <w:rPr>
                <w:rFonts w:ascii="Arial" w:cs="Arial" w:eastAsia="Arial" w:hAnsi="Arial"/>
                <w:sz w:val="15"/>
                <w:szCs w:val="15"/>
                <w:color w:val="auto"/>
              </w:rPr>
              <w:t xml:space="preserve">Basic </w:t>
            </w:r>
            <w:r>
              <w:rPr>
                <w:rFonts w:ascii="Arial" w:cs="Arial" w:eastAsia="Arial" w:hAnsi="Arial"/>
                <w:sz w:val="19"/>
                <w:szCs w:val="19"/>
                <w:color w:val="auto"/>
                <w:vertAlign w:val="superscript"/>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(0.04)</w:t>
            </w:r>
          </w:p>
        </w:tc>
        <w:tc>
          <w:tcPr>
            <w:tcW w:w="120" w:type="dxa"/>
            <w:vAlign w:val="bottom"/>
          </w:tcPr>
          <w:p>
            <w:pPr>
              <w:spacing w:after="0"/>
              <w:rPr>
                <w:sz w:val="19"/>
                <w:szCs w:val="19"/>
                <w:color w:val="auto"/>
              </w:rPr>
            </w:pPr>
          </w:p>
        </w:tc>
        <w:tc>
          <w:tcPr>
            <w:tcW w:w="260" w:type="dxa"/>
            <w:vAlign w:val="bottom"/>
          </w:tcPr>
          <w:p>
            <w:pPr>
              <w:jc w:val="center"/>
              <w:ind w:right="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5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 xml:space="preserve">Diluted </w:t>
            </w:r>
            <w:r>
              <w:rPr>
                <w:rFonts w:ascii="Arial" w:cs="Arial" w:eastAsia="Arial" w:hAnsi="Arial"/>
                <w:sz w:val="19"/>
                <w:szCs w:val="19"/>
                <w:color w:val="auto"/>
                <w:vertAlign w:val="superscript"/>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40" w:lineRule="exact"/>
        <w:rPr>
          <w:sz w:val="20"/>
          <w:szCs w:val="20"/>
          <w:color w:val="auto"/>
        </w:rPr>
      </w:pPr>
    </w:p>
    <w:p>
      <w:pPr>
        <w:ind w:left="1" w:right="320" w:hanging="1"/>
        <w:spacing w:after="0" w:line="230" w:lineRule="auto"/>
        <w:tabs>
          <w:tab w:leader="none" w:pos="183"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 xml:space="preserve">Paid-in-kind preferred dividend is allocated between redeemable non-controlling interests and Class A common stockholders basis their weighted average percentage of ownership. Please see Note.14 </w:t>
      </w:r>
      <w:r>
        <w:rPr>
          <w:rFonts w:ascii="Arial" w:cs="Arial" w:eastAsia="Arial" w:hAnsi="Arial"/>
          <w:sz w:val="13"/>
          <w:szCs w:val="13"/>
          <w:i w:val="1"/>
          <w:iCs w:val="1"/>
          <w:color w:val="auto"/>
        </w:rPr>
        <w:t>Redeemable non-controlling interests, redeemable preferred non-controlling interests and stockholders' equity</w:t>
      </w:r>
      <w:r>
        <w:rPr>
          <w:rFonts w:ascii="Arial" w:cs="Arial" w:eastAsia="Arial" w:hAnsi="Arial"/>
          <w:sz w:val="13"/>
          <w:szCs w:val="13"/>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69" w:right="339" w:bottom="1440" w:gutter="0" w:footer="0" w:header="0"/>
        </w:sectPr>
      </w:pPr>
    </w:p>
    <w:bookmarkStart w:id="7" w:name="page8"/>
    <w:bookmarkEnd w:id="7"/>
    <w:p>
      <w:pPr>
        <w:ind w:left="1" w:hanging="1"/>
        <w:spacing w:after="0" w:line="259" w:lineRule="auto"/>
        <w:tabs>
          <w:tab w:leader="none" w:pos="151"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Loss per share information has not been presented for the periods prior to the Business Combination (as defined in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as it would not be meaningful to the users of these unaudited condensed consolidated financial statements, Refer to Note 3, Business Combination</w:t>
      </w:r>
      <w:r>
        <w:rPr>
          <w:rFonts w:ascii="Arial" w:cs="Arial" w:eastAsia="Arial" w:hAnsi="Arial"/>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OPAL FUELS INC.</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(In thousands of U.S. dollars)</w:t>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tbl>
      <w:tblPr>
        <w:tblLayout w:type="fixed"/>
        <w:tblInd w:w="481" w:type="dxa"/>
        <w:tblCellMar>
          <w:top w:w="0" w:type="dxa"/>
          <w:left w:w="0" w:type="dxa"/>
          <w:bottom w:w="0" w:type="dxa"/>
          <w:right w:w="0" w:type="dxa"/>
        </w:tblCellMar>
      </w:tblPr>
      <w:tr>
        <w:trPr>
          <w:trHeight w:val="211"/>
        </w:trPr>
        <w:tc>
          <w:tcPr>
            <w:tcW w:w="4400" w:type="dxa"/>
            <w:vAlign w:val="bottom"/>
            <w:shd w:val="clear" w:color="auto" w:fill="CCEEFF"/>
          </w:tcPr>
          <w:p>
            <w:pPr>
              <w:spacing w:after="0"/>
              <w:rPr>
                <w:sz w:val="18"/>
                <w:szCs w:val="18"/>
                <w:color w:val="auto"/>
              </w:rPr>
            </w:pPr>
          </w:p>
        </w:tc>
        <w:tc>
          <w:tcPr>
            <w:tcW w:w="3100" w:type="dxa"/>
            <w:vAlign w:val="bottom"/>
            <w:gridSpan w:val="6"/>
            <w:shd w:val="clear" w:color="auto" w:fill="CCEEFF"/>
          </w:tcPr>
          <w:p>
            <w:pPr>
              <w:ind w:left="220"/>
              <w:spacing w:after="0"/>
              <w:rPr>
                <w:sz w:val="20"/>
                <w:szCs w:val="20"/>
                <w:color w:val="auto"/>
              </w:rPr>
            </w:pPr>
            <w:r>
              <w:rPr>
                <w:rFonts w:ascii="Arial" w:cs="Arial" w:eastAsia="Arial" w:hAnsi="Arial"/>
                <w:sz w:val="17"/>
                <w:szCs w:val="17"/>
                <w:b w:val="1"/>
                <w:bCs w:val="1"/>
                <w:color w:val="auto"/>
                <w:w w:val="98"/>
              </w:rPr>
              <w:t>Three Months Ended September 30,</w:t>
            </w:r>
          </w:p>
        </w:tc>
        <w:tc>
          <w:tcPr>
            <w:tcW w:w="1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9"/>
              </w:rPr>
              <w:t>Nine Months Ended September 30,</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98"/>
              </w:rPr>
              <w:t>(Restated)</w:t>
            </w:r>
          </w:p>
        </w:tc>
        <w:tc>
          <w:tcPr>
            <w:tcW w:w="0" w:type="dxa"/>
            <w:vAlign w:val="bottom"/>
          </w:tcPr>
          <w:p>
            <w:pPr>
              <w:spacing w:after="0"/>
              <w:rPr>
                <w:sz w:val="1"/>
                <w:szCs w:val="1"/>
                <w:color w:val="auto"/>
              </w:rPr>
            </w:pPr>
          </w:p>
        </w:tc>
      </w:tr>
      <w:tr>
        <w:trPr>
          <w:trHeight w:val="211"/>
        </w:trPr>
        <w:tc>
          <w:tcPr>
            <w:tcW w:w="4400" w:type="dxa"/>
            <w:vAlign w:val="bottom"/>
          </w:tcPr>
          <w:p>
            <w:pPr>
              <w:ind w:left="10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5,369</w:t>
            </w:r>
          </w:p>
        </w:tc>
        <w:tc>
          <w:tcPr>
            <w:tcW w:w="10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18,950</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comprehensive income: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100"/>
              <w:spacing w:after="0"/>
              <w:rPr>
                <w:sz w:val="20"/>
                <w:szCs w:val="20"/>
                <w:color w:val="auto"/>
              </w:rPr>
            </w:pPr>
            <w:r>
              <w:rPr>
                <w:rFonts w:ascii="Arial" w:cs="Arial" w:eastAsia="Arial" w:hAnsi="Arial"/>
                <w:sz w:val="17"/>
                <w:szCs w:val="17"/>
                <w:color w:val="auto"/>
              </w:rPr>
              <w:t>Net unrealized gain on cash flow hedges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comprehensive income</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6,558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18,950</w:t>
            </w:r>
          </w:p>
        </w:tc>
        <w:tc>
          <w:tcPr>
            <w:tcW w:w="0" w:type="dxa"/>
            <w:vAlign w:val="bottom"/>
          </w:tcPr>
          <w:p>
            <w:pPr>
              <w:spacing w:after="0"/>
              <w:rPr>
                <w:sz w:val="1"/>
                <w:szCs w:val="1"/>
                <w:color w:val="auto"/>
              </w:rPr>
            </w:pPr>
          </w:p>
        </w:tc>
      </w:tr>
      <w:tr>
        <w:trPr>
          <w:trHeight w:val="179"/>
        </w:trPr>
        <w:tc>
          <w:tcPr>
            <w:tcW w:w="4400" w:type="dxa"/>
            <w:vAlign w:val="bottom"/>
          </w:tcPr>
          <w:p>
            <w:pPr>
              <w:ind w:left="120"/>
              <w:spacing w:after="0" w:line="179" w:lineRule="exact"/>
              <w:rPr>
                <w:sz w:val="20"/>
                <w:szCs w:val="20"/>
                <w:color w:val="auto"/>
              </w:rPr>
            </w:pPr>
            <w:r>
              <w:rPr>
                <w:rFonts w:ascii="Arial" w:cs="Arial" w:eastAsia="Arial" w:hAnsi="Arial"/>
                <w:sz w:val="17"/>
                <w:szCs w:val="17"/>
                <w:color w:val="auto"/>
              </w:rPr>
              <w:t>Net income attributable to Redeemable non-controlling</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300"/>
              <w:spacing w:after="0"/>
              <w:rPr>
                <w:sz w:val="20"/>
                <w:szCs w:val="20"/>
                <w:color w:val="auto"/>
              </w:rPr>
            </w:pPr>
            <w:r>
              <w:rPr>
                <w:rFonts w:ascii="Arial" w:cs="Arial" w:eastAsia="Arial" w:hAnsi="Arial"/>
                <w:sz w:val="17"/>
                <w:szCs w:val="17"/>
                <w:color w:val="auto"/>
              </w:rPr>
              <w:t>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6,509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100"/>
              <w:spacing w:after="0" w:line="162" w:lineRule="exact"/>
              <w:rPr>
                <w:sz w:val="20"/>
                <w:szCs w:val="20"/>
                <w:color w:val="auto"/>
              </w:rPr>
            </w:pPr>
            <w:r>
              <w:rPr>
                <w:rFonts w:ascii="Arial" w:cs="Arial" w:eastAsia="Arial" w:hAnsi="Arial"/>
                <w:sz w:val="17"/>
                <w:szCs w:val="17"/>
                <w:color w:val="auto"/>
                <w:w w:val="91"/>
              </w:rPr>
              <w:t>Other comprehensive income attributable to Redeemable non-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controlling interests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4400" w:type="dxa"/>
            <w:vAlign w:val="bottom"/>
          </w:tcPr>
          <w:p>
            <w:pPr>
              <w:ind w:left="100"/>
              <w:spacing w:after="0" w:line="162" w:lineRule="exact"/>
              <w:rPr>
                <w:sz w:val="20"/>
                <w:szCs w:val="20"/>
                <w:color w:val="auto"/>
              </w:rPr>
            </w:pPr>
            <w:r>
              <w:rPr>
                <w:rFonts w:ascii="Arial" w:cs="Arial" w:eastAsia="Arial" w:hAnsi="Arial"/>
                <w:sz w:val="17"/>
                <w:szCs w:val="17"/>
                <w:color w:val="auto"/>
                <w:w w:val="99"/>
              </w:rPr>
              <w:t>Comprehensive loss attributable to non-redeemable non-</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100"/>
              <w:spacing w:after="0"/>
              <w:rPr>
                <w:sz w:val="20"/>
                <w:szCs w:val="20"/>
                <w:color w:val="auto"/>
              </w:rPr>
            </w:pPr>
            <w:r>
              <w:rPr>
                <w:rFonts w:ascii="Arial" w:cs="Arial" w:eastAsia="Arial" w:hAnsi="Arial"/>
                <w:sz w:val="17"/>
                <w:szCs w:val="17"/>
                <w:color w:val="auto"/>
              </w:rPr>
              <w:t>controlling 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Paid-in-kind preferred dividends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Comprehensive income attributable to OPAL Fuels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19,364</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Comprehensive loss attributable to Class A common</w:t>
            </w:r>
          </w:p>
        </w:tc>
        <w:tc>
          <w:tcPr>
            <w:tcW w:w="940" w:type="dxa"/>
            <w:vAlign w:val="bottom"/>
            <w:vMerge w:val="restart"/>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stockholders</w:t>
            </w:r>
          </w:p>
        </w:tc>
        <w:tc>
          <w:tcPr>
            <w:tcW w:w="9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202565</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21"/>
          </w:cols>
          <w:pgMar w:left="319" w:top="1039"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OPAL FUELS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REDEEMABLE NON-CONTROLLING INTEREST, REDEEMABLE PREFERRED NON-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CONTROLLING INTEREST AND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per unit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ectPr>
          <w:pgSz w:w="11900" w:h="16838" w:orient="portrait"/>
          <w:cols w:equalWidth="0" w:num="1">
            <w:col w:w="10360"/>
          </w:cols>
          <w:pgMar w:left="760" w:top="873" w:right="7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86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rPr>
              <w:t>Legacy Series A-1</w:t>
            </w:r>
          </w:p>
        </w:tc>
        <w:tc>
          <w:tcPr>
            <w:tcW w:w="108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Legacy Common</w:t>
            </w:r>
          </w:p>
        </w:tc>
        <w:tc>
          <w:tcPr>
            <w:tcW w:w="128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Class A common</w:t>
            </w:r>
          </w:p>
        </w:tc>
        <w:tc>
          <w:tcPr>
            <w:tcW w:w="1360" w:type="dxa"/>
            <w:vAlign w:val="bottom"/>
            <w:gridSpan w:val="5"/>
            <w:vMerge w:val="restart"/>
            <w:shd w:val="clear" w:color="auto" w:fill="CCEEFF"/>
          </w:tcPr>
          <w:p>
            <w:pPr>
              <w:ind w:left="40"/>
              <w:spacing w:after="0"/>
              <w:rPr>
                <w:sz w:val="20"/>
                <w:szCs w:val="20"/>
                <w:color w:val="auto"/>
              </w:rPr>
            </w:pPr>
            <w:r>
              <w:rPr>
                <w:rFonts w:ascii="Arial" w:cs="Arial" w:eastAsia="Arial" w:hAnsi="Arial"/>
                <w:sz w:val="13"/>
                <w:szCs w:val="13"/>
                <w:color w:val="auto"/>
                <w:w w:val="97"/>
              </w:rPr>
              <w:t>Class D common stock</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4"/>
            <w:vMerge w:val="restart"/>
            <w:shd w:val="clear" w:color="auto" w:fill="CCEEFF"/>
          </w:tcPr>
          <w:p>
            <w:pPr>
              <w:jc w:val="right"/>
              <w:ind w:right="194"/>
              <w:spacing w:after="0"/>
              <w:rPr>
                <w:sz w:val="20"/>
                <w:szCs w:val="20"/>
                <w:color w:val="auto"/>
              </w:rPr>
            </w:pPr>
            <w:r>
              <w:rPr>
                <w:rFonts w:ascii="Arial" w:cs="Arial" w:eastAsia="Arial" w:hAnsi="Arial"/>
                <w:sz w:val="13"/>
                <w:szCs w:val="13"/>
                <w:color w:val="auto"/>
              </w:rPr>
              <w:t>Mezzanine Equity</w:t>
            </w: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Preferred Units</w:t>
            </w:r>
          </w:p>
        </w:tc>
        <w:tc>
          <w:tcPr>
            <w:tcW w:w="1080" w:type="dxa"/>
            <w:vAlign w:val="bottom"/>
            <w:gridSpan w:val="4"/>
            <w:shd w:val="clear" w:color="auto" w:fill="CCEEFF"/>
          </w:tcPr>
          <w:p>
            <w:pPr>
              <w:ind w:left="360"/>
              <w:spacing w:after="0"/>
              <w:rPr>
                <w:sz w:val="20"/>
                <w:szCs w:val="20"/>
                <w:color w:val="auto"/>
              </w:rPr>
            </w:pPr>
            <w:r>
              <w:rPr>
                <w:rFonts w:ascii="Arial" w:cs="Arial" w:eastAsia="Arial" w:hAnsi="Arial"/>
                <w:sz w:val="13"/>
                <w:szCs w:val="13"/>
                <w:color w:val="auto"/>
              </w:rPr>
              <w:t>Units</w:t>
            </w:r>
          </w:p>
        </w:tc>
        <w:tc>
          <w:tcPr>
            <w:tcW w:w="76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w w:val="85"/>
              </w:rPr>
              <w:t>stock</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60" w:type="dxa"/>
            <w:vAlign w:val="bottom"/>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4"/>
              <w:spacing w:after="0" w:line="126" w:lineRule="exact"/>
              <w:rPr>
                <w:sz w:val="20"/>
                <w:szCs w:val="20"/>
                <w:color w:val="auto"/>
              </w:rPr>
            </w:pPr>
            <w:r>
              <w:rPr>
                <w:rFonts w:ascii="Arial" w:cs="Arial" w:eastAsia="Arial" w:hAnsi="Arial"/>
                <w:sz w:val="13"/>
                <w:szCs w:val="13"/>
                <w:color w:val="auto"/>
                <w:w w:val="99"/>
              </w:rPr>
              <w:t>Non-</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80"/>
              <w:spacing w:after="0" w:line="126" w:lineRule="exact"/>
              <w:rPr>
                <w:sz w:val="20"/>
                <w:szCs w:val="20"/>
                <w:color w:val="auto"/>
              </w:rPr>
            </w:pPr>
            <w:r>
              <w:rPr>
                <w:rFonts w:ascii="Arial" w:cs="Arial" w:eastAsia="Arial" w:hAnsi="Arial"/>
                <w:sz w:val="13"/>
                <w:szCs w:val="13"/>
                <w:color w:val="auto"/>
                <w:w w:val="89"/>
              </w:rPr>
              <w:t>Redeemable</w:t>
            </w:r>
          </w:p>
        </w:tc>
        <w:tc>
          <w:tcPr>
            <w:tcW w:w="7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color w:val="auto"/>
                <w:w w:val="86"/>
              </w:rPr>
              <w:t>Redeemable</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color w:val="auto"/>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2"/>
              </w:rPr>
              <w:t>Other</w:t>
            </w:r>
          </w:p>
        </w:tc>
        <w:tc>
          <w:tcPr>
            <w:tcW w:w="720" w:type="dxa"/>
            <w:vAlign w:val="bottom"/>
            <w:gridSpan w:val="3"/>
          </w:tcPr>
          <w:p>
            <w:pPr>
              <w:jc w:val="center"/>
              <w:ind w:right="80"/>
              <w:spacing w:after="0" w:line="128" w:lineRule="exact"/>
              <w:rPr>
                <w:sz w:val="20"/>
                <w:szCs w:val="20"/>
                <w:color w:val="auto"/>
              </w:rPr>
            </w:pPr>
            <w:r>
              <w:rPr>
                <w:rFonts w:ascii="Arial" w:cs="Arial" w:eastAsia="Arial" w:hAnsi="Arial"/>
                <w:sz w:val="13"/>
                <w:szCs w:val="13"/>
                <w:color w:val="auto"/>
                <w:w w:val="87"/>
              </w:rPr>
              <w:t>redeemable</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13"/>
                <w:szCs w:val="13"/>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8" w:lineRule="exact"/>
              <w:rPr>
                <w:sz w:val="20"/>
                <w:szCs w:val="20"/>
                <w:color w:val="auto"/>
              </w:rPr>
            </w:pPr>
            <w:r>
              <w:rPr>
                <w:rFonts w:ascii="Arial" w:cs="Arial" w:eastAsia="Arial" w:hAnsi="Arial"/>
                <w:sz w:val="13"/>
                <w:szCs w:val="13"/>
                <w:color w:val="auto"/>
                <w:w w:val="92"/>
              </w:rPr>
              <w:t>Preferred</w:t>
            </w: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4" w:lineRule="exact"/>
              <w:rPr>
                <w:sz w:val="20"/>
                <w:szCs w:val="20"/>
                <w:color w:val="auto"/>
              </w:rPr>
            </w:pPr>
            <w:r>
              <w:rPr>
                <w:rFonts w:ascii="Arial" w:cs="Arial" w:eastAsia="Arial" w:hAnsi="Arial"/>
                <w:sz w:val="13"/>
                <w:szCs w:val="13"/>
                <w:color w:val="auto"/>
                <w:w w:val="92"/>
              </w:rPr>
              <w:t>non-</w:t>
            </w:r>
          </w:p>
        </w:tc>
        <w:tc>
          <w:tcPr>
            <w:tcW w:w="12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24" w:lineRule="exact"/>
              <w:rPr>
                <w:sz w:val="20"/>
                <w:szCs w:val="20"/>
                <w:color w:val="auto"/>
              </w:rPr>
            </w:pPr>
            <w:r>
              <w:rPr>
                <w:rFonts w:ascii="Arial" w:cs="Arial" w:eastAsia="Arial" w:hAnsi="Arial"/>
                <w:sz w:val="13"/>
                <w:szCs w:val="13"/>
                <w:color w:val="auto"/>
                <w:w w:val="92"/>
              </w:rPr>
              <w:t>non-</w:t>
            </w:r>
          </w:p>
        </w:tc>
        <w:tc>
          <w:tcPr>
            <w:tcW w:w="100" w:type="dxa"/>
            <w:vAlign w:val="bottom"/>
          </w:tcPr>
          <w:p>
            <w:pPr>
              <w:spacing w:after="0"/>
              <w:rPr>
                <w:sz w:val="10"/>
                <w:szCs w:val="10"/>
                <w:color w:val="auto"/>
              </w:rPr>
            </w:pPr>
          </w:p>
        </w:tc>
        <w:tc>
          <w:tcPr>
            <w:tcW w:w="620" w:type="dxa"/>
            <w:vAlign w:val="bottom"/>
          </w:tcPr>
          <w:p>
            <w:pPr>
              <w:jc w:val="center"/>
              <w:ind w:right="34"/>
              <w:spacing w:after="0" w:line="124" w:lineRule="exact"/>
              <w:rPr>
                <w:sz w:val="20"/>
                <w:szCs w:val="20"/>
                <w:color w:val="auto"/>
              </w:rPr>
            </w:pPr>
            <w:r>
              <w:rPr>
                <w:rFonts w:ascii="Arial" w:cs="Arial" w:eastAsia="Arial" w:hAnsi="Arial"/>
                <w:sz w:val="13"/>
                <w:szCs w:val="13"/>
                <w:color w:val="auto"/>
                <w:w w:val="92"/>
              </w:rPr>
              <w:t>non-</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paid-in</w:t>
            </w:r>
          </w:p>
        </w:tc>
        <w:tc>
          <w:tcPr>
            <w:tcW w:w="860" w:type="dxa"/>
            <w:vAlign w:val="bottom"/>
            <w:gridSpan w:val="3"/>
          </w:tcPr>
          <w:p>
            <w:pPr>
              <w:ind w:left="40"/>
              <w:spacing w:after="0" w:line="137" w:lineRule="exact"/>
              <w:rPr>
                <w:sz w:val="20"/>
                <w:szCs w:val="20"/>
                <w:color w:val="auto"/>
              </w:rPr>
            </w:pPr>
            <w:r>
              <w:rPr>
                <w:rFonts w:ascii="Arial" w:cs="Arial" w:eastAsia="Arial" w:hAnsi="Arial"/>
                <w:sz w:val="13"/>
                <w:szCs w:val="13"/>
                <w:color w:val="auto"/>
              </w:rPr>
              <w:t>Accumulated</w:t>
            </w:r>
          </w:p>
        </w:tc>
        <w:tc>
          <w:tcPr>
            <w:tcW w:w="920" w:type="dxa"/>
            <w:vAlign w:val="bottom"/>
            <w:gridSpan w:val="3"/>
          </w:tcPr>
          <w:p>
            <w:pPr>
              <w:ind w:left="20"/>
              <w:spacing w:after="0" w:line="137" w:lineRule="exact"/>
              <w:rPr>
                <w:sz w:val="20"/>
                <w:szCs w:val="20"/>
                <w:color w:val="auto"/>
              </w:rPr>
            </w:pPr>
            <w:r>
              <w:rPr>
                <w:rFonts w:ascii="Arial" w:cs="Arial" w:eastAsia="Arial" w:hAnsi="Arial"/>
                <w:sz w:val="13"/>
                <w:szCs w:val="13"/>
                <w:color w:val="auto"/>
                <w:w w:val="99"/>
              </w:rPr>
              <w:t>comprehensive</w:t>
            </w:r>
          </w:p>
        </w:tc>
        <w:tc>
          <w:tcPr>
            <w:tcW w:w="720" w:type="dxa"/>
            <w:vAlign w:val="bottom"/>
            <w:gridSpan w:val="3"/>
          </w:tcPr>
          <w:p>
            <w:pPr>
              <w:jc w:val="center"/>
              <w:ind w:right="100"/>
              <w:spacing w:after="0" w:line="137" w:lineRule="exact"/>
              <w:rPr>
                <w:sz w:val="20"/>
                <w:szCs w:val="20"/>
                <w:color w:val="auto"/>
              </w:rPr>
            </w:pPr>
            <w:r>
              <w:rPr>
                <w:rFonts w:ascii="Arial" w:cs="Arial" w:eastAsia="Arial" w:hAnsi="Arial"/>
                <w:sz w:val="13"/>
                <w:szCs w:val="13"/>
                <w:color w:val="auto"/>
                <w:w w:val="97"/>
              </w:rPr>
              <w:t>controlling</w:t>
            </w:r>
          </w:p>
        </w:tc>
        <w:tc>
          <w:tcPr>
            <w:tcW w:w="800" w:type="dxa"/>
            <w:vAlign w:val="bottom"/>
            <w:tcBorders>
              <w:right w:val="single" w:sz="8" w:color="auto"/>
            </w:tcBorders>
            <w:gridSpan w:val="2"/>
          </w:tcPr>
          <w:p>
            <w:pPr>
              <w:ind w:left="40"/>
              <w:spacing w:after="0" w:line="137" w:lineRule="exact"/>
              <w:rPr>
                <w:sz w:val="20"/>
                <w:szCs w:val="20"/>
                <w:color w:val="auto"/>
              </w:rPr>
            </w:pPr>
            <w:r>
              <w:rPr>
                <w:rFonts w:ascii="Arial" w:cs="Arial" w:eastAsia="Arial" w:hAnsi="Arial"/>
                <w:sz w:val="13"/>
                <w:szCs w:val="13"/>
                <w:color w:val="auto"/>
                <w:w w:val="92"/>
              </w:rPr>
              <w:t>Stockholders'</w:t>
            </w:r>
          </w:p>
        </w:tc>
        <w:tc>
          <w:tcPr>
            <w:tcW w:w="60" w:type="dxa"/>
            <w:vAlign w:val="bottom"/>
          </w:tcPr>
          <w:p>
            <w:pPr>
              <w:spacing w:after="0"/>
              <w:rPr>
                <w:sz w:val="11"/>
                <w:szCs w:val="11"/>
                <w:color w:val="auto"/>
              </w:rPr>
            </w:pPr>
          </w:p>
        </w:tc>
        <w:tc>
          <w:tcPr>
            <w:tcW w:w="780" w:type="dxa"/>
            <w:vAlign w:val="bottom"/>
            <w:gridSpan w:val="3"/>
          </w:tcPr>
          <w:p>
            <w:pPr>
              <w:jc w:val="center"/>
              <w:ind w:right="80"/>
              <w:spacing w:after="0" w:line="137" w:lineRule="exact"/>
              <w:rPr>
                <w:sz w:val="20"/>
                <w:szCs w:val="20"/>
                <w:color w:val="auto"/>
              </w:rPr>
            </w:pPr>
            <w:r>
              <w:rPr>
                <w:rFonts w:ascii="Arial" w:cs="Arial" w:eastAsia="Arial" w:hAnsi="Arial"/>
                <w:sz w:val="13"/>
                <w:szCs w:val="13"/>
                <w:color w:val="auto"/>
                <w:w w:val="97"/>
              </w:rPr>
              <w:t>controlling</w:t>
            </w:r>
          </w:p>
        </w:tc>
        <w:tc>
          <w:tcPr>
            <w:tcW w:w="720" w:type="dxa"/>
            <w:vAlign w:val="bottom"/>
            <w:gridSpan w:val="2"/>
          </w:tcPr>
          <w:p>
            <w:pPr>
              <w:jc w:val="center"/>
              <w:spacing w:after="0" w:line="137" w:lineRule="exact"/>
              <w:rPr>
                <w:sz w:val="20"/>
                <w:szCs w:val="20"/>
                <w:color w:val="auto"/>
              </w:rPr>
            </w:pPr>
            <w:r>
              <w:rPr>
                <w:rFonts w:ascii="Arial" w:cs="Arial" w:eastAsia="Arial" w:hAnsi="Arial"/>
                <w:sz w:val="13"/>
                <w:szCs w:val="13"/>
                <w:color w:val="auto"/>
                <w:w w:val="97"/>
              </w:rPr>
              <w:t>controlling</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Arial" w:cs="Arial" w:eastAsia="Arial" w:hAnsi="Arial"/>
                <w:sz w:val="13"/>
                <w:szCs w:val="13"/>
                <w:color w:val="auto"/>
              </w:rPr>
              <w:t>Units</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500" w:type="dxa"/>
            <w:vAlign w:val="bottom"/>
            <w:gridSpan w:val="2"/>
          </w:tcPr>
          <w:p>
            <w:pPr>
              <w:ind w:left="80"/>
              <w:spacing w:after="0"/>
              <w:rPr>
                <w:sz w:val="20"/>
                <w:szCs w:val="20"/>
                <w:color w:val="auto"/>
              </w:rPr>
            </w:pPr>
            <w:r>
              <w:rPr>
                <w:rFonts w:ascii="Arial" w:cs="Arial" w:eastAsia="Arial" w:hAnsi="Arial"/>
                <w:sz w:val="13"/>
                <w:szCs w:val="13"/>
                <w:color w:val="auto"/>
              </w:rPr>
              <w:t>Units</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760" w:type="dxa"/>
            <w:vAlign w:val="bottom"/>
            <w:gridSpan w:val="3"/>
          </w:tcPr>
          <w:p>
            <w:pPr>
              <w:ind w:left="160"/>
              <w:spacing w:after="0"/>
              <w:rPr>
                <w:sz w:val="20"/>
                <w:szCs w:val="20"/>
                <w:color w:val="auto"/>
              </w:rPr>
            </w:pPr>
            <w:r>
              <w:rPr>
                <w:rFonts w:ascii="Arial" w:cs="Arial" w:eastAsia="Arial" w:hAnsi="Arial"/>
                <w:sz w:val="13"/>
                <w:szCs w:val="13"/>
                <w:color w:val="auto"/>
              </w:rPr>
              <w:t>Shares</w:t>
            </w:r>
          </w:p>
        </w:tc>
        <w:tc>
          <w:tcPr>
            <w:tcW w:w="520" w:type="dxa"/>
            <w:vAlign w:val="bottom"/>
            <w:gridSpan w:val="3"/>
          </w:tcPr>
          <w:p>
            <w:pPr>
              <w:spacing w:after="0"/>
              <w:rPr>
                <w:sz w:val="20"/>
                <w:szCs w:val="20"/>
                <w:color w:val="auto"/>
              </w:rPr>
            </w:pPr>
            <w:r>
              <w:rPr>
                <w:rFonts w:ascii="Arial" w:cs="Arial" w:eastAsia="Arial" w:hAnsi="Arial"/>
                <w:sz w:val="13"/>
                <w:szCs w:val="13"/>
                <w:color w:val="auto"/>
              </w:rPr>
              <w:t>Amount</w:t>
            </w:r>
          </w:p>
        </w:tc>
        <w:tc>
          <w:tcPr>
            <w:tcW w:w="82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capital</w:t>
            </w:r>
          </w:p>
        </w:tc>
        <w:tc>
          <w:tcPr>
            <w:tcW w:w="1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deficit</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w:t>
            </w:r>
          </w:p>
        </w:tc>
        <w:tc>
          <w:tcPr>
            <w:tcW w:w="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interests</w:t>
            </w:r>
          </w:p>
        </w:tc>
        <w:tc>
          <w:tcPr>
            <w:tcW w:w="120" w:type="dxa"/>
            <w:vAlign w:val="bottom"/>
          </w:tcPr>
          <w:p>
            <w:pPr>
              <w:spacing w:after="0"/>
              <w:rPr>
                <w:sz w:val="15"/>
                <w:szCs w:val="15"/>
                <w:color w:val="auto"/>
              </w:rPr>
            </w:pPr>
          </w:p>
        </w:tc>
        <w:tc>
          <w:tcPr>
            <w:tcW w:w="680" w:type="dxa"/>
            <w:vAlign w:val="bottom"/>
            <w:tcBorders>
              <w:right w:val="single" w:sz="8" w:color="auto"/>
            </w:tcBorders>
          </w:tcPr>
          <w:p>
            <w:pPr>
              <w:jc w:val="right"/>
              <w:ind w:right="174"/>
              <w:spacing w:after="0"/>
              <w:rPr>
                <w:sz w:val="20"/>
                <w:szCs w:val="20"/>
                <w:color w:val="auto"/>
              </w:rPr>
            </w:pPr>
            <w:r>
              <w:rPr>
                <w:rFonts w:ascii="Arial" w:cs="Arial" w:eastAsia="Arial" w:hAnsi="Arial"/>
                <w:sz w:val="13"/>
                <w:szCs w:val="13"/>
                <w:color w:val="auto"/>
              </w:rPr>
              <w:t>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interests</w:t>
            </w:r>
          </w:p>
        </w:tc>
        <w:tc>
          <w:tcPr>
            <w:tcW w:w="10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Arial" w:cs="Arial" w:eastAsia="Arial" w:hAnsi="Arial"/>
                <w:sz w:val="13"/>
                <w:szCs w:val="13"/>
                <w:color w:val="auto"/>
                <w:w w:val="89"/>
              </w:rPr>
              <w:t>interests</w:t>
            </w:r>
          </w:p>
        </w:tc>
        <w:tc>
          <w:tcPr>
            <w:tcW w:w="0" w:type="dxa"/>
            <w:vAlign w:val="bottom"/>
          </w:tcPr>
          <w:p>
            <w:pPr>
              <w:spacing w:after="0"/>
              <w:rPr>
                <w:sz w:val="1"/>
                <w:szCs w:val="1"/>
                <w:color w:val="auto"/>
              </w:rPr>
            </w:pPr>
          </w:p>
        </w:tc>
      </w:tr>
      <w:tr>
        <w:trPr>
          <w:trHeight w:val="114"/>
        </w:trPr>
        <w:tc>
          <w:tcPr>
            <w:tcW w:w="86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w w:val="96"/>
              </w:rPr>
              <w:t>December 31,</w:t>
            </w: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2021, as</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previously</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reported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$30,210</w:t>
            </w: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$47,592</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15,967</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64,747</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Retroactive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application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4"/>
              </w:rPr>
              <w:t>(30,210)</w:t>
            </w:r>
          </w:p>
        </w:tc>
        <w:tc>
          <w:tcPr>
            <w:tcW w:w="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7"/>
              </w:rPr>
              <w:t>(1,000)</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4"/>
              </w:rPr>
              <w:t>(47,592)</w:t>
            </w:r>
          </w:p>
        </w:tc>
        <w:tc>
          <w:tcPr>
            <w:tcW w:w="6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1"/>
              </w:rPr>
              <w:t>144,399,037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restart"/>
          </w:tcPr>
          <w:p>
            <w:pPr>
              <w:ind w:left="1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(15,967)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(63,545)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30,210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63,545</w:t>
            </w:r>
          </w:p>
        </w:tc>
        <w:tc>
          <w:tcPr>
            <w:tcW w:w="0" w:type="dxa"/>
            <w:vAlign w:val="bottom"/>
          </w:tcPr>
          <w:p>
            <w:pPr>
              <w:spacing w:after="0"/>
              <w:rPr>
                <w:sz w:val="1"/>
                <w:szCs w:val="1"/>
                <w:color w:val="auto"/>
              </w:rPr>
            </w:pPr>
          </w:p>
        </w:tc>
      </w:tr>
      <w:tr>
        <w:trPr>
          <w:trHeight w:val="179"/>
        </w:trPr>
        <w:tc>
          <w:tcPr>
            <w:tcW w:w="1500" w:type="dxa"/>
            <w:vAlign w:val="bottom"/>
            <w:gridSpan w:val="3"/>
          </w:tcPr>
          <w:p>
            <w:pPr>
              <w:ind w:left="20"/>
              <w:spacing w:after="0"/>
              <w:rPr>
                <w:sz w:val="20"/>
                <w:szCs w:val="20"/>
                <w:color w:val="auto"/>
              </w:rPr>
            </w:pPr>
            <w:r>
              <w:rPr>
                <w:rFonts w:ascii="Arial" w:cs="Arial" w:eastAsia="Arial" w:hAnsi="Arial"/>
                <w:sz w:val="13"/>
                <w:szCs w:val="13"/>
                <w:color w:val="auto"/>
              </w:rPr>
              <w:t>recapitalization (300,000)</w:t>
            </w: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60" w:type="dxa"/>
            <w:vAlign w:val="bottom"/>
            <w:tcBorders>
              <w:top w:val="single" w:sz="8" w:color="CCEEFF"/>
            </w:tcBorders>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w w:val="96"/>
              </w:rPr>
              <w:t>December 31,</w:t>
            </w: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2021, as</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144,399,037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30,210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63,545</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adjusted</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(4,225)</w:t>
            </w: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6"/>
              </w:rPr>
              <w:t>Proceeds from</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5,738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Amortization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9"/>
              </w:rPr>
              <w:t>on payment to</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acquire 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color w:val="auto"/>
              </w:rPr>
              <w:t>interest</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Issuance of</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w w:val="99"/>
              </w:rPr>
              <w:t>preferred 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controlling</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9"/>
              </w:rPr>
              <w:t>interest, net of</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issuance costs</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Stock-based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3"/>
        </w:trPr>
        <w:tc>
          <w:tcPr>
            <w:tcW w:w="86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Paid-in-kind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preferred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March 31,</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1"/>
              </w:rPr>
              <w:t>144,399,037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6,684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6,698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55,927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58,310</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2022</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w w:val="96"/>
              </w:rPr>
              <w:t>Proceeds from</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11,211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3"/>
        </w:trPr>
        <w:tc>
          <w:tcPr>
            <w:tcW w:w="860" w:type="dxa"/>
            <w:vAlign w:val="bottom"/>
          </w:tcPr>
          <w:p>
            <w:pPr>
              <w:ind w:left="20"/>
              <w:spacing w:after="0"/>
              <w:rPr>
                <w:sz w:val="20"/>
                <w:szCs w:val="20"/>
                <w:color w:val="auto"/>
              </w:rPr>
            </w:pPr>
            <w:r>
              <w:rPr>
                <w:rFonts w:ascii="Arial" w:cs="Arial" w:eastAsia="Arial" w:hAnsi="Arial"/>
                <w:sz w:val="13"/>
                <w:szCs w:val="13"/>
                <w:color w:val="auto"/>
              </w:rPr>
              <w:t>interest</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Amortization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9"/>
              </w:rPr>
              <w:t>on payment to</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acquire 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9"/>
              </w:rPr>
              <w:t>preferred 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controlling</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interest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0"/>
              </w:rPr>
              <w:t>issuance, net of</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color w:val="auto"/>
                <w:w w:val="96"/>
              </w:rPr>
              <w:t>issuance costs</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Stock-based</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Paid-in-kind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preferred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(1,718)</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Arial" w:cs="Arial" w:eastAsia="Arial" w:hAnsi="Arial"/>
                <w:sz w:val="13"/>
                <w:szCs w:val="13"/>
                <w:color w:val="auto"/>
              </w:rPr>
              <w:t>dividend</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6"/>
              </w:rPr>
              <w:t>June 30,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144,399,037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17,638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17,652</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132,645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56,622</w:t>
            </w:r>
          </w:p>
        </w:tc>
        <w:tc>
          <w:tcPr>
            <w:tcW w:w="0" w:type="dxa"/>
            <w:vAlign w:val="bottom"/>
          </w:tcPr>
          <w:p>
            <w:pPr>
              <w:spacing w:after="0"/>
              <w:rPr>
                <w:sz w:val="1"/>
                <w:szCs w:val="1"/>
                <w:color w:val="auto"/>
              </w:rPr>
            </w:pPr>
          </w:p>
        </w:tc>
      </w:tr>
      <w:tr>
        <w:trPr>
          <w:trHeight w:val="170"/>
        </w:trPr>
        <w:tc>
          <w:tcPr>
            <w:tcW w:w="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6,509</w:t>
            </w: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Unrealized</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gain on cash</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flow hedges</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Issuance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7"/>
              </w:rPr>
              <w:t>common stock</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from the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reverse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4"/>
              </w:rPr>
              <w:t>recapitalization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and PIPE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Investments,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net of warrant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liability, put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option and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earnout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22,611,857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68,255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68,257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color w:val="auto"/>
              </w:rPr>
              <w:t>liability</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Conversion of</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Convertible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Note Payable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to common</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3,059,533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30,595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30,595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Change in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rPr>
              <w:t>redemption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value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Arial" w:cs="Arial" w:eastAsia="Arial" w:hAnsi="Arial"/>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ind w:left="20"/>
              <w:spacing w:after="0" w:line="128"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4"/>
              </w:rPr>
              <w:t>(95,711)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3"/>
              </w:rPr>
              <w:t>(1,065,012)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w w:val="93"/>
              </w:rPr>
              <w:t>(1,160,723)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6"/>
              </w:rPr>
              <w:t>1,160,723</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6"/>
              </w:rPr>
              <w:t>Proceeds from</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(3,158)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9,361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6,203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
              <w:spacing w:after="0" w:line="133" w:lineRule="exact"/>
              <w:rPr>
                <w:sz w:val="20"/>
                <w:szCs w:val="20"/>
                <w:color w:val="auto"/>
              </w:rPr>
            </w:pPr>
            <w:r>
              <w:rPr>
                <w:rFonts w:ascii="Arial" w:cs="Arial" w:eastAsia="Arial" w:hAnsi="Arial"/>
                <w:sz w:val="13"/>
                <w:szCs w:val="13"/>
                <w:color w:val="auto"/>
              </w:rPr>
              <w:t>Stock-based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73"/>
        </w:trPr>
        <w:tc>
          <w:tcPr>
            <w:tcW w:w="86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Paid-in-kind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preferred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09" w:lineRule="exact"/>
              <w:rPr>
                <w:sz w:val="20"/>
                <w:szCs w:val="20"/>
                <w:color w:val="auto"/>
              </w:rPr>
            </w:pPr>
            <w:r>
              <w:rPr>
                <w:rFonts w:ascii="Arial" w:cs="Arial" w:eastAsia="Arial" w:hAnsi="Arial"/>
                <w:sz w:val="12"/>
                <w:szCs w:val="12"/>
                <w:b w:val="1"/>
                <w:bCs w:val="1"/>
                <w:color w:val="auto"/>
                <w:w w:val="99"/>
              </w:rPr>
              <w:t>September 30,</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25,671,390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1"/>
              </w:rPr>
              <w:t>144,399,037</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1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3"/>
              </w:rPr>
              <w:t>(1,066,137)</w:t>
            </w:r>
          </w:p>
        </w:tc>
        <w:tc>
          <w:tcPr>
            <w:tcW w:w="6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26,674</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w w:val="93"/>
              </w:rPr>
              <w:t>(1,039,269)</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135,303</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6"/>
              </w:rPr>
              <w:t>1,222,657</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2022</w:t>
            </w:r>
          </w:p>
        </w:tc>
        <w:tc>
          <w:tcPr>
            <w:tcW w:w="6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148" w:right="239" w:bottom="140" w:gutter="0" w:footer="0" w:header="0"/>
        </w:sectPr>
      </w:pPr>
    </w:p>
    <w:bookmarkStart w:id="10" w:name="page11"/>
    <w:bookmarkEnd w:id="10"/>
    <w:p>
      <w:pPr>
        <w:spacing w:after="0" w:line="381"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1380" w:type="dxa"/>
            <w:vAlign w:val="bottom"/>
            <w:shd w:val="clear" w:color="auto" w:fill="CCEEFF"/>
          </w:tcPr>
          <w:p>
            <w:pPr>
              <w:spacing w:after="0"/>
              <w:rPr>
                <w:sz w:val="16"/>
                <w:szCs w:val="16"/>
                <w:color w:val="auto"/>
              </w:rPr>
            </w:pPr>
          </w:p>
        </w:tc>
        <w:tc>
          <w:tcPr>
            <w:tcW w:w="1280" w:type="dxa"/>
            <w:vAlign w:val="bottom"/>
            <w:gridSpan w:val="5"/>
            <w:shd w:val="clear" w:color="auto" w:fill="CCEEFF"/>
          </w:tcPr>
          <w:p>
            <w:pPr>
              <w:jc w:val="center"/>
              <w:ind w:right="80"/>
              <w:spacing w:after="0"/>
              <w:rPr>
                <w:sz w:val="20"/>
                <w:szCs w:val="20"/>
                <w:color w:val="auto"/>
              </w:rPr>
            </w:pPr>
            <w:r>
              <w:rPr>
                <w:rFonts w:ascii="Arial" w:cs="Arial" w:eastAsia="Arial" w:hAnsi="Arial"/>
                <w:sz w:val="17"/>
                <w:szCs w:val="17"/>
                <w:color w:val="auto"/>
                <w:w w:val="90"/>
              </w:rPr>
              <w:t>Legacy Common</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237"/>
              <w:spacing w:after="0"/>
              <w:rPr>
                <w:sz w:val="20"/>
                <w:szCs w:val="20"/>
                <w:color w:val="auto"/>
              </w:rPr>
            </w:pPr>
            <w:r>
              <w:rPr>
                <w:rFonts w:ascii="Arial" w:cs="Arial" w:eastAsia="Arial" w:hAnsi="Arial"/>
                <w:sz w:val="17"/>
                <w:szCs w:val="17"/>
                <w:color w:val="auto"/>
                <w:w w:val="92"/>
              </w:rPr>
              <w:t>Units</w:t>
            </w: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0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w w:val="89"/>
              </w:rPr>
              <w:t>Class D common stock</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57"/>
              <w:spacing w:after="0" w:line="154" w:lineRule="exact"/>
              <w:rPr>
                <w:sz w:val="20"/>
                <w:szCs w:val="20"/>
                <w:color w:val="auto"/>
              </w:rPr>
            </w:pPr>
            <w:r>
              <w:rPr>
                <w:rFonts w:ascii="Arial" w:cs="Arial" w:eastAsia="Arial" w:hAnsi="Arial"/>
                <w:sz w:val="17"/>
                <w:szCs w:val="17"/>
                <w:color w:val="auto"/>
                <w:w w:val="92"/>
              </w:rPr>
              <w:t>Non-</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80"/>
              <w:spacing w:after="0" w:line="174" w:lineRule="exact"/>
              <w:rPr>
                <w:sz w:val="20"/>
                <w:szCs w:val="20"/>
                <w:color w:val="auto"/>
              </w:rPr>
            </w:pPr>
            <w:r>
              <w:rPr>
                <w:rFonts w:ascii="Arial" w:cs="Arial" w:eastAsia="Arial" w:hAnsi="Arial"/>
                <w:sz w:val="17"/>
                <w:szCs w:val="17"/>
                <w:color w:val="auto"/>
                <w:w w:val="84"/>
              </w:rPr>
              <w:t>redeemable</w:t>
            </w:r>
          </w:p>
        </w:tc>
        <w:tc>
          <w:tcPr>
            <w:tcW w:w="180" w:type="dxa"/>
            <w:vAlign w:val="bottom"/>
          </w:tcPr>
          <w:p>
            <w:pPr>
              <w:spacing w:after="0"/>
              <w:rPr>
                <w:sz w:val="15"/>
                <w:szCs w:val="15"/>
                <w:color w:val="auto"/>
              </w:rPr>
            </w:pPr>
          </w:p>
        </w:tc>
        <w:tc>
          <w:tcPr>
            <w:tcW w:w="78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5"/>
                <w:szCs w:val="15"/>
                <w:color w:val="auto"/>
              </w:rPr>
            </w:pPr>
          </w:p>
        </w:tc>
        <w:tc>
          <w:tcPr>
            <w:tcW w:w="860" w:type="dxa"/>
            <w:vAlign w:val="bottom"/>
            <w:gridSpan w:val="2"/>
          </w:tcPr>
          <w:p>
            <w:pPr>
              <w:jc w:val="center"/>
              <w:spacing w:after="0" w:line="174" w:lineRule="exact"/>
              <w:rPr>
                <w:sz w:val="20"/>
                <w:szCs w:val="20"/>
                <w:color w:val="auto"/>
              </w:rPr>
            </w:pPr>
            <w:r>
              <w:rPr>
                <w:rFonts w:ascii="Arial" w:cs="Arial" w:eastAsia="Arial" w:hAnsi="Arial"/>
                <w:sz w:val="17"/>
                <w:szCs w:val="17"/>
                <w:color w:val="auto"/>
                <w:w w:val="85"/>
              </w:rPr>
              <w:t>Redeemable</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7"/>
                <w:szCs w:val="17"/>
                <w:color w:val="auto"/>
                <w:w w:val="88"/>
              </w:rPr>
              <w:t>non-</w:t>
            </w:r>
          </w:p>
        </w:tc>
        <w:tc>
          <w:tcPr>
            <w:tcW w:w="180" w:type="dxa"/>
            <w:vAlign w:val="bottom"/>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line="162" w:lineRule="exact"/>
              <w:rPr>
                <w:sz w:val="20"/>
                <w:szCs w:val="20"/>
                <w:color w:val="auto"/>
              </w:rPr>
            </w:pPr>
            <w:r>
              <w:rPr>
                <w:rFonts w:ascii="Arial" w:cs="Arial" w:eastAsia="Arial" w:hAnsi="Arial"/>
                <w:sz w:val="17"/>
                <w:szCs w:val="17"/>
                <w:color w:val="auto"/>
                <w:w w:val="93"/>
              </w:rPr>
              <w:t>non-</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Units</w:t>
            </w:r>
          </w:p>
        </w:tc>
        <w:tc>
          <w:tcPr>
            <w:tcW w:w="720" w:type="dxa"/>
            <w:vAlign w:val="bottom"/>
            <w:gridSpan w:val="3"/>
            <w:vMerge w:val="restart"/>
          </w:tcPr>
          <w:p>
            <w:pPr>
              <w:ind w:left="40"/>
              <w:spacing w:after="0"/>
              <w:rPr>
                <w:sz w:val="20"/>
                <w:szCs w:val="20"/>
                <w:color w:val="auto"/>
              </w:rPr>
            </w:pPr>
            <w:r>
              <w:rPr>
                <w:rFonts w:ascii="Arial" w:cs="Arial" w:eastAsia="Arial" w:hAnsi="Arial"/>
                <w:sz w:val="17"/>
                <w:szCs w:val="17"/>
                <w:color w:val="auto"/>
              </w:rPr>
              <w:t>Amount</w:t>
            </w:r>
          </w:p>
        </w:tc>
        <w:tc>
          <w:tcPr>
            <w:tcW w:w="1000" w:type="dxa"/>
            <w:vAlign w:val="bottom"/>
            <w:gridSpan w:val="2"/>
            <w:vMerge w:val="restart"/>
          </w:tcPr>
          <w:p>
            <w:pPr>
              <w:ind w:left="240"/>
              <w:spacing w:after="0"/>
              <w:rPr>
                <w:sz w:val="20"/>
                <w:szCs w:val="20"/>
                <w:color w:val="auto"/>
              </w:rPr>
            </w:pPr>
            <w:r>
              <w:rPr>
                <w:rFonts w:ascii="Arial" w:cs="Arial" w:eastAsia="Arial" w:hAnsi="Arial"/>
                <w:sz w:val="17"/>
                <w:szCs w:val="17"/>
                <w:color w:val="auto"/>
              </w:rPr>
              <w:t>Shares</w:t>
            </w: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w w:val="95"/>
              </w:rPr>
              <w:t>Amount</w:t>
            </w:r>
          </w:p>
        </w:tc>
        <w:tc>
          <w:tcPr>
            <w:tcW w:w="780" w:type="dxa"/>
            <w:vAlign w:val="bottom"/>
            <w:gridSpan w:val="3"/>
          </w:tcPr>
          <w:p>
            <w:pPr>
              <w:ind w:left="40"/>
              <w:spacing w:after="0" w:line="174" w:lineRule="exact"/>
              <w:rPr>
                <w:sz w:val="20"/>
                <w:szCs w:val="20"/>
                <w:color w:val="auto"/>
              </w:rPr>
            </w:pPr>
            <w:r>
              <w:rPr>
                <w:rFonts w:ascii="Arial" w:cs="Arial" w:eastAsia="Arial" w:hAnsi="Arial"/>
                <w:sz w:val="17"/>
                <w:szCs w:val="17"/>
                <w:color w:val="auto"/>
              </w:rPr>
              <w:t>Retained</w:t>
            </w:r>
          </w:p>
        </w:tc>
        <w:tc>
          <w:tcPr>
            <w:tcW w:w="880" w:type="dxa"/>
            <w:vAlign w:val="bottom"/>
            <w:gridSpan w:val="3"/>
          </w:tcPr>
          <w:p>
            <w:pPr>
              <w:jc w:val="center"/>
              <w:ind w:right="80"/>
              <w:spacing w:after="0" w:line="174" w:lineRule="exact"/>
              <w:rPr>
                <w:sz w:val="20"/>
                <w:szCs w:val="20"/>
                <w:color w:val="auto"/>
              </w:rPr>
            </w:pPr>
            <w:r>
              <w:rPr>
                <w:rFonts w:ascii="Arial" w:cs="Arial" w:eastAsia="Arial" w:hAnsi="Arial"/>
                <w:sz w:val="17"/>
                <w:szCs w:val="17"/>
                <w:color w:val="auto"/>
                <w:w w:val="92"/>
              </w:rPr>
              <w:t>controlling</w:t>
            </w:r>
          </w:p>
        </w:tc>
        <w:tc>
          <w:tcPr>
            <w:tcW w:w="960" w:type="dxa"/>
            <w:vAlign w:val="bottom"/>
            <w:tcBorders>
              <w:right w:val="single" w:sz="8" w:color="auto"/>
            </w:tcBorders>
            <w:gridSpan w:val="2"/>
          </w:tcPr>
          <w:p>
            <w:pPr>
              <w:ind w:left="20"/>
              <w:spacing w:after="0" w:line="174" w:lineRule="exact"/>
              <w:rPr>
                <w:sz w:val="20"/>
                <w:szCs w:val="20"/>
                <w:color w:val="auto"/>
              </w:rPr>
            </w:pPr>
            <w:r>
              <w:rPr>
                <w:rFonts w:ascii="Arial" w:cs="Arial" w:eastAsia="Arial" w:hAnsi="Arial"/>
                <w:sz w:val="17"/>
                <w:szCs w:val="17"/>
                <w:color w:val="auto"/>
                <w:w w:val="88"/>
              </w:rPr>
              <w:t>Stockholders'</w:t>
            </w:r>
          </w:p>
        </w:tc>
        <w:tc>
          <w:tcPr>
            <w:tcW w:w="60" w:type="dxa"/>
            <w:vAlign w:val="bottom"/>
          </w:tcPr>
          <w:p>
            <w:pPr>
              <w:spacing w:after="0"/>
              <w:rPr>
                <w:sz w:val="15"/>
                <w:szCs w:val="15"/>
                <w:color w:val="auto"/>
              </w:rPr>
            </w:pPr>
          </w:p>
        </w:tc>
        <w:tc>
          <w:tcPr>
            <w:tcW w:w="860" w:type="dxa"/>
            <w:vAlign w:val="bottom"/>
            <w:gridSpan w:val="2"/>
          </w:tcPr>
          <w:p>
            <w:pPr>
              <w:jc w:val="center"/>
              <w:spacing w:after="0" w:line="174" w:lineRule="exact"/>
              <w:rPr>
                <w:sz w:val="20"/>
                <w:szCs w:val="20"/>
                <w:color w:val="auto"/>
              </w:rPr>
            </w:pPr>
            <w:r>
              <w:rPr>
                <w:rFonts w:ascii="Arial" w:cs="Arial" w:eastAsia="Arial" w:hAnsi="Arial"/>
                <w:sz w:val="17"/>
                <w:szCs w:val="17"/>
                <w:color w:val="auto"/>
                <w:w w:val="92"/>
              </w:rPr>
              <w:t>controlling</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earnings</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interests</w:t>
            </w: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ind w:right="197"/>
              <w:spacing w:after="0"/>
              <w:rPr>
                <w:sz w:val="20"/>
                <w:szCs w:val="20"/>
                <w:color w:val="auto"/>
              </w:rPr>
            </w:pPr>
            <w:r>
              <w:rPr>
                <w:rFonts w:ascii="Arial" w:cs="Arial" w:eastAsia="Arial" w:hAnsi="Arial"/>
                <w:sz w:val="17"/>
                <w:szCs w:val="17"/>
                <w:color w:val="auto"/>
              </w:rPr>
              <w:t>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57"/>
              <w:spacing w:after="0"/>
              <w:rPr>
                <w:sz w:val="20"/>
                <w:szCs w:val="20"/>
                <w:color w:val="auto"/>
              </w:rPr>
            </w:pPr>
            <w:r>
              <w:rPr>
                <w:rFonts w:ascii="Arial" w:cs="Arial" w:eastAsia="Arial" w:hAnsi="Arial"/>
                <w:sz w:val="17"/>
                <w:szCs w:val="17"/>
                <w:color w:val="auto"/>
                <w:w w:val="87"/>
              </w:rPr>
              <w:t>interests</w:t>
            </w: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December 31,</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2020, as</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shd w:val="clear" w:color="auto" w:fill="CCEEFF"/>
          </w:tcPr>
          <w:p>
            <w:pPr>
              <w:spacing w:after="0" w:line="166" w:lineRule="exact"/>
              <w:rPr>
                <w:sz w:val="20"/>
                <w:szCs w:val="20"/>
                <w:color w:val="auto"/>
              </w:rPr>
            </w:pPr>
            <w:r>
              <w:rPr>
                <w:rFonts w:ascii="Arial" w:cs="Arial" w:eastAsia="Arial" w:hAnsi="Arial"/>
                <w:sz w:val="17"/>
                <w:szCs w:val="17"/>
                <w:b w:val="1"/>
                <w:bCs w:val="1"/>
                <w:color w:val="auto"/>
              </w:rPr>
              <w:t>previously</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$ 49,170</w:t>
            </w:r>
          </w:p>
        </w:tc>
        <w:tc>
          <w:tcPr>
            <w:tcW w:w="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4"/>
                <w:szCs w:val="14"/>
                <w:color w:val="auto"/>
                <w:w w:val="76"/>
              </w:rPr>
              <w:t>$</w:t>
            </w: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5"/>
              </w:rPr>
              <w:t>(25,396)</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6,685</w:t>
            </w:r>
          </w:p>
        </w:tc>
        <w:tc>
          <w:tcPr>
            <w:tcW w:w="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30,459</w:t>
            </w:r>
          </w:p>
        </w:tc>
        <w:tc>
          <w:tcPr>
            <w:tcW w:w="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reported</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Retroactive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line="174" w:lineRule="exact"/>
              <w:rPr>
                <w:sz w:val="20"/>
                <w:szCs w:val="20"/>
                <w:color w:val="auto"/>
              </w:rPr>
            </w:pPr>
            <w:r>
              <w:rPr>
                <w:rFonts w:ascii="Arial" w:cs="Arial" w:eastAsia="Arial" w:hAnsi="Arial"/>
                <w:sz w:val="17"/>
                <w:szCs w:val="17"/>
                <w:color w:val="auto"/>
              </w:rPr>
              <w:t>application of</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7"/>
                <w:szCs w:val="17"/>
                <w:color w:val="auto"/>
              </w:rPr>
              <w:t>recapitalization</w:t>
            </w:r>
          </w:p>
        </w:tc>
        <w:tc>
          <w:tcPr>
            <w:tcW w:w="480" w:type="dxa"/>
            <w:vAlign w:val="bottom"/>
          </w:tcPr>
          <w:p>
            <w:pPr>
              <w:jc w:val="right"/>
              <w:spacing w:after="0"/>
              <w:rPr>
                <w:sz w:val="20"/>
                <w:szCs w:val="20"/>
                <w:color w:val="auto"/>
              </w:rPr>
            </w:pPr>
            <w:r>
              <w:rPr>
                <w:rFonts w:ascii="Arial" w:cs="Arial" w:eastAsia="Arial" w:hAnsi="Arial"/>
                <w:sz w:val="17"/>
                <w:szCs w:val="17"/>
                <w:color w:val="auto"/>
              </w:rPr>
              <w:t>(986)</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94"/>
              </w:rPr>
              <w:t>(49,170)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86"/>
              </w:rPr>
              <w:t>142,377,450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25,396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(23,760)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23,760</w:t>
            </w: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December 31,</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2020, as adjusted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142,377,450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6,699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23,760</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Arial" w:cs="Arial" w:eastAsia="Arial" w:hAnsi="Arial"/>
                <w:sz w:val="17"/>
                <w:szCs w:val="17"/>
                <w:color w:val="auto"/>
              </w:rPr>
              <w:t>Net loss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redeemable non-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8"/>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line="174" w:lineRule="exact"/>
              <w:rPr>
                <w:sz w:val="20"/>
                <w:szCs w:val="20"/>
                <w:color w:val="auto"/>
              </w:rPr>
            </w:pPr>
            <w:r>
              <w:rPr>
                <w:rFonts w:ascii="Arial" w:cs="Arial" w:eastAsia="Arial" w:hAnsi="Arial"/>
                <w:sz w:val="17"/>
                <w:szCs w:val="17"/>
                <w:color w:val="auto"/>
              </w:rPr>
              <w:t>from redeemable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Distributions to</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redeemable non-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controlling</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interests</w:t>
            </w:r>
          </w:p>
        </w:tc>
        <w:tc>
          <w:tcPr>
            <w:tcW w:w="5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Stock-based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Arial" w:cs="Arial" w:eastAsia="Arial" w:hAnsi="Arial"/>
                <w:sz w:val="17"/>
                <w:szCs w:val="17"/>
                <w:color w:val="auto"/>
              </w:rPr>
              <w:t>compensation</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Borders>
              <w:right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4"/>
        </w:trPr>
        <w:tc>
          <w:tcPr>
            <w:tcW w:w="1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March 31, 2021</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142,377,450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12,834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Arial" w:cs="Arial" w:eastAsia="Arial" w:hAnsi="Arial"/>
                <w:sz w:val="17"/>
                <w:szCs w:val="17"/>
                <w:color w:val="auto"/>
              </w:rPr>
              <w:t>Net loss</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18,802</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redeemable non-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8"/>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line="174" w:lineRule="exact"/>
              <w:rPr>
                <w:sz w:val="20"/>
                <w:szCs w:val="20"/>
                <w:color w:val="auto"/>
              </w:rPr>
            </w:pPr>
            <w:r>
              <w:rPr>
                <w:rFonts w:ascii="Arial" w:cs="Arial" w:eastAsia="Arial" w:hAnsi="Arial"/>
                <w:sz w:val="17"/>
                <w:szCs w:val="17"/>
                <w:color w:val="auto"/>
              </w:rPr>
              <w:t>from redeemable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5,756</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Distributions to</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redeemable non-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controlling</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interests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Stock-based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Arial" w:cs="Arial" w:eastAsia="Arial" w:hAnsi="Arial"/>
                <w:sz w:val="17"/>
                <w:szCs w:val="17"/>
                <w:color w:val="auto"/>
              </w:rPr>
              <w:t>compensation</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Borders>
              <w:right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4"/>
        </w:trPr>
        <w:tc>
          <w:tcPr>
            <w:tcW w:w="1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June 30, 2021</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142,377,450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17,881</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17,895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50,090</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Arial" w:cs="Arial" w:eastAsia="Arial" w:hAnsi="Arial"/>
                <w:sz w:val="17"/>
                <w:szCs w:val="17"/>
                <w:color w:val="auto"/>
              </w:rPr>
              <w:t>Net loss</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989</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redeemable non-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8"/>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27,545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line="174" w:lineRule="exact"/>
              <w:rPr>
                <w:sz w:val="20"/>
                <w:szCs w:val="20"/>
                <w:color w:val="auto"/>
              </w:rPr>
            </w:pPr>
            <w:r>
              <w:rPr>
                <w:rFonts w:ascii="Arial" w:cs="Arial" w:eastAsia="Arial" w:hAnsi="Arial"/>
                <w:sz w:val="17"/>
                <w:szCs w:val="17"/>
                <w:color w:val="auto"/>
              </w:rPr>
              <w:t>from redeemable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Stock-based</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compensation</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42"/>
        </w:trPr>
        <w:tc>
          <w:tcPr>
            <w:tcW w:w="1380" w:type="dxa"/>
            <w:vAlign w:val="bottom"/>
          </w:tcPr>
          <w:p>
            <w:pPr>
              <w:spacing w:after="0" w:line="142" w:lineRule="exact"/>
              <w:rPr>
                <w:sz w:val="20"/>
                <w:szCs w:val="20"/>
                <w:color w:val="auto"/>
              </w:rPr>
            </w:pPr>
            <w:r>
              <w:rPr>
                <w:rFonts w:ascii="Arial" w:cs="Arial" w:eastAsia="Arial" w:hAnsi="Arial"/>
                <w:sz w:val="16"/>
                <w:szCs w:val="16"/>
                <w:b w:val="1"/>
                <w:bCs w:val="1"/>
                <w:color w:val="auto"/>
              </w:rPr>
              <w:t>September 30,</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vMerge w:val="restart"/>
          </w:tcPr>
          <w:p>
            <w:pPr>
              <w:jc w:val="center"/>
              <w:ind w:right="157"/>
              <w:spacing w:after="0"/>
              <w:rPr>
                <w:sz w:val="20"/>
                <w:szCs w:val="20"/>
                <w:color w:val="auto"/>
              </w:rPr>
            </w:pPr>
            <w:r>
              <w:rPr>
                <w:rFonts w:ascii="Arial" w:cs="Arial" w:eastAsia="Arial" w:hAnsi="Arial"/>
                <w:sz w:val="17"/>
                <w:szCs w:val="17"/>
                <w:color w:val="auto"/>
                <w:w w:val="84"/>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86"/>
              </w:rPr>
              <w:t>142,377,450</w:t>
            </w:r>
          </w:p>
        </w:tc>
        <w:tc>
          <w:tcPr>
            <w:tcW w:w="80" w:type="dxa"/>
            <w:vAlign w:val="bottom"/>
          </w:tcPr>
          <w:p>
            <w:pPr>
              <w:spacing w:after="0"/>
              <w:rPr>
                <w:sz w:val="12"/>
                <w:szCs w:val="12"/>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4"/>
                <w:szCs w:val="14"/>
                <w:color w:val="auto"/>
                <w:w w:val="76"/>
              </w:rPr>
              <w:t>$</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45,210</w:t>
            </w:r>
          </w:p>
        </w:tc>
        <w:tc>
          <w:tcPr>
            <w:tcW w:w="6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45,224</w:t>
            </w: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47,112</w:t>
            </w:r>
          </w:p>
        </w:tc>
        <w:tc>
          <w:tcPr>
            <w:tcW w:w="0" w:type="dxa"/>
            <w:vAlign w:val="bottom"/>
          </w:tcPr>
          <w:p>
            <w:pPr>
              <w:spacing w:after="0"/>
              <w:rPr>
                <w:sz w:val="1"/>
                <w:szCs w:val="1"/>
                <w:color w:val="auto"/>
              </w:rPr>
            </w:pPr>
          </w:p>
        </w:tc>
      </w:tr>
      <w:tr>
        <w:trPr>
          <w:trHeight w:val="199"/>
        </w:trPr>
        <w:tc>
          <w:tcPr>
            <w:tcW w:w="13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56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194945</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OPAL FUELS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 w:lineRule="exact"/>
        <w:rPr>
          <w:sz w:val="20"/>
          <w:szCs w:val="20"/>
          <w:color w:val="auto"/>
        </w:rPr>
      </w:pPr>
    </w:p>
    <w:p>
      <w:pPr>
        <w:jc w:val="center"/>
        <w:ind w:left="8140"/>
        <w:spacing w:after="0"/>
        <w:rPr>
          <w:sz w:val="20"/>
          <w:szCs w:val="20"/>
          <w:color w:val="auto"/>
        </w:rPr>
      </w:pPr>
      <w:r>
        <w:rPr>
          <w:rFonts w:ascii="Arial" w:cs="Arial" w:eastAsia="Arial" w:hAnsi="Arial"/>
          <w:sz w:val="15"/>
          <w:szCs w:val="15"/>
          <w:b w:val="1"/>
          <w:bCs w:val="1"/>
          <w:color w:val="auto"/>
        </w:rPr>
        <w:t>Nine Months Ended</w:t>
      </w:r>
    </w:p>
    <w:p>
      <w:pPr>
        <w:jc w:val="center"/>
        <w:ind w:left="8140"/>
        <w:spacing w:after="0"/>
        <w:rPr>
          <w:sz w:val="20"/>
          <w:szCs w:val="20"/>
          <w:color w:val="auto"/>
        </w:rPr>
      </w:pPr>
      <w:r>
        <w:rPr>
          <w:rFonts w:ascii="Arial" w:cs="Arial" w:eastAsia="Arial" w:hAnsi="Arial"/>
          <w:sz w:val="15"/>
          <w:szCs w:val="15"/>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r>
      <w:tr>
        <w:trPr>
          <w:trHeight w:val="29"/>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8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(Restated)</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18,950</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(used in) provided by operating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from equity method investments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(3,658)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(2,392)</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9,581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6,510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Amortization of deferred financing costs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678</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Amortization of PPA liability</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Accretion expense related to asset retirement obligation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479</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Paid-in-kind interest income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Change in fair value of Convertible Note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2,250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Unrealized loss on derivative financial instruments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1,553</w:t>
            </w:r>
          </w:p>
        </w:tc>
      </w:tr>
      <w:tr>
        <w:trPr>
          <w:trHeight w:val="221"/>
        </w:trPr>
        <w:tc>
          <w:tcPr>
            <w:tcW w:w="8160" w:type="dxa"/>
            <w:vAlign w:val="bottom"/>
          </w:tcPr>
          <w:p>
            <w:pPr>
              <w:ind w:left="120"/>
              <w:spacing w:after="0"/>
              <w:rPr>
                <w:sz w:val="20"/>
                <w:szCs w:val="20"/>
                <w:color w:val="auto"/>
              </w:rPr>
            </w:pPr>
            <w:r>
              <w:rPr>
                <w:rFonts w:ascii="Arial" w:cs="Arial" w:eastAsia="Arial" w:hAnsi="Arial"/>
                <w:sz w:val="15"/>
                <w:szCs w:val="15"/>
                <w:color w:val="auto"/>
              </w:rPr>
              <w:t>Gain on extinguishment of contingent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7"/>
        </w:trPr>
        <w:tc>
          <w:tcPr>
            <w:tcW w:w="8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repayment of Note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1"/>
        </w:trPr>
        <w:tc>
          <w:tcPr>
            <w:tcW w:w="8160" w:type="dxa"/>
            <w:vAlign w:val="bottom"/>
          </w:tcPr>
          <w:p>
            <w:pPr>
              <w:ind w:left="120"/>
              <w:spacing w:after="0"/>
              <w:rPr>
                <w:sz w:val="20"/>
                <w:szCs w:val="20"/>
                <w:color w:val="auto"/>
              </w:rPr>
            </w:pPr>
            <w:r>
              <w:rPr>
                <w:rFonts w:ascii="Arial" w:cs="Arial" w:eastAsia="Arial" w:hAnsi="Arial"/>
                <w:sz w:val="15"/>
                <w:szCs w:val="15"/>
                <w:color w:val="auto"/>
              </w:rPr>
              <w:t>Gain on acquisition of equity method investment</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(19,818)</w:t>
            </w:r>
          </w:p>
        </w:tc>
      </w:tr>
      <w:tr>
        <w:trPr>
          <w:trHeight w:val="20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in operating assets and liabilities, net of effects of businesses acquired:</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received on previously recorded paid-in-kind interest income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Fuel tax credits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spares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1,608</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Brown gas and parts inventory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(804)</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Environmental credits held for sale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(1,086)</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Prepaid expense and other current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1,348</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Contract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(6,192)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(1,725)</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6,970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 related party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1,268</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Fuel tax credits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1,545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payroll</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3,672</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current and non-current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8,794</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Contract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31"/>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28,897</w:t>
            </w:r>
          </w:p>
        </w:tc>
      </w:tr>
      <w:tr>
        <w:trPr>
          <w:trHeight w:val="173"/>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Purchase of property, plant,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(84,949)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(63,393)</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Cash acquired on acquisition of equity method investment</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1,955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paid for short term investments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(146,936)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Cash paid for investment in other entity</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(1,570)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Purchase of Note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(10,450)</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Proceeds received from repayment of Note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Distributions received from equity method investment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3,695</w:t>
            </w:r>
          </w:p>
        </w:tc>
      </w:tr>
      <w:tr>
        <w:trPr>
          <w:trHeight w:val="186"/>
        </w:trPr>
        <w:tc>
          <w:tcPr>
            <w:tcW w:w="8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(218,930)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(69,763)</w:t>
            </w:r>
          </w:p>
        </w:tc>
      </w:tr>
      <w:tr>
        <w:trPr>
          <w:trHeight w:val="31"/>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Proceeds from Sunoma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14,191</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from OPAL Term Loan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27,500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Proceeds received from Business Combination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138,850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Financing costs paid to other third parties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(8,462)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Repayment of Senior Secured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(3,835)</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OPAL Term Loan</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Repayment of Municipality loan</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 non-redeemable non-controlling interest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Proceeds from sale of non-controlling interest, related party</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16,645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from issuance of redeemable preferred units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Contributions from members</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7,919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Distributions to members</w:t>
            </w: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(3,695)</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270,525</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52,729</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increase in cash, restricted cash, and 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29,306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11,863</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5"/>
                <w:szCs w:val="15"/>
                <w:color w:val="auto"/>
              </w:rPr>
              <w:t>Cash, restricted cash, and cash equivalents, beginning of period</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42,054</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15,388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restricted cash, and cash equivalents, end of period</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71,360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27,251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paid, net of $— and $531 capitalized, respectively</w:t>
            </w: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7,013</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2,405</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Convertible Note Payable related to business acquisition, excluding paid-in-kind interest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55,410</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5"/>
                <w:szCs w:val="15"/>
                <w:color w:val="auto"/>
              </w:rPr>
              <w:t>Fair value of Class A common stock issued for redemption of Convertible Note Payable</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30,595</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Derivative warrant liabilities assumed related to Business Combination</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5"/>
                <w:szCs w:val="15"/>
                <w:color w:val="auto"/>
              </w:rPr>
              <w:t>Fair value of Earnout liabilities related to Business Combination</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45,900</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put option on a forward purchase agreement related to Business Combination</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5"/>
                <w:szCs w:val="15"/>
                <w:color w:val="auto"/>
              </w:rPr>
              <w:t>Fair value of contingent consideration to redeem the non-controlling interest included in other long-term liabilities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Paid-in-kind dividend on redeemable preferred non-controlling interests</w:t>
            </w: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Accrual for purchase of Property, plant and equipment included in Accounts payable and Accrued capital expenses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9,284</w:t>
            </w:r>
          </w:p>
        </w:tc>
        <w:tc>
          <w:tcPr>
            <w:tcW w:w="120" w:type="dxa"/>
            <w:vAlign w:val="bottom"/>
          </w:tcPr>
          <w:p>
            <w:pPr>
              <w:spacing w:after="0"/>
              <w:rPr>
                <w:sz w:val="16"/>
                <w:szCs w:val="16"/>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Accrual for deferred financing costs included in Accrued expenses and other current liabilities</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3" w:name="page14"/>
    <w:bookmarkEnd w:id="13"/>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31" w:lineRule="exact"/>
        <w:rPr>
          <w:sz w:val="20"/>
          <w:szCs w:val="20"/>
          <w:color w:val="auto"/>
        </w:rPr>
      </w:pPr>
    </w:p>
    <w:p>
      <w:pPr>
        <w:jc w:val="both"/>
        <w:ind w:firstLine="298"/>
        <w:spacing w:after="0" w:line="247" w:lineRule="auto"/>
        <w:rPr>
          <w:sz w:val="20"/>
          <w:szCs w:val="20"/>
          <w:color w:val="auto"/>
        </w:rPr>
      </w:pPr>
      <w:r>
        <w:rPr>
          <w:rFonts w:ascii="Arial" w:cs="Arial" w:eastAsia="Arial" w:hAnsi="Arial"/>
          <w:sz w:val="17"/>
          <w:szCs w:val="17"/>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208"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200"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On December 2, 2021, the Company, OPAL HoldCo LLC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spacing w:after="0" w:line="204" w:lineRule="exact"/>
        <w:rPr>
          <w:sz w:val="20"/>
          <w:szCs w:val="20"/>
          <w:color w:val="auto"/>
        </w:rPr>
      </w:pPr>
    </w:p>
    <w:p>
      <w:pPr>
        <w:jc w:val="both"/>
        <w:ind w:firstLine="298"/>
        <w:spacing w:after="0" w:line="307" w:lineRule="auto"/>
        <w:rPr>
          <w:sz w:val="20"/>
          <w:szCs w:val="20"/>
          <w:color w:val="auto"/>
        </w:rPr>
      </w:pPr>
      <w:r>
        <w:rPr>
          <w:rFonts w:ascii="Arial" w:cs="Arial" w:eastAsia="Arial" w:hAnsi="Arial"/>
          <w:sz w:val="14"/>
          <w:szCs w:val="14"/>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for additional information.</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All amounts in these footnotes are presented in thousands of dollars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Impact</w:t>
      </w:r>
    </w:p>
    <w:p>
      <w:pPr>
        <w:spacing w:after="0" w:line="132"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and nine months ended September 30, 2022.</w:t>
      </w:r>
    </w:p>
    <w:p>
      <w:pPr>
        <w:spacing w:after="0" w:line="117"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6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2022, our liquidity consisted of cash and cash equivalents including restricted cash of $71,360 and short term investments of $146,936.</w:t>
      </w:r>
    </w:p>
    <w:p>
      <w:pPr>
        <w:spacing w:after="0" w:line="162" w:lineRule="exact"/>
        <w:rPr>
          <w:sz w:val="20"/>
          <w:szCs w:val="20"/>
          <w:color w:val="auto"/>
        </w:rPr>
      </w:pPr>
    </w:p>
    <w:p>
      <w:pPr>
        <w:jc w:val="both"/>
        <w:ind w:left="140" w:firstLine="298"/>
        <w:spacing w:after="0" w:line="250" w:lineRule="auto"/>
        <w:rPr>
          <w:sz w:val="20"/>
          <w:szCs w:val="20"/>
          <w:color w:val="auto"/>
        </w:rPr>
      </w:pPr>
      <w:r>
        <w:rPr>
          <w:rFonts w:ascii="Arial" w:cs="Arial" w:eastAsia="Arial" w:hAnsi="Arial"/>
          <w:sz w:val="17"/>
          <w:szCs w:val="17"/>
          <w:color w:val="auto"/>
        </w:rPr>
        <w:t>As of September 30, 2022, we had total indebtedness excluding the deferred financing costs of $219,987 which primarily consisted of $77,679 under the Senior Secured Credit Facility, $27,964 under the Convertible Note Payable, $91,223 under the OPAL Term Loan, $121 under the Municipality loan, and $23,000 under the Sunoma Loan. The amount outstanding under the Senior Secured Credit Facility is due to be repaid in December 2022 and therefore has been classified as a current liability.</w:t>
      </w:r>
    </w:p>
    <w:p>
      <w:pPr>
        <w:spacing w:after="0" w:line="118" w:lineRule="exact"/>
        <w:rPr>
          <w:sz w:val="20"/>
          <w:szCs w:val="20"/>
          <w:color w:val="auto"/>
        </w:rPr>
      </w:pPr>
    </w:p>
    <w:p>
      <w:pPr>
        <w:jc w:val="both"/>
        <w:ind w:left="140" w:firstLine="298"/>
        <w:spacing w:after="0" w:line="315" w:lineRule="auto"/>
        <w:rPr>
          <w:sz w:val="20"/>
          <w:szCs w:val="20"/>
          <w:color w:val="auto"/>
        </w:rPr>
      </w:pPr>
      <w:r>
        <w:rPr>
          <w:rFonts w:ascii="Arial" w:cs="Arial" w:eastAsia="Arial" w:hAnsi="Arial"/>
          <w:sz w:val="14"/>
          <w:szCs w:val="14"/>
          <w:color w:val="auto"/>
        </w:rPr>
        <w:t>In August 2022, we entered into a delayed draw term loan facility for $105,000 to fund the construction of new RNG facilities which is available for us to drawdown upon achievement of certain milestones. In July 2022, we received a redemption notice from Biotown Bio Gas LLC ("Biotown") for the Note receivable and the Company subsequently received $11,555 consisting of the principal balance $10,915, prepayment penalty of $546 and accrued interest of $94. Additionally, we have drawn $12,500 in September 2022 and $12,500 in October 2022 under the OPAL Term Loan following the commencement of operations of two additional RNG facilities. We entered into an amendment to the OPAL Term Loan to extend the commitment date to March 2023 for the remaining $10,000.</w:t>
      </w:r>
    </w:p>
    <w:p>
      <w:pPr>
        <w:spacing w:after="0" w:line="75" w:lineRule="exact"/>
        <w:rPr>
          <w:sz w:val="20"/>
          <w:szCs w:val="20"/>
          <w:color w:val="auto"/>
        </w:rPr>
      </w:pPr>
    </w:p>
    <w:p>
      <w:pPr>
        <w:jc w:val="both"/>
        <w:ind w:left="140" w:firstLine="298"/>
        <w:spacing w:after="0" w:line="371" w:lineRule="auto"/>
        <w:rPr>
          <w:sz w:val="20"/>
          <w:szCs w:val="20"/>
          <w:color w:val="auto"/>
        </w:rPr>
      </w:pPr>
      <w:r>
        <w:rPr>
          <w:rFonts w:ascii="Arial" w:cs="Arial" w:eastAsia="Arial" w:hAnsi="Arial"/>
          <w:sz w:val="14"/>
          <w:szCs w:val="14"/>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following the date of this report.</w:t>
      </w:r>
    </w:p>
    <w:p>
      <w:pPr>
        <w:spacing w:after="0" w:line="24"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To fuel future growth, we anticipate seeking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17"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accompanying condensed consolidated financial statements have been prepared on a going concern basis, which contemplates the realization of assets and the satisfaction of liabilities in the normal course of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of Financial Statements</w:t>
      </w:r>
    </w:p>
    <w:p>
      <w:pPr>
        <w:spacing w:after="0" w:line="144"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6"/>
          <w:szCs w:val="16"/>
          <w:color w:val="auto"/>
        </w:rPr>
        <w:t>Our condensed consolidated statements of operations for the nine months ended September 30, 2021 and condensed consolidated statements of changes in Redeemable non-controlling interest, Redeemable preferred non-controlling interests and stockholders' equity as of September 30, 2021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Restatement relating to commodity swap contracts</w:t>
      </w:r>
    </w:p>
    <w:p>
      <w:pPr>
        <w:spacing w:after="0" w:line="227"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 xml:space="preserve">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10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 xml:space="preserve"> for additional information.</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 xml:space="preserve">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Additionally, the Company entered into another commodity swap contract for a notional quantity of 26,280 MWh at 3 MWh per hour for one year - 2022. Please see Note 10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recorded $169 of realized gain on the above swap arrangements as part of Revenues in its consolidated statements of operations for the nine months ended September 30, 2021. The Company previously reported this gain as part of Revenues in the condensed consolidated statement of operations but the gain was not properly disclosed in the notes to the financial statements.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concluded that these two contracts were economic hedges against market price volatility and are considered as derivatives under ASC 815 Derivatives and Hedging, which required the Company to record mark to market unrealized gain (loss) in its condensed consolidated statements of operations.</w:t>
      </w:r>
    </w:p>
    <w:p>
      <w:pPr>
        <w:spacing w:after="0" w:line="181"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Company did not record an unrealized loss of $2,824 for the nine months ended September 30, 2021. Therefore, the Company restated its Revenues - RNG Fuel by $2,824 for the nine months ended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Restatement relating to taxes collected on behalf of customers</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collects federal and state taxes on its revenues generated from customers in our RNG Fuel segment and remits the same to the government subsequently. The Company concluded that these taxes should be presented on a net basis in Revenues-RNG fuel in its condensed consolidated statements of operations. Therefore, the Company restated its revenues and cost of sales by $1,140 for the nine months ended September 30, 2021. This adjustment did not have any impact on net income reported for the nine months ended September 30, 2021.</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144"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6"/>
          <w:szCs w:val="16"/>
          <w:color w:val="auto"/>
        </w:rPr>
        <w:t>These unaudited condensed consolidated financial statements are prepared in accordance with generally accepted accounting principles in the United States ("U.S. GAAP") for interim financial information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Beacon RNG LLC (“Beacon”), Central Valley LLC (“Central Valley”), Fortistar Contracting LLC, Fortistar RNG LLC, and OPAL Fuel station services LLC (“Fuel station services”).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equity in the condensed consolidated balance sheets and as a non-redeemable non-controlling interests in the condensed consolidated statements of changes in redeemable non-controlling interests, redeemable preferred non-controlling interests and Stockholders' equity.</w:t>
      </w:r>
    </w:p>
    <w:p>
      <w:pPr>
        <w:spacing w:after="0" w:line="100"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 xml:space="preserve">The accompanying condensed consolidated financial statements reflect the activities of the Company, its subsidiaries, and its equity method investments for the nine months ended September 30, 2022 and 2021. Investments in unconsolidated entities in which the Company can influence the operating or financial decisions are accounted for under the equity method. As of September 30, 2022 and December 31,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Please see Note 4. </w:t>
      </w:r>
      <w:r>
        <w:rPr>
          <w:rFonts w:ascii="Arial" w:cs="Arial" w:eastAsia="Arial" w:hAnsi="Arial"/>
          <w:sz w:val="14"/>
          <w:szCs w:val="14"/>
          <w:i w:val="1"/>
          <w:iCs w:val="1"/>
          <w:color w:val="auto"/>
        </w:rPr>
        <w:t>Investment in other entities,</w:t>
      </w:r>
      <w:r>
        <w:rPr>
          <w:rFonts w:ascii="Arial" w:cs="Arial" w:eastAsia="Arial" w:hAnsi="Arial"/>
          <w:sz w:val="14"/>
          <w:szCs w:val="14"/>
          <w:color w:val="auto"/>
        </w:rPr>
        <w:t xml:space="preserve"> for additional information.</w:t>
      </w:r>
    </w:p>
    <w:p>
      <w:pPr>
        <w:spacing w:after="0" w:line="78"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Current Report on Form 8K, which was filed with SEC on July 27, 2022. In the opinion of management, the accompanying unaudited condensed financial statements include all adjustments,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67" w:lineRule="exact"/>
        <w:rPr>
          <w:sz w:val="20"/>
          <w:szCs w:val="20"/>
          <w:color w:val="auto"/>
        </w:rPr>
      </w:pPr>
    </w:p>
    <w:p>
      <w:pPr>
        <w:ind w:right="360"/>
        <w:spacing w:after="0" w:line="404" w:lineRule="auto"/>
        <w:rPr>
          <w:sz w:val="20"/>
          <w:szCs w:val="20"/>
          <w:color w:val="auto"/>
        </w:rPr>
      </w:pPr>
      <w:r>
        <w:rPr>
          <w:rFonts w:ascii="Arial" w:cs="Arial" w:eastAsia="Arial" w:hAnsi="Arial"/>
          <w:sz w:val="17"/>
          <w:szCs w:val="17"/>
          <w:color w:val="auto"/>
        </w:rPr>
        <w:t xml:space="preserve">consisting of a normal recurring nature, which are necessary for a fair statement of the financial position, operating results, and cash flows for the periods presented. </w:t>
      </w:r>
      <w:r>
        <w:rPr>
          <w:rFonts w:ascii="Arial" w:cs="Arial" w:eastAsia="Arial" w:hAnsi="Arial"/>
          <w:sz w:val="17"/>
          <w:szCs w:val="17"/>
          <w:i w:val="1"/>
          <w:iCs w:val="1"/>
          <w:color w:val="auto"/>
        </w:rPr>
        <w:t>Business Combination</w:t>
      </w:r>
    </w:p>
    <w:p>
      <w:pPr>
        <w:spacing w:after="0" w:line="1"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6"/>
          <w:szCs w:val="16"/>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for additional information.</w:t>
      </w:r>
    </w:p>
    <w:p>
      <w:pPr>
        <w:spacing w:after="0" w:line="107" w:lineRule="exact"/>
        <w:rPr>
          <w:sz w:val="20"/>
          <w:szCs w:val="20"/>
          <w:color w:val="auto"/>
        </w:rPr>
      </w:pPr>
    </w:p>
    <w:p>
      <w:pPr>
        <w:jc w:val="both"/>
        <w:ind w:firstLine="298"/>
        <w:spacing w:after="0" w:line="271" w:lineRule="auto"/>
        <w:rPr>
          <w:sz w:val="20"/>
          <w:szCs w:val="20"/>
          <w:color w:val="auto"/>
        </w:rPr>
      </w:pPr>
      <w:r>
        <w:rPr>
          <w:rFonts w:ascii="Arial" w:cs="Arial" w:eastAsia="Arial" w:hAnsi="Arial"/>
          <w:sz w:val="16"/>
          <w:szCs w:val="16"/>
          <w:color w:val="auto"/>
        </w:rPr>
        <w:t>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40"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the fair value of the Convertible Note Payable (as defined below), the impairment assessment of goodwill, and the fair value of derivative instruments. Actual results could differ from those estimates.</w:t>
      </w:r>
    </w:p>
    <w:p>
      <w:pPr>
        <w:spacing w:after="0" w:line="107" w:lineRule="exact"/>
        <w:rPr>
          <w:sz w:val="20"/>
          <w:szCs w:val="20"/>
          <w:color w:val="auto"/>
        </w:rPr>
      </w:pPr>
    </w:p>
    <w:p>
      <w:pPr>
        <w:ind w:right="1540" w:firstLine="298"/>
        <w:spacing w:after="0" w:line="404" w:lineRule="auto"/>
        <w:rPr>
          <w:sz w:val="20"/>
          <w:szCs w:val="20"/>
          <w:color w:val="auto"/>
        </w:rPr>
      </w:pPr>
      <w:r>
        <w:rPr>
          <w:rFonts w:ascii="Arial" w:cs="Arial" w:eastAsia="Arial" w:hAnsi="Arial"/>
          <w:sz w:val="17"/>
          <w:szCs w:val="17"/>
          <w:color w:val="auto"/>
        </w:rPr>
        <w:t xml:space="preserve">The results of operations for the interim periods presented are not necessarily indicative of the results that may be expected for the entire year. </w:t>
      </w:r>
      <w:r>
        <w:rPr>
          <w:rFonts w:ascii="Arial" w:cs="Arial" w:eastAsia="Arial" w:hAnsi="Arial"/>
          <w:sz w:val="17"/>
          <w:szCs w:val="17"/>
          <w:b w:val="1"/>
          <w:bCs w:val="1"/>
          <w:color w:val="auto"/>
        </w:rPr>
        <w:t>Accounting Pronouncements</w:t>
      </w:r>
    </w:p>
    <w:p>
      <w:pPr>
        <w:spacing w:after="0" w:line="1"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 xml:space="preserve">In June 2022, the FASB issued Accounting Standards Update ("ASU") 2022-03, </w:t>
      </w:r>
      <w:r>
        <w:rPr>
          <w:rFonts w:ascii="Arial" w:cs="Arial" w:eastAsia="Arial" w:hAnsi="Arial"/>
          <w:sz w:val="16"/>
          <w:szCs w:val="16"/>
          <w:i w:val="1"/>
          <w:iCs w:val="1"/>
          <w:color w:val="auto"/>
        </w:rPr>
        <w:t>Fair Value Measurement of Equity Securities Subject to Contractual Sale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which states that a contractual restriction on the sale of an equity security is not considered part of the unit of account of the equity security and therefore, is</w:t>
      </w:r>
      <w:r>
        <w:rPr>
          <w:rFonts w:ascii="Arial" w:cs="Arial" w:eastAsia="Arial" w:hAnsi="Arial"/>
          <w:sz w:val="16"/>
          <w:szCs w:val="16"/>
          <w:i w:val="1"/>
          <w:iCs w:val="1"/>
          <w:color w:val="auto"/>
        </w:rPr>
        <w:t xml:space="preserve"> </w:t>
      </w:r>
      <w:r>
        <w:rPr>
          <w:rFonts w:ascii="Arial" w:cs="Arial" w:eastAsia="Arial" w:hAnsi="Arial"/>
          <w:sz w:val="16"/>
          <w:szCs w:val="16"/>
          <w:color w:val="auto"/>
        </w:rPr>
        <w:t>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07"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certain not-for-profit entities for one year. For companies filing under emerging growth company status and private not-for-profits, the leasing standard will be effective for fiscal years beginning after December 15, 2021. The Company is currently evaluating all of its contracts and expects to record right-of-use assets and corresponding liabilities on its consolidated balance sheet as of December 31, 2022 for its vehicle leases and office lease.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32"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Cash, cash equivalents, and restricted cash consisted of the following as of September 30, 2022 and December 31, 2021</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r>
      <w:tr>
        <w:trPr>
          <w:trHeight w:val="203"/>
        </w:trPr>
        <w:tc>
          <w:tcPr>
            <w:tcW w:w="6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2021</w:t>
            </w:r>
          </w:p>
        </w:tc>
      </w:tr>
      <w:tr>
        <w:trPr>
          <w:trHeight w:val="19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670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25,286</w:t>
            </w: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39,314</w:t>
            </w: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Restricted cash - current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6700" w:type="dxa"/>
            <w:vAlign w:val="bottom"/>
          </w:tcPr>
          <w:p>
            <w:pPr>
              <w:ind w:left="20"/>
              <w:spacing w:after="0"/>
              <w:rPr>
                <w:sz w:val="20"/>
                <w:szCs w:val="20"/>
                <w:color w:val="auto"/>
              </w:rPr>
            </w:pPr>
            <w:r>
              <w:rPr>
                <w:rFonts w:ascii="Arial" w:cs="Arial" w:eastAsia="Arial" w:hAnsi="Arial"/>
                <w:sz w:val="15"/>
                <w:szCs w:val="15"/>
                <w:color w:val="auto"/>
              </w:rPr>
              <w:t>Long-term assets: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Restricted cash held as collateral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w:t>
            </w:r>
          </w:p>
        </w:tc>
      </w:tr>
      <w:tr>
        <w:trPr>
          <w:trHeight w:val="213"/>
        </w:trPr>
        <w:tc>
          <w:tcPr>
            <w:tcW w:w="6700" w:type="dxa"/>
            <w:vAlign w:val="bottom"/>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42,054</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298"/>
        <w:spacing w:after="0" w:line="292" w:lineRule="auto"/>
        <w:tabs>
          <w:tab w:leader="none" w:pos="451"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Restricted cash - current primarily consists of (i) $20,100 held in escrow to secure the Company's purchase obligations under the forward purchase agreement with Meteora (See Note.3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for additional information). (ii) $5,800 equity contribution to a joint venture in connection with the closing of OPAL Term Loan II (iii) $1,778 relates to interest reserve on Sunoma Loan and (iv) $13,700 held in a restricted account for funding one of our RNG projects.</w:t>
      </w:r>
    </w:p>
    <w:p>
      <w:pPr>
        <w:spacing w:after="0" w:line="82" w:lineRule="exact"/>
        <w:rPr>
          <w:rFonts w:ascii="Arial" w:cs="Arial" w:eastAsia="Arial" w:hAnsi="Arial"/>
          <w:sz w:val="18"/>
          <w:szCs w:val="18"/>
          <w:color w:val="auto"/>
          <w:vertAlign w:val="superscript"/>
        </w:rPr>
      </w:pPr>
    </w:p>
    <w:p>
      <w:pPr>
        <w:ind w:left="460" w:hanging="162"/>
        <w:spacing w:after="0"/>
        <w:tabs>
          <w:tab w:leader="none" w:pos="4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Restricted cash held as collateral represents the collateral requirements on our debt facilities.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 term investments</w:t>
      </w:r>
    </w:p>
    <w:p>
      <w:pPr>
        <w:spacing w:after="0" w:line="13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The Company considers highly liquid investments such as time deposits and certificates of deposit with an original maturity greater than three months at the time of purchase to be short term investments. The Short term investments of $146,936 consists of cash received upon closing of the Business Combination invested in money market accounts with maturities ranging between 1 and 12 months as of September 30, 2022. The amounts in these money market accounts are liquid and available for general use.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costs</w:t>
      </w:r>
    </w:p>
    <w:p>
      <w:pPr>
        <w:spacing w:after="0" w:line="144"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6"/>
          <w:szCs w:val="16"/>
          <w:color w:val="auto"/>
        </w:rPr>
        <w:t>Transaction costs consists of direct legal, consulting, audit and other fees related to the consummation of the Business Combination. These costs were initially capitalized as incurred and recorded as Deferred financing costs in the condensed consolidated balance sheet. Upon the completion of the Business Combination, transaction costs directly related to the issuance of shares were recognized as an offset to additional paid-in capital within the condensed consolidated statements of changes in redeemable non-controlling interest, redeemable preferred non-controlling interest and stockholders' equity. The Company incurred $8,299 in transaction costs consisting of legal and professional fees, which were recorded as an offset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warrant liabilities</w:t>
      </w:r>
    </w:p>
    <w:p>
      <w:pPr>
        <w:spacing w:after="0" w:line="132"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The Company assumed publicly-traded warrants (the "Public Warrants") and private warrants (the "Private Warrants") upon the completion of the Business Combination. The Company accounts for warrants for shares of the Company's stock that are not indexed to its own stock as liabilities at fair value on the condensed consolidated balance sheet. The warrants are remeasured at each balance sheet date and any change in fair value is recognized in the Company's condensed consolidated statement of operations as part of change in fair value of derivative instruments, net.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Earnout Awards</w:t>
      </w:r>
    </w:p>
    <w:p>
      <w:pPr>
        <w:spacing w:after="0" w:line="206"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Put option on forward purchase agreement</w:t>
      </w:r>
    </w:p>
    <w:p>
      <w:pPr>
        <w:spacing w:after="0" w:line="13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with the change in the fair market value recognized in the statement of operations as part of change in fair value of derivative instruments, net. See Note.3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 </w:t>
      </w:r>
      <w:r>
        <w:rPr>
          <w:rFonts w:ascii="Arial" w:cs="Arial" w:eastAsia="Arial" w:hAnsi="Arial"/>
          <w:sz w:val="16"/>
          <w:szCs w:val="16"/>
          <w:color w:val="auto"/>
        </w:rPr>
        <w:t>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non-controlling interests</w:t>
      </w:r>
    </w:p>
    <w:p>
      <w:pPr>
        <w:spacing w:after="0" w:line="206" w:lineRule="exact"/>
        <w:rPr>
          <w:sz w:val="20"/>
          <w:szCs w:val="20"/>
          <w:color w:val="auto"/>
        </w:rPr>
      </w:pPr>
    </w:p>
    <w:p>
      <w:pPr>
        <w:jc w:val="both"/>
        <w:ind w:firstLine="597"/>
        <w:spacing w:after="0" w:line="321" w:lineRule="auto"/>
        <w:rPr>
          <w:sz w:val="20"/>
          <w:szCs w:val="20"/>
          <w:color w:val="auto"/>
        </w:rPr>
      </w:pPr>
      <w:r>
        <w:rPr>
          <w:rFonts w:ascii="Arial" w:cs="Arial" w:eastAsia="Arial" w:hAnsi="Arial"/>
          <w:sz w:val="14"/>
          <w:szCs w:val="14"/>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3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each balance sheet date, the mezzanine equity classified Redeemable non-controlling interests is adjusted up to their maximum redemption value if necessary, with an offset in Stockholders' equity. As of September 30, 2022, the Company recorded an adjustment of $1,160,723.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 per share</w:t>
      </w:r>
    </w:p>
    <w:p>
      <w:pPr>
        <w:spacing w:after="0" w:line="144"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 xml:space="preserve">The Business Combination was accounted for as a reverse recapitalization as OPAL Fuels was determined to be the accounting acquirer under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for accounting purposes, the transaction is treated as the equivalent of OPAL Fuels issuing stock for the net assets of ArcLight, accompanied by a recapitalization.</w:t>
      </w:r>
    </w:p>
    <w:p>
      <w:pPr>
        <w:spacing w:after="0" w:line="113"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Company's basic earnings per share of Class A common stock is computed based on the average number of outstanding shares of Class A common stock for the period.</w:t>
      </w:r>
    </w:p>
    <w:p>
      <w:pPr>
        <w:spacing w:after="0" w:line="9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Company's diluted earnings per share includes effects of the Company's outstanding Redeemable non-controlling interests (OPAL Fuels Class B units), the put option a forward purchase agreement, redeemable preferred non-controlling interests, Sponsor Earnout Awards, OPAL Earnout Awards, Private Warrants and Public Warrants.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Net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allowance for doubtful accounts was $100 and $— at September 30, 2022 and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Retirement Obligation</w:t>
      </w:r>
    </w:p>
    <w:p>
      <w:pPr>
        <w:spacing w:after="0" w:line="132"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6"/>
          <w:szCs w:val="16"/>
          <w:color w:val="auto"/>
        </w:rPr>
        <w:t xml:space="preserve">The Company accounts for asset retirement obligations in accordance with FASB ASC 410, </w:t>
      </w:r>
      <w:r>
        <w:rPr>
          <w:rFonts w:ascii="Arial" w:cs="Arial" w:eastAsia="Arial" w:hAnsi="Arial"/>
          <w:sz w:val="16"/>
          <w:szCs w:val="16"/>
          <w:i w:val="1"/>
          <w:iCs w:val="1"/>
          <w:color w:val="auto"/>
        </w:rPr>
        <w:t>Asset Retirement and Environmental Obligations,</w:t>
      </w:r>
      <w:r>
        <w:rPr>
          <w:rFonts w:ascii="Arial" w:cs="Arial" w:eastAsia="Arial" w:hAnsi="Arial"/>
          <w:sz w:val="16"/>
          <w:szCs w:val="16"/>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As of September 30, 2022 and December 31, 2021, the Company estimated the value of its total asset retirement obligations to be $5,968 and $5,738, respectively.</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changes in the asset retirement obligations were as follows as of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jc w:val="right"/>
              <w:ind w:right="645"/>
              <w:spacing w:after="0"/>
              <w:rPr>
                <w:sz w:val="20"/>
                <w:szCs w:val="20"/>
                <w:color w:val="auto"/>
              </w:rPr>
            </w:pPr>
            <w:r>
              <w:rPr>
                <w:rFonts w:ascii="Arial" w:cs="Arial" w:eastAsia="Arial" w:hAnsi="Arial"/>
                <w:sz w:val="15"/>
                <w:szCs w:val="15"/>
                <w:b w:val="1"/>
                <w:bCs w:val="1"/>
                <w:color w:val="auto"/>
              </w:rPr>
              <w:t>September 30,</w:t>
            </w:r>
          </w:p>
        </w:tc>
      </w:tr>
      <w:tr>
        <w:trPr>
          <w:trHeight w:val="193"/>
        </w:trPr>
        <w:tc>
          <w:tcPr>
            <w:tcW w:w="6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right"/>
              <w:ind w:right="945"/>
              <w:spacing w:after="0"/>
              <w:rPr>
                <w:sz w:val="20"/>
                <w:szCs w:val="20"/>
                <w:color w:val="auto"/>
              </w:rPr>
            </w:pPr>
            <w:r>
              <w:rPr>
                <w:rFonts w:ascii="Arial" w:cs="Arial" w:eastAsia="Arial" w:hAnsi="Arial"/>
                <w:sz w:val="15"/>
                <w:szCs w:val="15"/>
                <w:b w:val="1"/>
                <w:bCs w:val="1"/>
                <w:color w:val="auto"/>
              </w:rPr>
              <w:t>2022</w:t>
            </w:r>
          </w:p>
        </w:tc>
      </w:tr>
      <w:tr>
        <w:trPr>
          <w:trHeight w:val="31"/>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2021</w:t>
            </w:r>
          </w:p>
        </w:tc>
        <w:tc>
          <w:tcPr>
            <w:tcW w:w="42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5,738</w:t>
            </w:r>
          </w:p>
        </w:tc>
      </w:tr>
      <w:tr>
        <w:trPr>
          <w:trHeight w:val="193"/>
        </w:trPr>
        <w:tc>
          <w:tcPr>
            <w:tcW w:w="6840" w:type="dxa"/>
            <w:vAlign w:val="bottom"/>
          </w:tcPr>
          <w:p>
            <w:pPr>
              <w:ind w:left="20"/>
              <w:spacing w:after="0"/>
              <w:rPr>
                <w:sz w:val="20"/>
                <w:szCs w:val="20"/>
                <w:color w:val="auto"/>
              </w:rPr>
            </w:pPr>
            <w:r>
              <w:rPr>
                <w:rFonts w:ascii="Arial" w:cs="Arial" w:eastAsia="Arial" w:hAnsi="Arial"/>
                <w:sz w:val="15"/>
                <w:szCs w:val="15"/>
                <w:color w:val="auto"/>
              </w:rPr>
              <w:t>Addition</w:t>
            </w:r>
          </w:p>
        </w:tc>
        <w:tc>
          <w:tcPr>
            <w:tcW w:w="4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1"/>
        </w:trPr>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Accretion expense</w:t>
            </w:r>
          </w:p>
        </w:tc>
        <w:tc>
          <w:tcPr>
            <w:tcW w:w="4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w:t>
            </w:r>
          </w:p>
        </w:tc>
      </w:tr>
      <w:tr>
        <w:trPr>
          <w:trHeight w:val="186"/>
        </w:trPr>
        <w:tc>
          <w:tcPr>
            <w:tcW w:w="6840" w:type="dxa"/>
            <w:vAlign w:val="bottom"/>
          </w:tcPr>
          <w:p>
            <w:pPr>
              <w:ind w:left="140"/>
              <w:spacing w:after="0"/>
              <w:rPr>
                <w:sz w:val="20"/>
                <w:szCs w:val="20"/>
                <w:color w:val="auto"/>
              </w:rPr>
            </w:pPr>
            <w:r>
              <w:rPr>
                <w:rFonts w:ascii="Arial" w:cs="Arial" w:eastAsia="Arial" w:hAnsi="Arial"/>
                <w:sz w:val="15"/>
                <w:szCs w:val="15"/>
                <w:color w:val="auto"/>
              </w:rPr>
              <w:t>Total asset retirement obligation</w:t>
            </w:r>
          </w:p>
        </w:tc>
        <w:tc>
          <w:tcPr>
            <w:tcW w:w="4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5,968</w:t>
            </w:r>
          </w:p>
        </w:tc>
      </w:tr>
      <w:tr>
        <w:trPr>
          <w:trHeight w:val="31"/>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4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(1,586)</w:t>
            </w:r>
          </w:p>
        </w:tc>
      </w:tr>
      <w:tr>
        <w:trPr>
          <w:trHeight w:val="213"/>
        </w:trPr>
        <w:tc>
          <w:tcPr>
            <w:tcW w:w="6840" w:type="dxa"/>
            <w:vAlign w:val="bottom"/>
          </w:tcPr>
          <w:p>
            <w:pPr>
              <w:ind w:left="140"/>
              <w:spacing w:after="0"/>
              <w:rPr>
                <w:sz w:val="20"/>
                <w:szCs w:val="20"/>
                <w:color w:val="auto"/>
              </w:rPr>
            </w:pPr>
            <w:r>
              <w:rPr>
                <w:rFonts w:ascii="Arial" w:cs="Arial" w:eastAsia="Arial" w:hAnsi="Arial"/>
                <w:sz w:val="15"/>
                <w:szCs w:val="15"/>
                <w:color w:val="auto"/>
              </w:rPr>
              <w:t>Total asset retirement obligation, net of current portion</w:t>
            </w:r>
          </w:p>
        </w:tc>
        <w:tc>
          <w:tcPr>
            <w:tcW w:w="4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95"/>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4,382</w:t>
            </w:r>
          </w:p>
        </w:tc>
      </w:tr>
      <w:tr>
        <w:trPr>
          <w:trHeight w:val="20"/>
        </w:trPr>
        <w:tc>
          <w:tcPr>
            <w:tcW w:w="6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1"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91"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13" w:lineRule="exact"/>
        <w:rPr>
          <w:sz w:val="20"/>
          <w:szCs w:val="20"/>
          <w:color w:val="auto"/>
        </w:rPr>
      </w:pPr>
    </w:p>
    <w:p>
      <w:pPr>
        <w:jc w:val="both"/>
        <w:ind w:firstLine="298"/>
        <w:spacing w:after="0" w:line="271"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01"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70" w:lineRule="exact"/>
        <w:rPr>
          <w:sz w:val="20"/>
          <w:szCs w:val="20"/>
          <w:color w:val="auto"/>
        </w:rPr>
      </w:pPr>
    </w:p>
    <w:p>
      <w:pPr>
        <w:jc w:val="both"/>
        <w:ind w:firstLine="298"/>
        <w:spacing w:after="0" w:line="315" w:lineRule="auto"/>
        <w:rPr>
          <w:sz w:val="20"/>
          <w:szCs w:val="20"/>
          <w:color w:val="auto"/>
        </w:rPr>
      </w:pPr>
      <w:r>
        <w:rPr>
          <w:rFonts w:ascii="Arial" w:cs="Arial" w:eastAsia="Arial" w:hAnsi="Arial"/>
          <w:sz w:val="14"/>
          <w:szCs w:val="14"/>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2022, the Company earned net revenues after discount and fees of $19,335 and $49,023, respectively under this contract which was recorded as part of Revenues - RNG fuel.</w:t>
      </w:r>
    </w:p>
    <w:p>
      <w:pPr>
        <w:spacing w:after="0" w:line="75"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18"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00"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18"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320" w:lineRule="exact"/>
        <w:rPr>
          <w:sz w:val="20"/>
          <w:szCs w:val="20"/>
          <w:color w:val="auto"/>
        </w:rPr>
      </w:pPr>
    </w:p>
    <w:p>
      <w:pPr>
        <w:jc w:val="both"/>
        <w:ind w:firstLine="298"/>
        <w:spacing w:after="0" w:line="251" w:lineRule="auto"/>
        <w:rPr>
          <w:sz w:val="20"/>
          <w:szCs w:val="20"/>
          <w:color w:val="auto"/>
        </w:rPr>
      </w:pPr>
      <w:r>
        <w:rPr>
          <w:rFonts w:ascii="Arial" w:cs="Arial" w:eastAsia="Arial" w:hAnsi="Arial"/>
          <w:sz w:val="16"/>
          <w:szCs w:val="16"/>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has concluded these agreements meet the criteria for a lease and are classified as operating leases. Typically, these agreements do not require any minimum consumption amounts and, therefore, no minimum payments. Included in "RNG fuel" revenues are $856 and $1,906 related to the lease portion of these agreements for the three and nine months ended September 30, 2022. The lease revenues included in Revenues - RNG fuel for the three and nine months ended September 30, 2021 were $694 and $1,644, respectively. In addition, the Company has assessed all power purchase agreements ("PPAs") and concluded that certain PPAs contain a lease element requiring lease accounting. Included in "Renewable power" revenues are $384 and $1,014 related to the lease element of these PPAs for the three and nine months ended September 30, 2022. For the three and nine months ended September 30, 2021, the lease revenues from the PPAs included in "Renewable power" revenues were $765 and $1,642,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shows the disaggregation of revenue according to product line: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Pr>
          <w:p>
            <w:pPr>
              <w:spacing w:after="0"/>
              <w:rPr>
                <w:sz w:val="16"/>
                <w:szCs w:val="16"/>
                <w:color w:val="auto"/>
              </w:rPr>
            </w:pPr>
          </w:p>
        </w:tc>
      </w:tr>
      <w:tr>
        <w:trPr>
          <w:trHeight w:val="203"/>
        </w:trPr>
        <w:tc>
          <w:tcPr>
            <w:tcW w:w="4560" w:type="dxa"/>
            <w:vAlign w:val="bottom"/>
          </w:tcPr>
          <w:p>
            <w:pPr>
              <w:spacing w:after="0"/>
              <w:rPr>
                <w:sz w:val="17"/>
                <w:szCs w:val="17"/>
                <w:color w:val="auto"/>
              </w:rPr>
            </w:pPr>
          </w:p>
        </w:tc>
        <w:tc>
          <w:tcPr>
            <w:tcW w:w="2720" w:type="dxa"/>
            <w:vAlign w:val="bottom"/>
            <w:gridSpan w:val="6"/>
          </w:tcPr>
          <w:p>
            <w:pPr>
              <w:ind w:left="160"/>
              <w:spacing w:after="0"/>
              <w:rPr>
                <w:sz w:val="20"/>
                <w:szCs w:val="20"/>
                <w:color w:val="auto"/>
              </w:rPr>
            </w:pPr>
            <w:r>
              <w:rPr>
                <w:rFonts w:ascii="Arial" w:cs="Arial" w:eastAsia="Arial" w:hAnsi="Arial"/>
                <w:sz w:val="15"/>
                <w:szCs w:val="15"/>
                <w:b w:val="1"/>
                <w:bCs w:val="1"/>
                <w:color w:val="auto"/>
                <w:w w:val="99"/>
              </w:rPr>
              <w:t>Three Months Ended September 30,</w:t>
            </w:r>
          </w:p>
        </w:tc>
        <w:tc>
          <w:tcPr>
            <w:tcW w:w="340" w:type="dxa"/>
            <w:vAlign w:val="bottom"/>
          </w:tcPr>
          <w:p>
            <w:pPr>
              <w:spacing w:after="0"/>
              <w:rPr>
                <w:sz w:val="17"/>
                <w:szCs w:val="17"/>
                <w:color w:val="auto"/>
              </w:rPr>
            </w:pPr>
          </w:p>
        </w:tc>
        <w:tc>
          <w:tcPr>
            <w:tcW w:w="1840" w:type="dxa"/>
            <w:vAlign w:val="bottom"/>
            <w:gridSpan w:val="3"/>
          </w:tcPr>
          <w:p>
            <w:pPr>
              <w:jc w:val="right"/>
              <w:ind w:right="105"/>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Pr>
          <w:p>
            <w:pPr>
              <w:spacing w:after="0"/>
              <w:rPr>
                <w:sz w:val="17"/>
                <w:szCs w:val="17"/>
                <w:color w:val="auto"/>
              </w:rPr>
            </w:pPr>
          </w:p>
        </w:tc>
      </w:tr>
      <w:tr>
        <w:trPr>
          <w:trHeight w:val="193"/>
        </w:trPr>
        <w:tc>
          <w:tcPr>
            <w:tcW w:w="45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w w:val="83"/>
              </w:rPr>
              <w:t>2021</w:t>
            </w:r>
          </w:p>
        </w:tc>
      </w:tr>
      <w:tr>
        <w:trPr>
          <w:trHeight w:val="31"/>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Renewable power sales</w:t>
            </w:r>
          </w:p>
        </w:tc>
        <w:tc>
          <w:tcPr>
            <w:tcW w:w="820" w:type="dxa"/>
            <w:vAlign w:val="bottom"/>
            <w:tcBorders>
              <w:bottom w:val="single" w:sz="8" w:color="CCEEFF"/>
            </w:tcBorders>
            <w:shd w:val="clear" w:color="auto" w:fill="CCEEFF"/>
          </w:tcPr>
          <w:p>
            <w:pPr>
              <w:jc w:val="right"/>
              <w:ind w:right="645"/>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9,551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27,205</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28,162</w:t>
            </w: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Third party construction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18,660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14,078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41,476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23,348</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Service</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11,910</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11,674</w:t>
            </w: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Brown gas sales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12,430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23,398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7,836</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Environmental credits</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19,649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13,202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58,444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25,198</w:t>
            </w: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Parts sales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2,332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532</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agreements</w:t>
            </w:r>
          </w:p>
        </w:tc>
        <w:tc>
          <w:tcPr>
            <w:tcW w:w="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2,433</w:t>
            </w: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Other</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2,499</w:t>
            </w:r>
          </w:p>
        </w:tc>
      </w:tr>
      <w:tr>
        <w:trPr>
          <w:trHeight w:val="31"/>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revenue from contracts with customers</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65,310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45,725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165,894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101,682</w:t>
            </w:r>
          </w:p>
        </w:tc>
      </w:tr>
      <w:tr>
        <w:trPr>
          <w:trHeight w:val="186"/>
        </w:trPr>
        <w:tc>
          <w:tcPr>
            <w:tcW w:w="4560" w:type="dxa"/>
            <w:vAlign w:val="bottom"/>
          </w:tcPr>
          <w:p>
            <w:pPr>
              <w:ind w:left="20"/>
              <w:spacing w:after="0"/>
              <w:rPr>
                <w:sz w:val="20"/>
                <w:szCs w:val="20"/>
                <w:color w:val="auto"/>
              </w:rPr>
            </w:pPr>
            <w:r>
              <w:rPr>
                <w:rFonts w:ascii="Arial" w:cs="Arial" w:eastAsia="Arial" w:hAnsi="Arial"/>
                <w:sz w:val="15"/>
                <w:szCs w:val="15"/>
                <w:color w:val="auto"/>
              </w:rPr>
              <w:t>Lease revenue</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1,240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1,459</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2,920</w:t>
            </w: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3,286</w:t>
            </w:r>
          </w:p>
        </w:tc>
      </w:tr>
      <w:tr>
        <w:trPr>
          <w:trHeight w:val="31"/>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revenue</w:t>
            </w: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66,550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47,184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168,814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104,968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For the three and nine months ended September 30, 2022, 28% and 24.6%, respectively of revenue was recognized over time, and the remainder was for products and services transferred at a point in time. For the three and nine months ended September 30, 2021, approximately 29.8% and 22.2%, respectively, of revenue was recognized over time, and the remainder was for products and services transferred at a point in time.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the items consisting of items recorded as Other income:</w:t>
      </w:r>
    </w:p>
    <w:p>
      <w:pPr>
        <w:spacing w:after="0" w:line="252" w:lineRule="exact"/>
        <w:rPr>
          <w:sz w:val="20"/>
          <w:szCs w:val="20"/>
          <w:color w:val="auto"/>
        </w:rPr>
      </w:pPr>
    </w:p>
    <w:tbl>
      <w:tblPr>
        <w:tblLayout w:type="fixed"/>
        <w:tblInd w:w="60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ind w:left="560"/>
              <w:spacing w:after="0"/>
              <w:rPr>
                <w:sz w:val="20"/>
                <w:szCs w:val="20"/>
                <w:color w:val="auto"/>
              </w:rPr>
            </w:pPr>
            <w:r>
              <w:rPr>
                <w:rFonts w:ascii="Arial" w:cs="Arial" w:eastAsia="Arial" w:hAnsi="Arial"/>
                <w:sz w:val="15"/>
                <w:szCs w:val="15"/>
                <w:b w:val="1"/>
                <w:bCs w:val="1"/>
                <w:color w:val="auto"/>
                <w:w w:val="89"/>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2720" w:type="dxa"/>
            <w:vAlign w:val="bottom"/>
            <w:gridSpan w:val="6"/>
          </w:tcPr>
          <w:p>
            <w:pPr>
              <w:ind w:left="160"/>
              <w:spacing w:after="0"/>
              <w:rPr>
                <w:sz w:val="20"/>
                <w:szCs w:val="20"/>
                <w:color w:val="auto"/>
              </w:rPr>
            </w:pPr>
            <w:r>
              <w:rPr>
                <w:rFonts w:ascii="Arial" w:cs="Arial" w:eastAsia="Arial" w:hAnsi="Arial"/>
                <w:sz w:val="15"/>
                <w:szCs w:val="15"/>
                <w:b w:val="1"/>
                <w:bCs w:val="1"/>
                <w:color w:val="auto"/>
                <w:w w:val="99"/>
              </w:rPr>
              <w:t>Three Months Ended September 30,</w:t>
            </w:r>
          </w:p>
        </w:tc>
        <w:tc>
          <w:tcPr>
            <w:tcW w:w="340" w:type="dxa"/>
            <w:vAlign w:val="bottom"/>
          </w:tcPr>
          <w:p>
            <w:pPr>
              <w:spacing w:after="0"/>
              <w:rPr>
                <w:sz w:val="17"/>
                <w:szCs w:val="17"/>
                <w:color w:val="auto"/>
              </w:rPr>
            </w:pPr>
          </w:p>
        </w:tc>
        <w:tc>
          <w:tcPr>
            <w:tcW w:w="1840" w:type="dxa"/>
            <w:vAlign w:val="bottom"/>
            <w:gridSpan w:val="3"/>
          </w:tcPr>
          <w:p>
            <w:pPr>
              <w:ind w:left="740"/>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260"/>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w w:val="83"/>
              </w:rPr>
              <w:t>2021</w:t>
            </w:r>
          </w:p>
        </w:tc>
        <w:tc>
          <w:tcPr>
            <w:tcW w:w="0" w:type="dxa"/>
            <w:vAlign w:val="bottom"/>
          </w:tcPr>
          <w:p>
            <w:pPr>
              <w:spacing w:after="0"/>
              <w:rPr>
                <w:sz w:val="1"/>
                <w:szCs w:val="1"/>
                <w:color w:val="auto"/>
              </w:rPr>
            </w:pPr>
          </w:p>
        </w:tc>
      </w:tr>
      <w:tr>
        <w:trPr>
          <w:trHeight w:val="31"/>
        </w:trPr>
        <w:tc>
          <w:tcPr>
            <w:tcW w:w="4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56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8"/>
              </w:rPr>
              <w:t>Reversal of contingent consideration on acquisition of non-controlling</w:t>
            </w:r>
          </w:p>
        </w:tc>
        <w:tc>
          <w:tcPr>
            <w:tcW w:w="860" w:type="dxa"/>
            <w:vAlign w:val="bottom"/>
            <w:vMerge w:val="restart"/>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4,365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ind w:left="740"/>
              <w:spacing w:after="0"/>
              <w:rPr>
                <w:sz w:val="20"/>
                <w:szCs w:val="20"/>
                <w:color w:val="auto"/>
              </w:rPr>
            </w:pPr>
            <w:r>
              <w:rPr>
                <w:rFonts w:ascii="Arial" w:cs="Arial" w:eastAsia="Arial" w:hAnsi="Arial"/>
                <w:sz w:val="15"/>
                <w:szCs w:val="15"/>
                <w:color w:val="auto"/>
              </w:rPr>
              <w:t>4,365</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w:t>
            </w:r>
          </w:p>
        </w:tc>
        <w:tc>
          <w:tcPr>
            <w:tcW w:w="8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Gain on redemption of Note receivable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5"/>
              </w:rPr>
              <w:t>1,943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40" w:type="dxa"/>
            <w:vAlign w:val="bottom"/>
          </w:tcPr>
          <w:p>
            <w:pPr>
              <w:ind w:left="740"/>
              <w:spacing w:after="0"/>
              <w:rPr>
                <w:sz w:val="20"/>
                <w:szCs w:val="20"/>
                <w:color w:val="auto"/>
              </w:rPr>
            </w:pPr>
            <w:r>
              <w:rPr>
                <w:rFonts w:ascii="Arial" w:cs="Arial" w:eastAsia="Arial" w:hAnsi="Arial"/>
                <w:sz w:val="15"/>
                <w:szCs w:val="15"/>
                <w:color w:val="auto"/>
              </w:rPr>
              <w:t>1,943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ind w:left="6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4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6,308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6,308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information about receivables, contract assets, and contract liabilities from contracts with customers: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193"/>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Accounts receivable, net</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36,660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25,391</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Contract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Cost and estimated earnings in excess of billings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5,989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 retainage,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2,495</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Contract assets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Contract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Billings in excess of costs and estimated earnings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213"/>
        </w:trPr>
        <w:tc>
          <w:tcPr>
            <w:tcW w:w="8160" w:type="dxa"/>
            <w:vAlign w:val="bottom"/>
          </w:tcPr>
          <w:p>
            <w:pPr>
              <w:ind w:left="300"/>
              <w:spacing w:after="0"/>
              <w:rPr>
                <w:sz w:val="20"/>
                <w:szCs w:val="20"/>
                <w:color w:val="auto"/>
              </w:rPr>
            </w:pPr>
            <w:r>
              <w:rPr>
                <w:rFonts w:ascii="Arial" w:cs="Arial" w:eastAsia="Arial" w:hAnsi="Arial"/>
                <w:sz w:val="15"/>
                <w:szCs w:val="15"/>
                <w:color w:val="auto"/>
              </w:rPr>
              <w:t>Contract liabilities 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6,750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6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During the nine months ended September 30, 2022, the Company recognized revenue of $9,785 that was included in "Contract liabilities" at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September 30, 2021, the Company recognized revenue of $4,678 that was included in "Contract liabilities" at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RNG inventory</w:t>
      </w:r>
    </w:p>
    <w:p>
      <w:pPr>
        <w:spacing w:after="0" w:line="206" w:lineRule="exact"/>
        <w:rPr>
          <w:sz w:val="20"/>
          <w:szCs w:val="20"/>
          <w:color w:val="auto"/>
        </w:rPr>
      </w:pPr>
    </w:p>
    <w:p>
      <w:pPr>
        <w:jc w:val="both"/>
        <w:ind w:firstLine="298"/>
        <w:spacing w:after="0" w:line="371" w:lineRule="auto"/>
        <w:rPr>
          <w:sz w:val="20"/>
          <w:szCs w:val="20"/>
          <w:color w:val="auto"/>
        </w:rPr>
      </w:pPr>
      <w:r>
        <w:rPr>
          <w:rFonts w:ascii="Arial" w:cs="Arial" w:eastAsia="Arial" w:hAnsi="Arial"/>
          <w:sz w:val="14"/>
          <w:szCs w:val="14"/>
          <w:color w:val="auto"/>
        </w:rPr>
        <w:t>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3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Company's remaining performance obligations ("backlog") represent the unrecognized revenue value of its contract commitments. The Company's backlog may significantly vary each reporting period based on the timing of major new contract commitments. At September 30, 2022, the Company had a backlog of $36,311 which is anticipated to be recognized as revenue in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4" w:lineRule="exact"/>
        <w:rPr>
          <w:sz w:val="20"/>
          <w:szCs w:val="20"/>
          <w:color w:val="auto"/>
        </w:rPr>
      </w:pPr>
    </w:p>
    <w:p>
      <w:pPr>
        <w:jc w:val="both"/>
        <w:ind w:firstLine="298"/>
        <w:spacing w:after="0" w:line="334" w:lineRule="auto"/>
        <w:rPr>
          <w:sz w:val="20"/>
          <w:szCs w:val="20"/>
          <w:color w:val="auto"/>
        </w:rPr>
      </w:pPr>
      <w:r>
        <w:rPr>
          <w:rFonts w:ascii="Arial" w:cs="Arial" w:eastAsia="Arial" w:hAnsi="Arial"/>
          <w:sz w:val="14"/>
          <w:szCs w:val="14"/>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61"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6"/>
          <w:szCs w:val="16"/>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Customers, Vendors and Concentration of Credit Risk</w:t>
      </w:r>
    </w:p>
    <w:p>
      <w:pPr>
        <w:spacing w:after="0" w:line="13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For the three and nine months ended September 30, 2022, two customers accounted for 49% and 45% of revenue, respectively. For the three and nine months ended 2021, two customers accounted for 18% and 30% of revenue, respectively. At September 30, 2022, two customers accounted for 38% of accounts receivable. At December 31, 2021, one customer accounted for 11%, of accounts receivable.</w:t>
      </w:r>
    </w:p>
    <w:p>
      <w:pPr>
        <w:spacing w:after="0" w:line="113"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13"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As of September 30, 2022 one vendor, respectively accounted for 22% of the accounts payable. As of December 31, 2021, no vendors accounted for greater than 10% of the accounts payable.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3.Business Combination</w:t>
      </w:r>
    </w:p>
    <w:p>
      <w:pPr>
        <w:spacing w:after="0" w:line="206"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29"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consummation of the Business Combination, the events summarized below, among others, occurred:</w:t>
      </w:r>
    </w:p>
    <w:p>
      <w:pPr>
        <w:spacing w:after="0" w:line="5" w:lineRule="exact"/>
        <w:rPr>
          <w:sz w:val="20"/>
          <w:szCs w:val="20"/>
          <w:color w:val="auto"/>
        </w:rPr>
      </w:pPr>
    </w:p>
    <w:p>
      <w:pPr>
        <w:jc w:val="both"/>
        <w:ind w:left="600" w:firstLine="294"/>
        <w:spacing w:after="0" w:line="302" w:lineRule="auto"/>
        <w:tabs>
          <w:tab w:leader="none" w:pos="1192" w:val="left"/>
        </w:tabs>
        <w:numPr>
          <w:ilvl w:val="0"/>
          <w:numId w:val="7"/>
        </w:numPr>
        <w:rPr>
          <w:rFonts w:ascii="Arial" w:cs="Arial" w:eastAsia="Arial" w:hAnsi="Arial"/>
          <w:sz w:val="14"/>
          <w:szCs w:val="14"/>
          <w:color w:val="auto"/>
        </w:rPr>
      </w:pPr>
      <w:r>
        <w:rPr>
          <w:rFonts w:ascii="Arial" w:cs="Arial" w:eastAsia="Arial" w:hAnsi="Arial"/>
          <w:sz w:val="14"/>
          <w:szCs w:val="14"/>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spacing w:after="0" w:line="170" w:lineRule="exact"/>
        <w:rPr>
          <w:rFonts w:ascii="Arial" w:cs="Arial" w:eastAsia="Arial" w:hAnsi="Arial"/>
          <w:sz w:val="14"/>
          <w:szCs w:val="14"/>
          <w:color w:val="auto"/>
        </w:rPr>
      </w:pPr>
    </w:p>
    <w:p>
      <w:pPr>
        <w:jc w:val="both"/>
        <w:ind w:left="600" w:firstLine="294"/>
        <w:spacing w:after="0" w:line="238" w:lineRule="auto"/>
        <w:tabs>
          <w:tab w:leader="none" w:pos="1234" w:val="left"/>
        </w:tabs>
        <w:numPr>
          <w:ilvl w:val="0"/>
          <w:numId w:val="7"/>
        </w:numPr>
        <w:rPr>
          <w:rFonts w:ascii="Arial" w:cs="Arial" w:eastAsia="Arial" w:hAnsi="Arial"/>
          <w:sz w:val="17"/>
          <w:szCs w:val="17"/>
          <w:color w:val="auto"/>
        </w:rPr>
      </w:pPr>
      <w:r>
        <w:rPr>
          <w:rFonts w:ascii="Arial" w:cs="Arial" w:eastAsia="Arial" w:hAnsi="Arial"/>
          <w:sz w:val="17"/>
          <w:szCs w:val="17"/>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174" w:lineRule="exact"/>
        <w:rPr>
          <w:rFonts w:ascii="Arial" w:cs="Arial" w:eastAsia="Arial" w:hAnsi="Arial"/>
          <w:sz w:val="17"/>
          <w:szCs w:val="17"/>
          <w:color w:val="auto"/>
        </w:rPr>
      </w:pPr>
    </w:p>
    <w:p>
      <w:pPr>
        <w:ind w:left="1220" w:hanging="326"/>
        <w:spacing w:after="0"/>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OPAL Fuels issued 25,671,390 Class A Units of OPAL Fuels to the Company; and</w:t>
      </w:r>
    </w:p>
    <w:p>
      <w:pPr>
        <w:spacing w:after="0" w:line="202" w:lineRule="exact"/>
        <w:rPr>
          <w:rFonts w:ascii="Arial" w:cs="Arial" w:eastAsia="Arial" w:hAnsi="Arial"/>
          <w:sz w:val="17"/>
          <w:szCs w:val="17"/>
          <w:color w:val="auto"/>
        </w:rPr>
      </w:pPr>
    </w:p>
    <w:p>
      <w:pPr>
        <w:jc w:val="both"/>
        <w:ind w:left="600" w:firstLine="294"/>
        <w:spacing w:after="0" w:line="254" w:lineRule="auto"/>
        <w:tabs>
          <w:tab w:leader="none" w:pos="123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200" w:lineRule="exact"/>
        <w:rPr>
          <w:sz w:val="20"/>
          <w:szCs w:val="20"/>
          <w:color w:val="auto"/>
        </w:rPr>
      </w:pPr>
    </w:p>
    <w:p>
      <w:pPr>
        <w:jc w:val="both"/>
        <w:ind w:firstLine="298"/>
        <w:spacing w:after="0" w:line="253" w:lineRule="auto"/>
        <w:rPr>
          <w:sz w:val="20"/>
          <w:szCs w:val="20"/>
          <w:color w:val="auto"/>
        </w:rPr>
      </w:pPr>
      <w:r>
        <w:rPr>
          <w:rFonts w:ascii="Arial" w:cs="Arial" w:eastAsia="Arial" w:hAnsi="Arial"/>
          <w:sz w:val="16"/>
          <w:szCs w:val="16"/>
          <w:color w:val="auto"/>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with the change in the fair market value recognized in the statement of operations. As of September 30, 2022, Meteora sold 340,000 shares. The fair value of the put option for the remaining 1,700,000 as of September 30, 2022 was estimated at $4,200. For the three and nine months ended September 30, 2022, the Company recorded a gain of $384 as change in fair value of derivative instruments,net in its Condensed Consolidated Statement of Operations.</w:t>
      </w:r>
    </w:p>
    <w:p>
      <w:pPr>
        <w:spacing w:after="0" w:line="191" w:lineRule="exact"/>
        <w:rPr>
          <w:sz w:val="20"/>
          <w:szCs w:val="20"/>
          <w:color w:val="auto"/>
        </w:rPr>
      </w:pPr>
    </w:p>
    <w:p>
      <w:pPr>
        <w:jc w:val="both"/>
        <w:ind w:firstLine="298"/>
        <w:spacing w:after="0" w:line="252" w:lineRule="auto"/>
        <w:rPr>
          <w:sz w:val="20"/>
          <w:szCs w:val="20"/>
          <w:color w:val="auto"/>
        </w:rPr>
      </w:pPr>
      <w:r>
        <w:rPr>
          <w:rFonts w:ascii="Arial" w:cs="Arial" w:eastAsia="Arial" w:hAnsi="Arial"/>
          <w:sz w:val="16"/>
          <w:szCs w:val="16"/>
          <w:color w:val="auto"/>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Arial" w:cs="Arial" w:eastAsia="Arial" w:hAnsi="Arial"/>
          <w:sz w:val="16"/>
          <w:szCs w:val="16"/>
          <w:i w:val="1"/>
          <w:iCs w:val="1"/>
          <w:color w:val="auto"/>
        </w:rPr>
        <w:t>erivatives and Hedging</w:t>
      </w:r>
      <w:r>
        <w:rPr>
          <w:rFonts w:ascii="Arial" w:cs="Arial" w:eastAsia="Arial" w:hAnsi="Arial"/>
          <w:sz w:val="16"/>
          <w:szCs w:val="16"/>
          <w:color w:val="auto"/>
        </w:rPr>
        <w:t>. The fair value of Sponsor Earnout Awards as of September 30, 2022 was estimated at $4,600.</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 the three and nine months ended September 30, 2022, the Company recorded a gain of $1,100 as change in fair value of derivative instruments,net in its condensed consolidated statement of operations.</w:t>
      </w:r>
    </w:p>
    <w:p>
      <w:pPr>
        <w:spacing w:after="0" w:line="205" w:lineRule="exact"/>
        <w:rPr>
          <w:sz w:val="20"/>
          <w:szCs w:val="20"/>
          <w:color w:val="auto"/>
        </w:rPr>
      </w:pPr>
    </w:p>
    <w:p>
      <w:pPr>
        <w:jc w:val="both"/>
        <w:ind w:firstLine="298"/>
        <w:spacing w:after="0" w:line="292" w:lineRule="auto"/>
        <w:rPr>
          <w:sz w:val="20"/>
          <w:szCs w:val="20"/>
          <w:color w:val="auto"/>
        </w:rPr>
      </w:pPr>
      <w:r>
        <w:rPr>
          <w:rFonts w:ascii="Arial" w:cs="Arial" w:eastAsia="Arial" w:hAnsi="Arial"/>
          <w:sz w:val="14"/>
          <w:szCs w:val="14"/>
          <w:color w:val="auto"/>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xml:space="preserve"> because they are considered indexed to an obligation to repurchase shares by delivering cash or other assets as a result of certain settlement provisions. The fair value of OPAL Earnout Awards as of September 30, 2022 was estimated at $34,900. For the three and nine months ended September 30, 2022, the Company recorded a gain of $5,300 as change in fair value of derivative instruments,net in its condensed consolidated statements of operations.</w:t>
      </w:r>
    </w:p>
    <w:p>
      <w:pPr>
        <w:spacing w:after="0" w:line="176"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Upon the completion of the business combination, the Company assumed the Public Warrants and Private Warrants. As of September 30, 2022, the Company had 6,223,261 and 9,223,261 Public Warrants and Private Warrants outstanding, respectively.</w:t>
      </w:r>
    </w:p>
    <w:p>
      <w:pPr>
        <w:spacing w:after="0" w:line="193" w:lineRule="exact"/>
        <w:rPr>
          <w:sz w:val="20"/>
          <w:szCs w:val="20"/>
          <w:color w:val="auto"/>
        </w:rPr>
      </w:pPr>
    </w:p>
    <w:p>
      <w:pPr>
        <w:jc w:val="both"/>
        <w:ind w:firstLine="298"/>
        <w:spacing w:after="0" w:line="296" w:lineRule="auto"/>
        <w:rPr>
          <w:sz w:val="20"/>
          <w:szCs w:val="20"/>
          <w:color w:val="auto"/>
        </w:rPr>
      </w:pPr>
      <w:r>
        <w:rPr>
          <w:rFonts w:ascii="Arial" w:cs="Arial" w:eastAsia="Arial" w:hAnsi="Arial"/>
          <w:sz w:val="14"/>
          <w:szCs w:val="14"/>
          <w:color w:val="auto"/>
        </w:rPr>
        <w:t>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warrants have an exercise price of $11.50 per share, subject to adjustments, and will expire five years after the completion of a Business Combination or earlier upon redemption or liquidation. The fair value of the Public Warrants as of September 30, 2022 was estimated at $9,024. For the three and nine months ended September 30, 2022, the Company recorded an expense of $3,578 as change in fair value of derivative instruments, net in its condensed consolidated statements of operations.</w:t>
      </w:r>
    </w:p>
    <w:p>
      <w:pPr>
        <w:spacing w:after="0" w:line="176"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6"/>
          <w:szCs w:val="16"/>
          <w:color w:val="auto"/>
        </w:rPr>
        <w:t>The Private Warrants are identical to the Public Warrants underlying the units sold in the Initial Public Offering, except that the Private Warrants and the Class A common stock issuable upon exercise of the Private Placement Warrants will not be transferable, assignable or salable until 30 days after the completion of a Business Combination, subject to certain limited exceptions. Additionally, the Private Warrants will be non-redeemable so long as they are held by the initial purchasers or such purchasers’ permitted transferees. If the Private Warrants are held by someone other than the Initial Shareholders or their permitted transferees, the Private Warrants will be redeemable by the Company and exercisable by such holders on the same basis as the Public Warrants. The fair value of the Private Warrants as of September 30, 2022 was estimated at $13,388. For the three and nine months ended September 30, 2022, the Company recorded an expense of $5,309 as change in fair value of derivative instruments, net in its condensed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warrants for cash when the price per Class A common stock price equals or exceeds $18.00:</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Once the warrants become exercisable, the Company may redeem the outstanding warrants (except as described herein with respect to the Private Warrants):</w:t>
      </w:r>
    </w:p>
    <w:p>
      <w:pPr>
        <w:spacing w:after="0" w:line="262" w:lineRule="exact"/>
        <w:rPr>
          <w:sz w:val="20"/>
          <w:szCs w:val="20"/>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4" w:lineRule="exact"/>
        <w:rPr>
          <w:rFonts w:ascii="Arial" w:cs="Arial" w:eastAsia="Arial" w:hAnsi="Arial"/>
          <w:sz w:val="17"/>
          <w:szCs w:val="17"/>
          <w:color w:val="auto"/>
        </w:rPr>
      </w:pPr>
    </w:p>
    <w:p>
      <w:pPr>
        <w:ind w:left="600" w:hanging="302"/>
        <w:spacing w:after="0" w:line="22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a price of $0.01 per warrant;</w:t>
      </w: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to each warrant holder; and</w:t>
      </w:r>
    </w:p>
    <w:p>
      <w:pPr>
        <w:spacing w:after="0" w:line="2" w:lineRule="exact"/>
        <w:rPr>
          <w:rFonts w:ascii="Arial" w:cs="Arial" w:eastAsia="Arial" w:hAnsi="Arial"/>
          <w:sz w:val="17"/>
          <w:szCs w:val="17"/>
          <w:color w:val="auto"/>
        </w:rPr>
      </w:pPr>
    </w:p>
    <w:p>
      <w:pPr>
        <w:ind w:left="600" w:right="320" w:hanging="302"/>
        <w:spacing w:after="0" w:line="229"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warrants for Class A common stock when the price per share of Class A common stock equals or exceeds $10.00:</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Once the warrants become exercisable, the Company may redeem the outstanding warrants: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0" w:lineRule="exact"/>
        <w:rPr>
          <w:sz w:val="20"/>
          <w:szCs w:val="20"/>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4" w:lineRule="exact"/>
        <w:rPr>
          <w:rFonts w:ascii="Arial" w:cs="Arial" w:eastAsia="Arial" w:hAnsi="Arial"/>
          <w:sz w:val="17"/>
          <w:szCs w:val="17"/>
          <w:color w:val="auto"/>
        </w:rPr>
      </w:pPr>
    </w:p>
    <w:p>
      <w:pPr>
        <w:jc w:val="both"/>
        <w:ind w:left="600" w:hanging="302"/>
        <w:spacing w:after="0" w:line="234"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ind w:left="600" w:hanging="302"/>
        <w:spacing w:after="0" w:line="23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and only if, the closing price of Class A common stock equals or exceeds $10.00 per share (as adjusted) for any 20 trading days within the 30 trading day period ending three trading days before the Company sends the notice of redemption to the warrant holders; and</w:t>
      </w:r>
    </w:p>
    <w:p>
      <w:pPr>
        <w:jc w:val="both"/>
        <w:ind w:left="600" w:hanging="302"/>
        <w:spacing w:after="0" w:line="238" w:lineRule="auto"/>
        <w:tabs>
          <w:tab w:leader="none" w:pos="637"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on the third trading day prior to the date on which the Company sends the notice of redemption to the warrant holders is less than $18.00 per share (as adjusted), the Private Warrants must also be concurrently called for redemption on the same terms as the outstanding Public Warrants, as described above.</w:t>
      </w:r>
    </w:p>
    <w:p>
      <w:pPr>
        <w:spacing w:after="0" w:line="200" w:lineRule="exact"/>
        <w:rPr>
          <w:sz w:val="20"/>
          <w:szCs w:val="20"/>
          <w:color w:val="auto"/>
        </w:rPr>
      </w:pPr>
    </w:p>
    <w:p>
      <w:pPr>
        <w:jc w:val="both"/>
        <w:ind w:firstLine="298"/>
        <w:spacing w:after="0" w:line="269" w:lineRule="auto"/>
        <w:rPr>
          <w:sz w:val="20"/>
          <w:szCs w:val="20"/>
          <w:color w:val="auto"/>
        </w:rPr>
      </w:pPr>
      <w:r>
        <w:rPr>
          <w:rFonts w:ascii="Arial" w:cs="Arial" w:eastAsia="Arial" w:hAnsi="Arial"/>
          <w:sz w:val="16"/>
          <w:szCs w:val="16"/>
          <w:color w:val="auto"/>
        </w:rPr>
        <w:t>The “fair market value” of Class A common stock for the above purpose shall mean the volume weighted average price of our Class A common stock during the ten trading days immediately following the date on which the notice of redemption is sent to the holders of warrants. In no event will the warrants be exercisable in connection with this redemption feature for more than 0.361 Class A common stock per warrant (subject to adjustment).</w:t>
      </w:r>
    </w:p>
    <w:p>
      <w:pPr>
        <w:spacing w:after="0" w:line="177"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The following table reconciles the elements of the Business Combination to the condensed consolidated statements of cash flows and the condensed consolidated statements of stockholders' equity for the nine months ended September 30, 2022:</w:t>
      </w:r>
    </w:p>
    <w:p>
      <w:pPr>
        <w:spacing w:after="0" w:line="200" w:lineRule="exact"/>
        <w:rPr>
          <w:sz w:val="20"/>
          <w:szCs w:val="20"/>
          <w:color w:val="auto"/>
        </w:rPr>
      </w:pP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proceeds from Arclight, net of redemptions</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17,775</w:t>
            </w:r>
          </w:p>
        </w:tc>
      </w:tr>
      <w:tr>
        <w:trPr>
          <w:trHeight w:val="211"/>
        </w:trPr>
        <w:tc>
          <w:tcPr>
            <w:tcW w:w="6700" w:type="dxa"/>
            <w:vAlign w:val="bottom"/>
          </w:tcPr>
          <w:p>
            <w:pPr>
              <w:ind w:left="20"/>
              <w:spacing w:after="0"/>
              <w:rPr>
                <w:sz w:val="20"/>
                <w:szCs w:val="20"/>
                <w:color w:val="auto"/>
              </w:rPr>
            </w:pPr>
            <w:r>
              <w:rPr>
                <w:rFonts w:ascii="Arial" w:cs="Arial" w:eastAsia="Arial" w:hAnsi="Arial"/>
                <w:sz w:val="17"/>
                <w:szCs w:val="17"/>
                <w:color w:val="auto"/>
              </w:rPr>
              <w:t>Cash proceeds from PIPE investors</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110,806</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in escrow account for the Forward Purchase Agreement</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20,040</w:t>
            </w:r>
          </w:p>
        </w:tc>
      </w:tr>
      <w:tr>
        <w:trPr>
          <w:trHeight w:val="211"/>
        </w:trPr>
        <w:tc>
          <w:tcPr>
            <w:tcW w:w="670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 xml:space="preserve">Less: transaction costs and under writing fees paid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(9,771)</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acquired from Business Combination</w:t>
            </w:r>
          </w:p>
        </w:tc>
        <w:tc>
          <w:tcPr>
            <w:tcW w:w="8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138,850</w:t>
            </w:r>
          </w:p>
        </w:tc>
      </w:tr>
      <w:tr>
        <w:trPr>
          <w:trHeight w:val="204"/>
        </w:trPr>
        <w:tc>
          <w:tcPr>
            <w:tcW w:w="6700" w:type="dxa"/>
            <w:vAlign w:val="bottom"/>
          </w:tcPr>
          <w:p>
            <w:pPr>
              <w:ind w:left="20"/>
              <w:spacing w:after="0"/>
              <w:rPr>
                <w:sz w:val="20"/>
                <w:szCs w:val="20"/>
                <w:color w:val="auto"/>
              </w:rPr>
            </w:pPr>
            <w:r>
              <w:rPr>
                <w:rFonts w:ascii="Arial" w:cs="Arial" w:eastAsia="Arial" w:hAnsi="Arial"/>
                <w:sz w:val="17"/>
                <w:szCs w:val="17"/>
                <w:color w:val="auto"/>
              </w:rPr>
              <w:t>Less: warrant liabilities</w:t>
            </w:r>
          </w:p>
        </w:tc>
        <w:tc>
          <w:tcPr>
            <w:tcW w:w="8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(13,524)</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earnout liabilities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(45,900)</w:t>
            </w:r>
          </w:p>
        </w:tc>
      </w:tr>
      <w:tr>
        <w:trPr>
          <w:trHeight w:val="211"/>
        </w:trPr>
        <w:tc>
          <w:tcPr>
            <w:tcW w:w="6700" w:type="dxa"/>
            <w:vAlign w:val="bottom"/>
          </w:tcPr>
          <w:p>
            <w:pPr>
              <w:ind w:left="20"/>
              <w:spacing w:after="0"/>
              <w:rPr>
                <w:sz w:val="20"/>
                <w:szCs w:val="20"/>
                <w:color w:val="auto"/>
              </w:rPr>
            </w:pPr>
            <w:r>
              <w:rPr>
                <w:rFonts w:ascii="Arial" w:cs="Arial" w:eastAsia="Arial" w:hAnsi="Arial"/>
                <w:sz w:val="17"/>
                <w:szCs w:val="17"/>
                <w:color w:val="auto"/>
              </w:rPr>
              <w:t>Less: put option with Meteora</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(4,600)</w:t>
            </w:r>
          </w:p>
        </w:tc>
      </w:tr>
      <w:tr>
        <w:trPr>
          <w:trHeight w:val="211"/>
        </w:trPr>
        <w:tc>
          <w:tcPr>
            <w:tcW w:w="670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Less: Deferred financing costs recorded in additional paid-in-capital </w:t>
            </w:r>
            <w:r>
              <w:rPr>
                <w:rFonts w:ascii="Arial" w:cs="Arial" w:eastAsia="Arial" w:hAnsi="Arial"/>
                <w:sz w:val="21"/>
                <w:szCs w:val="21"/>
                <w:color w:val="auto"/>
                <w:vertAlign w:val="superscript"/>
              </w:rPr>
              <w:t>(2)</w:t>
            </w:r>
          </w:p>
        </w:tc>
        <w:tc>
          <w:tcPr>
            <w:tcW w:w="8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(6,569)</w:t>
            </w:r>
          </w:p>
        </w:tc>
      </w:tr>
      <w:tr>
        <w:trPr>
          <w:trHeight w:val="204"/>
        </w:trPr>
        <w:tc>
          <w:tcPr>
            <w:tcW w:w="6700" w:type="dxa"/>
            <w:vAlign w:val="bottom"/>
          </w:tcPr>
          <w:p>
            <w:pPr>
              <w:ind w:left="20"/>
              <w:spacing w:after="0"/>
              <w:rPr>
                <w:sz w:val="20"/>
                <w:szCs w:val="20"/>
                <w:color w:val="auto"/>
              </w:rPr>
            </w:pPr>
            <w:r>
              <w:rPr>
                <w:rFonts w:ascii="Arial" w:cs="Arial" w:eastAsia="Arial" w:hAnsi="Arial"/>
                <w:sz w:val="17"/>
                <w:szCs w:val="17"/>
                <w:color w:val="auto"/>
              </w:rPr>
              <w:t>Net cash from Business Combination recorded in Stockholders' equity</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68,257</w:t>
            </w:r>
          </w:p>
        </w:tc>
      </w:tr>
      <w:tr>
        <w:trPr>
          <w:trHeight w:val="20"/>
        </w:trPr>
        <w:tc>
          <w:tcPr>
            <w:tcW w:w="6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hanging="162"/>
        <w:spacing w:after="0"/>
        <w:tabs>
          <w:tab w:leader="none" w:pos="4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Includes $8,041 of Sponsor specific transaction costs paid at closing.</w:t>
      </w:r>
    </w:p>
    <w:p>
      <w:pPr>
        <w:spacing w:after="0" w:line="204" w:lineRule="exact"/>
        <w:rPr>
          <w:rFonts w:ascii="Arial" w:cs="Arial" w:eastAsia="Arial" w:hAnsi="Arial"/>
          <w:sz w:val="19"/>
          <w:szCs w:val="19"/>
          <w:color w:val="auto"/>
          <w:vertAlign w:val="superscript"/>
        </w:rPr>
      </w:pPr>
    </w:p>
    <w:p>
      <w:pPr>
        <w:ind w:left="460" w:hanging="162"/>
        <w:spacing w:after="0"/>
        <w:tabs>
          <w:tab w:leader="none" w:pos="4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Excludes $1,730 of transaction costs paid at closing and recorded on OPAL Fuels' condensed consolidated balance sheet prior to closing.</w:t>
      </w:r>
    </w:p>
    <w:p>
      <w:pPr>
        <w:spacing w:after="0" w:line="199" w:lineRule="exact"/>
        <w:rPr>
          <w:sz w:val="20"/>
          <w:szCs w:val="20"/>
          <w:color w:val="auto"/>
        </w:rPr>
      </w:pPr>
    </w:p>
    <w:p>
      <w:pPr>
        <w:ind w:right="460"/>
        <w:spacing w:after="0" w:line="248" w:lineRule="auto"/>
        <w:rPr>
          <w:sz w:val="20"/>
          <w:szCs w:val="20"/>
          <w:color w:val="auto"/>
        </w:rPr>
      </w:pPr>
      <w:r>
        <w:rPr>
          <w:rFonts w:ascii="Arial" w:cs="Arial" w:eastAsia="Arial" w:hAnsi="Arial"/>
          <w:sz w:val="17"/>
          <w:szCs w:val="17"/>
          <w:color w:val="auto"/>
        </w:rPr>
        <w:t>The total number of shares of the Company's Class A common stock outstanding immediately following the closing of the Business Combination was 25,671,390, consisting of the following: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67" w:lineRule="exact"/>
        <w:rPr>
          <w:sz w:val="20"/>
          <w:szCs w:val="20"/>
          <w:color w:val="auto"/>
        </w:rPr>
      </w:pPr>
    </w:p>
    <w:tbl>
      <w:tblPr>
        <w:tblLayout w:type="fixed"/>
        <w:tblInd w:w="301"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7"/>
                <w:szCs w:val="17"/>
                <w:color w:val="auto"/>
              </w:rPr>
              <w:t>Shares</w:t>
            </w:r>
          </w:p>
        </w:tc>
      </w:tr>
      <w:tr>
        <w:trPr>
          <w:trHeight w:val="204"/>
        </w:trPr>
        <w:tc>
          <w:tcPr>
            <w:tcW w:w="6440" w:type="dxa"/>
            <w:vAlign w:val="bottom"/>
          </w:tcPr>
          <w:p>
            <w:pPr>
              <w:ind w:left="20"/>
              <w:spacing w:after="0"/>
              <w:rPr>
                <w:sz w:val="20"/>
                <w:szCs w:val="20"/>
                <w:color w:val="auto"/>
              </w:rPr>
            </w:pPr>
            <w:r>
              <w:rPr>
                <w:rFonts w:ascii="Arial" w:cs="Arial" w:eastAsia="Arial" w:hAnsi="Arial"/>
                <w:sz w:val="17"/>
                <w:szCs w:val="17"/>
                <w:color w:val="auto"/>
              </w:rPr>
              <w:t>Class A - Public stockholders</w:t>
            </w:r>
          </w:p>
        </w:tc>
        <w:tc>
          <w:tcPr>
            <w:tcW w:w="1560" w:type="dxa"/>
            <w:vAlign w:val="bottom"/>
          </w:tcPr>
          <w:p>
            <w:pPr>
              <w:jc w:val="right"/>
              <w:spacing w:after="0"/>
              <w:rPr>
                <w:sz w:val="20"/>
                <w:szCs w:val="20"/>
                <w:color w:val="auto"/>
              </w:rPr>
            </w:pPr>
            <w:r>
              <w:rPr>
                <w:rFonts w:ascii="Arial" w:cs="Arial" w:eastAsia="Arial" w:hAnsi="Arial"/>
                <w:sz w:val="17"/>
                <w:szCs w:val="17"/>
                <w:color w:val="auto"/>
              </w:rPr>
              <w:t>1,752,181</w:t>
            </w:r>
          </w:p>
        </w:tc>
      </w:tr>
      <w:tr>
        <w:trPr>
          <w:trHeight w:val="211"/>
        </w:trPr>
        <w:tc>
          <w:tcPr>
            <w:tcW w:w="644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Class A - Sponsor shares </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7,779,076</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Class A - PIPE investors</w:t>
            </w:r>
          </w:p>
        </w:tc>
        <w:tc>
          <w:tcPr>
            <w:tcW w:w="1560" w:type="dxa"/>
            <w:vAlign w:val="bottom"/>
          </w:tcPr>
          <w:p>
            <w:pPr>
              <w:jc w:val="right"/>
              <w:spacing w:after="0"/>
              <w:rPr>
                <w:sz w:val="20"/>
                <w:szCs w:val="20"/>
                <w:color w:val="auto"/>
              </w:rPr>
            </w:pPr>
            <w:r>
              <w:rPr>
                <w:rFonts w:ascii="Arial" w:cs="Arial" w:eastAsia="Arial" w:hAnsi="Arial"/>
                <w:sz w:val="17"/>
                <w:szCs w:val="17"/>
                <w:color w:val="auto"/>
              </w:rPr>
              <w:t>11,080,600</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 Forward Purchase Agreement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r>
      <w:tr>
        <w:trPr>
          <w:trHeight w:val="21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Class A - 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3,059,533</w:t>
            </w:r>
          </w:p>
        </w:tc>
      </w:tr>
      <w:tr>
        <w:trPr>
          <w:trHeight w:val="204"/>
        </w:trPr>
        <w:tc>
          <w:tcPr>
            <w:tcW w:w="644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25,671,390</w:t>
            </w:r>
          </w:p>
        </w:tc>
      </w:tr>
      <w:tr>
        <w:trPr>
          <w:trHeight w:val="204"/>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Class D - Opal Fuels equity holders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144,399,037</w:t>
            </w:r>
          </w:p>
        </w:tc>
      </w:tr>
      <w:tr>
        <w:trPr>
          <w:trHeight w:val="22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shares issued upon closing of Business Combination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170,070,427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161" w:hanging="161"/>
        <w:spacing w:after="0"/>
        <w:tabs>
          <w:tab w:leader="none" w:pos="161" w:val="left"/>
        </w:tabs>
        <w:numPr>
          <w:ilvl w:val="0"/>
          <w:numId w:val="11"/>
        </w:numPr>
        <w:rPr>
          <w:rFonts w:ascii="Arial" w:cs="Arial" w:eastAsia="Arial" w:hAnsi="Arial"/>
          <w:sz w:val="19"/>
          <w:szCs w:val="19"/>
          <w:b w:val="1"/>
          <w:bCs w:val="1"/>
          <w:color w:val="auto"/>
          <w:vertAlign w:val="superscript"/>
        </w:rPr>
      </w:pPr>
      <w:r>
        <w:rPr>
          <w:rFonts w:ascii="Arial" w:cs="Arial" w:eastAsia="Arial" w:hAnsi="Arial"/>
          <w:sz w:val="15"/>
          <w:szCs w:val="15"/>
          <w:color w:val="auto"/>
        </w:rPr>
        <w:t>Includes 763,908 Sponsor Earnout Awards subject to vesting and forfeiture conditions.</w:t>
      </w:r>
    </w:p>
    <w:p>
      <w:pPr>
        <w:spacing w:after="0" w:line="200" w:lineRule="exact"/>
        <w:rPr>
          <w:sz w:val="20"/>
          <w:szCs w:val="20"/>
          <w:color w:val="auto"/>
        </w:rPr>
      </w:pPr>
    </w:p>
    <w:p>
      <w:pPr>
        <w:spacing w:after="0" w:line="222" w:lineRule="exact"/>
        <w:rPr>
          <w:sz w:val="20"/>
          <w:szCs w:val="20"/>
          <w:color w:val="auto"/>
        </w:rPr>
      </w:pPr>
    </w:p>
    <w:p>
      <w:pPr>
        <w:jc w:val="both"/>
        <w:ind w:left="1"/>
        <w:spacing w:after="0" w:line="248" w:lineRule="auto"/>
        <w:rPr>
          <w:sz w:val="20"/>
          <w:szCs w:val="20"/>
          <w:color w:val="auto"/>
        </w:rPr>
      </w:pPr>
      <w:r>
        <w:rPr>
          <w:rFonts w:ascii="Arial" w:cs="Arial" w:eastAsia="Arial" w:hAnsi="Arial"/>
          <w:sz w:val="17"/>
          <w:szCs w:val="17"/>
          <w:color w:val="auto"/>
        </w:rPr>
        <w:t>The Company incurred $8,299 in transaction costs relating to the Business Combination which were recorded as an offset to additional paid-in capital in the condensed consolidated Statements of Changes in Redeemable preferred units and Stockholders' equity.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Investment in Other Entities</w:t>
      </w:r>
    </w:p>
    <w:p>
      <w:pPr>
        <w:spacing w:after="0" w:line="132" w:lineRule="exact"/>
        <w:rPr>
          <w:sz w:val="20"/>
          <w:szCs w:val="20"/>
          <w:color w:val="auto"/>
        </w:rPr>
      </w:pPr>
    </w:p>
    <w:p>
      <w:pPr>
        <w:jc w:val="both"/>
        <w:ind w:left="1" w:firstLine="298"/>
        <w:spacing w:after="0" w:line="250" w:lineRule="auto"/>
        <w:rPr>
          <w:sz w:val="20"/>
          <w:szCs w:val="20"/>
          <w:color w:val="auto"/>
        </w:rPr>
      </w:pPr>
      <w:r>
        <w:rPr>
          <w:rFonts w:ascii="Arial" w:cs="Arial" w:eastAsia="Arial" w:hAnsi="Arial"/>
          <w:sz w:val="17"/>
          <w:szCs w:val="17"/>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7"/>
          <w:szCs w:val="17"/>
          <w:color w:val="auto"/>
        </w:rPr>
        <w:t>Our equity method investments were as follows as of September 30, 2022 and December 31, 2021:</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jc w:val="right"/>
              <w:ind w:right="965"/>
              <w:spacing w:after="0"/>
              <w:rPr>
                <w:sz w:val="20"/>
                <w:szCs w:val="20"/>
                <w:color w:val="auto"/>
              </w:rPr>
            </w:pPr>
            <w:r>
              <w:rPr>
                <w:rFonts w:ascii="Arial" w:cs="Arial" w:eastAsia="Arial" w:hAnsi="Arial"/>
                <w:sz w:val="15"/>
                <w:szCs w:val="15"/>
                <w:b w:val="1"/>
                <w:bCs w:val="1"/>
                <w:color w:val="auto"/>
              </w:rPr>
              <w:t>Carrying Value</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8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w w:val="96"/>
              </w:rPr>
              <w:t>Percentage of ownership</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4"/>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Pine Bend</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21,188</w:t>
            </w:r>
          </w:p>
        </w:tc>
        <w:tc>
          <w:tcPr>
            <w:tcW w:w="0" w:type="dxa"/>
            <w:vAlign w:val="bottom"/>
          </w:tcPr>
          <w:p>
            <w:pPr>
              <w:spacing w:after="0"/>
              <w:rPr>
                <w:sz w:val="1"/>
                <w:szCs w:val="1"/>
                <w:color w:val="auto"/>
              </w:rPr>
            </w:pPr>
          </w:p>
        </w:tc>
      </w:tr>
      <w:tr>
        <w:trPr>
          <w:trHeight w:val="193"/>
        </w:trPr>
        <w:tc>
          <w:tcPr>
            <w:tcW w:w="6180" w:type="dxa"/>
            <w:vAlign w:val="bottom"/>
          </w:tcPr>
          <w:p>
            <w:pPr>
              <w:ind w:left="20"/>
              <w:spacing w:after="0"/>
              <w:rPr>
                <w:sz w:val="20"/>
                <w:szCs w:val="20"/>
                <w:color w:val="auto"/>
              </w:rPr>
            </w:pPr>
            <w:r>
              <w:rPr>
                <w:rFonts w:ascii="Arial" w:cs="Arial" w:eastAsia="Arial" w:hAnsi="Arial"/>
                <w:sz w:val="15"/>
                <w:szCs w:val="15"/>
                <w:color w:val="auto"/>
              </w:rPr>
              <w:t>Noble Road</w:t>
            </w:r>
          </w:p>
        </w:tc>
        <w:tc>
          <w:tcPr>
            <w:tcW w:w="1700" w:type="dxa"/>
            <w:vAlign w:val="bottom"/>
          </w:tcPr>
          <w:p>
            <w:pPr>
              <w:jc w:val="right"/>
              <w:spacing w:after="0"/>
              <w:rPr>
                <w:sz w:val="20"/>
                <w:szCs w:val="20"/>
                <w:color w:val="auto"/>
              </w:rPr>
            </w:pPr>
            <w:r>
              <w:rPr>
                <w:rFonts w:ascii="Arial" w:cs="Arial" w:eastAsia="Arial" w:hAnsi="Arial"/>
                <w:sz w:val="15"/>
                <w:szCs w:val="15"/>
                <w:color w:val="auto"/>
              </w:rPr>
              <w:t>50.0 %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24,053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24,516</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GREP</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213"/>
        </w:trPr>
        <w:tc>
          <w:tcPr>
            <w:tcW w:w="6180" w:type="dxa"/>
            <w:vAlign w:val="bottom"/>
          </w:tcPr>
          <w:p>
            <w:pPr>
              <w:ind w:left="140"/>
              <w:spacing w:after="0"/>
              <w:rPr>
                <w:sz w:val="20"/>
                <w:szCs w:val="20"/>
                <w:color w:val="auto"/>
              </w:rPr>
            </w:pPr>
            <w:r>
              <w:rPr>
                <w:rFonts w:ascii="Arial" w:cs="Arial" w:eastAsia="Arial" w:hAnsi="Arial"/>
                <w:sz w:val="15"/>
                <w:szCs w:val="15"/>
                <w:color w:val="auto"/>
              </w:rPr>
              <w:t>Total investment in other entities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48,708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47,150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Note receivable</w:t>
      </w:r>
    </w:p>
    <w:p>
      <w:pPr>
        <w:spacing w:after="0" w:line="177" w:lineRule="exact"/>
        <w:rPr>
          <w:sz w:val="20"/>
          <w:szCs w:val="20"/>
          <w:color w:val="auto"/>
        </w:rPr>
      </w:pPr>
    </w:p>
    <w:p>
      <w:pPr>
        <w:jc w:val="both"/>
        <w:ind w:left="1" w:firstLine="298"/>
        <w:spacing w:after="0" w:line="254" w:lineRule="auto"/>
        <w:rPr>
          <w:sz w:val="20"/>
          <w:szCs w:val="20"/>
          <w:color w:val="auto"/>
        </w:rPr>
      </w:pPr>
      <w:r>
        <w:rPr>
          <w:rFonts w:ascii="Arial" w:cs="Arial" w:eastAsia="Arial" w:hAnsi="Arial"/>
          <w:sz w:val="17"/>
          <w:szCs w:val="17"/>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100" w:lineRule="exact"/>
        <w:rPr>
          <w:sz w:val="20"/>
          <w:szCs w:val="20"/>
          <w:color w:val="auto"/>
        </w:rPr>
      </w:pPr>
    </w:p>
    <w:p>
      <w:pPr>
        <w:jc w:val="both"/>
        <w:ind w:left="1" w:firstLine="298"/>
        <w:spacing w:after="0" w:line="321" w:lineRule="auto"/>
        <w:rPr>
          <w:sz w:val="20"/>
          <w:szCs w:val="20"/>
          <w:color w:val="auto"/>
        </w:rPr>
      </w:pPr>
      <w:r>
        <w:rPr>
          <w:rFonts w:ascii="Arial" w:cs="Arial" w:eastAsia="Arial" w:hAnsi="Arial"/>
          <w:sz w:val="14"/>
          <w:szCs w:val="14"/>
          <w:color w:val="auto"/>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The Company recorded a gain on repayment of $1,943 as part of Other income in the condensed consolidated statement of operations for the three and nine months ended September 30, 2022.</w:t>
      </w:r>
    </w:p>
    <w:p>
      <w:pPr>
        <w:spacing w:after="0" w:line="71" w:lineRule="exact"/>
        <w:rPr>
          <w:sz w:val="20"/>
          <w:szCs w:val="20"/>
          <w:color w:val="auto"/>
        </w:rPr>
      </w:pPr>
    </w:p>
    <w:p>
      <w:pPr>
        <w:jc w:val="both"/>
        <w:ind w:left="1" w:firstLine="298"/>
        <w:spacing w:after="0" w:line="264" w:lineRule="auto"/>
        <w:rPr>
          <w:sz w:val="20"/>
          <w:szCs w:val="20"/>
          <w:color w:val="auto"/>
        </w:rPr>
      </w:pPr>
      <w:r>
        <w:rPr>
          <w:rFonts w:ascii="Arial" w:cs="Arial" w:eastAsia="Arial" w:hAnsi="Arial"/>
          <w:sz w:val="17"/>
          <w:szCs w:val="17"/>
          <w:color w:val="auto"/>
        </w:rPr>
        <w:t>The Company recorded $95 and $841 as a reduction to interest and financing expense, net in its condensed consolidated statement of operations for the three and nine months ended September 30, 2022, respectively.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7" w:name="page28"/>
    <w:bookmarkEnd w:id="27"/>
    <w:p>
      <w:pPr>
        <w:spacing w:after="0" w:line="167" w:lineRule="exact"/>
        <w:rPr>
          <w:sz w:val="20"/>
          <w:szCs w:val="20"/>
          <w:color w:val="auto"/>
        </w:rPr>
      </w:pPr>
    </w:p>
    <w:p>
      <w:pPr>
        <w:jc w:val="both"/>
        <w:ind w:left="1" w:firstLine="298"/>
        <w:spacing w:after="0" w:line="250" w:lineRule="auto"/>
        <w:rPr>
          <w:sz w:val="20"/>
          <w:szCs w:val="20"/>
          <w:color w:val="auto"/>
        </w:rPr>
      </w:pPr>
      <w:r>
        <w:rPr>
          <w:rFonts w:ascii="Arial" w:cs="Arial" w:eastAsia="Arial" w:hAnsi="Arial"/>
          <w:sz w:val="17"/>
          <w:szCs w:val="17"/>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$73 and $136 as a reduction to interest and financing expense, net in the condensed consolidated statement of operations for the three and nine months ended September 30, 2022, respectively.</w:t>
      </w:r>
    </w:p>
    <w:p>
      <w:pPr>
        <w:spacing w:after="0" w:line="105" w:lineRule="exact"/>
        <w:rPr>
          <w:sz w:val="20"/>
          <w:szCs w:val="20"/>
          <w:color w:val="auto"/>
        </w:rPr>
      </w:pPr>
    </w:p>
    <w:p>
      <w:pPr>
        <w:jc w:val="both"/>
        <w:ind w:left="1" w:firstLine="298"/>
        <w:spacing w:after="0" w:line="264" w:lineRule="auto"/>
        <w:rPr>
          <w:sz w:val="20"/>
          <w:szCs w:val="20"/>
          <w:color w:val="auto"/>
        </w:rPr>
      </w:pPr>
      <w:r>
        <w:rPr>
          <w:rFonts w:ascii="Arial" w:cs="Arial" w:eastAsia="Arial" w:hAnsi="Arial"/>
          <w:sz w:val="17"/>
          <w:szCs w:val="17"/>
          <w:color w:val="auto"/>
        </w:rPr>
        <w:t>The Note receivable - variable fee component of $1,865 and $1,656 is recorded as a long-term asset on its condensed consolidated balance sheets as of September 30, 2022 and December 31, 2021, respectively.</w:t>
      </w:r>
    </w:p>
    <w:p>
      <w:pPr>
        <w:spacing w:after="0" w:line="104"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following table summarizes the net income from equity method investments:</w:t>
      </w:r>
    </w:p>
    <w:p>
      <w:pPr>
        <w:spacing w:after="0" w:line="200" w:lineRule="exact"/>
        <w:rPr>
          <w:sz w:val="20"/>
          <w:szCs w:val="20"/>
          <w:color w:val="auto"/>
        </w:rPr>
      </w:pPr>
    </w:p>
    <w:p>
      <w:pPr>
        <w:spacing w:after="0" w:line="301"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ind w:left="76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5"/>
                <w:szCs w:val="15"/>
                <w:b w:val="1"/>
                <w:bCs w:val="1"/>
                <w:color w:val="auto"/>
              </w:rPr>
              <w:t>Nine Months Ended</w:t>
            </w:r>
          </w:p>
        </w:tc>
      </w:tr>
      <w:tr>
        <w:trPr>
          <w:trHeight w:val="208"/>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Arial" w:cs="Arial" w:eastAsia="Arial" w:hAnsi="Arial"/>
                <w:sz w:val="15"/>
                <w:szCs w:val="15"/>
                <w:b w:val="1"/>
                <w:bCs w:val="1"/>
                <w:color w:val="auto"/>
                <w:w w:val="97"/>
              </w:rPr>
              <w:t>September 30, 2021</w:t>
            </w:r>
          </w:p>
        </w:tc>
        <w:tc>
          <w:tcPr>
            <w:tcW w:w="1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8"/>
                <w:szCs w:val="18"/>
                <w:color w:val="auto"/>
              </w:rPr>
            </w:pPr>
          </w:p>
        </w:tc>
        <w:tc>
          <w:tcPr>
            <w:tcW w:w="1380" w:type="dxa"/>
            <w:vAlign w:val="bottom"/>
          </w:tcPr>
          <w:p>
            <w:pPr>
              <w:jc w:val="right"/>
              <w:ind w:right="45"/>
              <w:spacing w:after="0"/>
              <w:rPr>
                <w:sz w:val="20"/>
                <w:szCs w:val="20"/>
                <w:color w:val="auto"/>
              </w:rPr>
            </w:pPr>
            <w:r>
              <w:rPr>
                <w:rFonts w:ascii="Arial" w:cs="Arial" w:eastAsia="Arial" w:hAnsi="Arial"/>
                <w:sz w:val="15"/>
                <w:szCs w:val="15"/>
                <w:b w:val="1"/>
                <w:bCs w:val="1"/>
                <w:color w:val="auto"/>
                <w:w w:val="88"/>
              </w:rPr>
              <w:t>September 30, 2021</w:t>
            </w:r>
          </w:p>
        </w:tc>
      </w:tr>
      <w:tr>
        <w:trPr>
          <w:trHeight w:val="21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 xml:space="preserve">Revenue </w:t>
            </w:r>
            <w:r>
              <w:rPr>
                <w:rFonts w:ascii="Arial" w:cs="Arial" w:eastAsia="Arial" w:hAnsi="Arial"/>
                <w:sz w:val="19"/>
                <w:szCs w:val="19"/>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14,181</w:t>
            </w:r>
          </w:p>
        </w:tc>
      </w:tr>
      <w:tr>
        <w:trPr>
          <w:trHeight w:val="193"/>
        </w:trPr>
        <w:tc>
          <w:tcPr>
            <w:tcW w:w="48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33,053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34,665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6,459</w:t>
            </w:r>
          </w:p>
        </w:tc>
      </w:tr>
      <w:tr>
        <w:trPr>
          <w:trHeight w:val="31"/>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31,356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29,615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5,400</w:t>
            </w: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1"/>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Net income from equity method investments </w:t>
            </w:r>
            <w:r>
              <w:rPr>
                <w:rFonts w:ascii="Arial" w:cs="Arial" w:eastAsia="Arial" w:hAnsi="Arial"/>
                <w:sz w:val="19"/>
                <w:szCs w:val="19"/>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w:t>
            </w:r>
          </w:p>
        </w:tc>
      </w:tr>
    </w:tbl>
    <w:p>
      <w:pPr>
        <w:spacing w:after="0" w:line="62" w:lineRule="exact"/>
        <w:rPr>
          <w:sz w:val="20"/>
          <w:szCs w:val="20"/>
          <w:color w:val="auto"/>
        </w:rPr>
      </w:pPr>
    </w:p>
    <w:p>
      <w:pPr>
        <w:ind w:left="1" w:right="40" w:hanging="1"/>
        <w:spacing w:after="0" w:line="230" w:lineRule="auto"/>
        <w:tabs>
          <w:tab w:leader="none" w:pos="167"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Revenues include a realized gain of $32,796 from commodity swap contracts on our equity method investment, GREP for the three and nine months ended September 30, 2022.</w:t>
      </w:r>
    </w:p>
    <w:p>
      <w:pPr>
        <w:spacing w:after="0" w:line="187" w:lineRule="exact"/>
        <w:rPr>
          <w:rFonts w:ascii="Arial" w:cs="Arial" w:eastAsia="Arial" w:hAnsi="Arial"/>
          <w:sz w:val="20"/>
          <w:szCs w:val="20"/>
          <w:color w:val="auto"/>
          <w:vertAlign w:val="superscript"/>
        </w:rPr>
      </w:pPr>
    </w:p>
    <w:p>
      <w:pPr>
        <w:ind w:left="1" w:right="240" w:hanging="1"/>
        <w:spacing w:after="0" w:line="284" w:lineRule="auto"/>
        <w:tabs>
          <w:tab w:leader="none" w:pos="15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Net income from equity method investments represents our portion of the net income from equity method investments in Pine Bend, Noble Road and GREP for the three and nine months ended September 30, 2022 and Beacon for the three and nine months ended September 30, 2021.</w:t>
      </w:r>
    </w:p>
    <w:p>
      <w:pPr>
        <w:spacing w:after="0" w:line="30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5. Property, Plant, and Equipment, Net</w:t>
      </w:r>
    </w:p>
    <w:p>
      <w:pPr>
        <w:spacing w:after="0" w:line="107" w:lineRule="exact"/>
        <w:rPr>
          <w:sz w:val="20"/>
          <w:szCs w:val="20"/>
          <w:color w:val="auto"/>
        </w:rPr>
      </w:pPr>
    </w:p>
    <w:p>
      <w:pPr>
        <w:ind w:left="301"/>
        <w:spacing w:after="0"/>
        <w:rPr>
          <w:sz w:val="20"/>
          <w:szCs w:val="20"/>
          <w:color w:val="auto"/>
        </w:rPr>
      </w:pPr>
      <w:r>
        <w:rPr>
          <w:rFonts w:ascii="Arial" w:cs="Arial" w:eastAsia="Arial" w:hAnsi="Arial"/>
          <w:sz w:val="17"/>
          <w:szCs w:val="17"/>
          <w:color w:val="auto"/>
        </w:rPr>
        <w:t>Property, plant, and equipment, net, consisted of the following as of September 30, 2022 and December 31, 2021:</w:t>
      </w:r>
    </w:p>
    <w:p>
      <w:pPr>
        <w:spacing w:after="0" w:line="53"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r>
      <w:tr>
        <w:trPr>
          <w:trHeight w:val="193"/>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2021</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Plant and equipment</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203,382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161,387</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CNG/RNG fueling stations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34,494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27,892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Construction in progress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102,205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62,616</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Buildings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2,544</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Service equipment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1,521</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815</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Vehicles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Office furniture and equipment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w:t>
            </w: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Computer software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416</w:t>
            </w:r>
          </w:p>
        </w:tc>
      </w:tr>
      <w:tr>
        <w:trPr>
          <w:trHeight w:val="186"/>
        </w:trPr>
        <w:tc>
          <w:tcPr>
            <w:tcW w:w="8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347,831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259,480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(97,476)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(89,710)</w:t>
            </w:r>
          </w:p>
        </w:tc>
      </w:tr>
      <w:tr>
        <w:trPr>
          <w:trHeight w:val="213"/>
        </w:trPr>
        <w:tc>
          <w:tcPr>
            <w:tcW w:w="8160" w:type="dxa"/>
            <w:vAlign w:val="bottom"/>
          </w:tcPr>
          <w:p>
            <w:pPr>
              <w:ind w:left="140"/>
              <w:spacing w:after="0"/>
              <w:rPr>
                <w:sz w:val="20"/>
                <w:szCs w:val="20"/>
                <w:color w:val="auto"/>
              </w:rPr>
            </w:pPr>
            <w:r>
              <w:rPr>
                <w:rFonts w:ascii="Arial" w:cs="Arial" w:eastAsia="Arial" w:hAnsi="Arial"/>
                <w:sz w:val="15"/>
                <w:szCs w:val="15"/>
                <w:color w:val="auto"/>
              </w:rPr>
              <w:t>Property, plant, and equipment,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250,355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169,770</w:t>
            </w: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left="1" w:firstLine="298"/>
        <w:spacing w:after="0" w:line="277" w:lineRule="auto"/>
        <w:rPr>
          <w:sz w:val="20"/>
          <w:szCs w:val="20"/>
          <w:color w:val="auto"/>
        </w:rPr>
      </w:pPr>
      <w:r>
        <w:rPr>
          <w:rFonts w:ascii="Arial" w:cs="Arial" w:eastAsia="Arial" w:hAnsi="Arial"/>
          <w:sz w:val="16"/>
          <w:szCs w:val="16"/>
          <w:color w:val="auto"/>
        </w:rPr>
        <w:t>As of September 30,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September 30, 2022, are expected to be operational during the fourth quarter of 2023 and early 2024.</w:t>
      </w:r>
    </w:p>
    <w:p>
      <w:pPr>
        <w:spacing w:after="0" w:line="59" w:lineRule="exact"/>
        <w:rPr>
          <w:sz w:val="20"/>
          <w:szCs w:val="20"/>
          <w:color w:val="auto"/>
        </w:rPr>
      </w:pPr>
    </w:p>
    <w:p>
      <w:pPr>
        <w:jc w:val="both"/>
        <w:ind w:left="1" w:firstLine="298"/>
        <w:spacing w:after="0" w:line="264" w:lineRule="auto"/>
        <w:rPr>
          <w:sz w:val="20"/>
          <w:szCs w:val="20"/>
          <w:color w:val="auto"/>
        </w:rPr>
      </w:pPr>
      <w:r>
        <w:rPr>
          <w:rFonts w:ascii="Arial" w:cs="Arial" w:eastAsia="Arial" w:hAnsi="Arial"/>
          <w:sz w:val="17"/>
          <w:szCs w:val="17"/>
          <w:color w:val="auto"/>
        </w:rPr>
        <w:t>Depreciation expense on property, plant, and equipment for the nine months ended September 30, 2022 and September 30, 2021 was $8,986 and $6,163, respectively.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202565</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8" w:name="page29"/>
    <w:bookmarkEnd w:id="28"/>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Intangible Assets, Net</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Intangible assets, net, consisted of the following at September 30, 2022 and December 31, 2021:</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center"/>
              <w:ind w:left="265"/>
              <w:spacing w:after="0"/>
              <w:rPr>
                <w:sz w:val="20"/>
                <w:szCs w:val="20"/>
                <w:color w:val="auto"/>
              </w:rPr>
            </w:pPr>
            <w:r>
              <w:rPr>
                <w:rFonts w:ascii="Arial" w:cs="Arial" w:eastAsia="Arial" w:hAnsi="Arial"/>
                <w:sz w:val="15"/>
                <w:szCs w:val="15"/>
                <w:b w:val="1"/>
                <w:bCs w:val="1"/>
                <w:color w:val="auto"/>
                <w:w w:val="88"/>
              </w:rPr>
              <w:t>September 30, 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1"/>
        </w:trPr>
        <w:tc>
          <w:tcPr>
            <w:tcW w:w="4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86"/>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365"/>
              <w:spacing w:after="0"/>
              <w:rPr>
                <w:sz w:val="20"/>
                <w:szCs w:val="20"/>
                <w:color w:val="auto"/>
              </w:rPr>
            </w:pPr>
            <w:r>
              <w:rPr>
                <w:rFonts w:ascii="Arial" w:cs="Arial" w:eastAsia="Arial" w:hAnsi="Arial"/>
                <w:sz w:val="15"/>
                <w:szCs w:val="15"/>
                <w:b w:val="1"/>
                <w:bCs w:val="1"/>
                <w:color w:val="auto"/>
                <w:w w:val="93"/>
              </w:rPr>
              <w:t>Intangible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3"/>
              </w:rPr>
              <w:t>Amortization</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5"/>
                <w:szCs w:val="15"/>
                <w:b w:val="1"/>
                <w:bCs w:val="1"/>
                <w:color w:val="auto"/>
              </w:rPr>
              <w:t>Accumulated</w:t>
            </w:r>
          </w:p>
        </w:tc>
        <w:tc>
          <w:tcPr>
            <w:tcW w:w="1140" w:type="dxa"/>
            <w:vAlign w:val="bottom"/>
          </w:tcPr>
          <w:p>
            <w:pPr>
              <w:jc w:val="center"/>
              <w:ind w:left="305"/>
              <w:spacing w:after="0"/>
              <w:rPr>
                <w:sz w:val="20"/>
                <w:szCs w:val="20"/>
                <w:color w:val="auto"/>
              </w:rPr>
            </w:pPr>
            <w:r>
              <w:rPr>
                <w:rFonts w:ascii="Arial" w:cs="Arial" w:eastAsia="Arial" w:hAnsi="Arial"/>
                <w:sz w:val="15"/>
                <w:szCs w:val="15"/>
                <w:b w:val="1"/>
                <w:bCs w:val="1"/>
                <w:color w:val="auto"/>
                <w:w w:val="82"/>
              </w:rPr>
              <w:t>Assets,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9"/>
              </w:rPr>
              <w:t>Period</w:t>
            </w:r>
          </w:p>
        </w:tc>
      </w:tr>
      <w:tr>
        <w:trPr>
          <w:trHeight w:val="216"/>
        </w:trPr>
        <w:tc>
          <w:tcPr>
            <w:tcW w:w="44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Cost</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ind w:left="365"/>
              <w:spacing w:after="0"/>
              <w:rPr>
                <w:sz w:val="20"/>
                <w:szCs w:val="20"/>
                <w:color w:val="auto"/>
              </w:rPr>
            </w:pPr>
            <w:r>
              <w:rPr>
                <w:rFonts w:ascii="Arial" w:cs="Arial" w:eastAsia="Arial" w:hAnsi="Arial"/>
                <w:sz w:val="15"/>
                <w:szCs w:val="15"/>
                <w:b w:val="1"/>
                <w:bCs w:val="1"/>
                <w:color w:val="auto"/>
                <w:w w:val="90"/>
              </w:rPr>
              <w:t>Net</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Power purchase agreements</w:t>
            </w:r>
          </w:p>
        </w:tc>
        <w:tc>
          <w:tcPr>
            <w:tcW w:w="1040" w:type="dxa"/>
            <w:vAlign w:val="bottom"/>
            <w:tcBorders>
              <w:bottom w:val="single" w:sz="8" w:color="CCEEFF"/>
            </w:tcBorders>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(7,436)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1,563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93"/>
        </w:trPr>
        <w:tc>
          <w:tcPr>
            <w:tcW w:w="4420" w:type="dxa"/>
            <w:vAlign w:val="bottom"/>
          </w:tcPr>
          <w:p>
            <w:pPr>
              <w:ind w:left="20"/>
              <w:spacing w:after="0"/>
              <w:rPr>
                <w:sz w:val="20"/>
                <w:szCs w:val="20"/>
                <w:color w:val="auto"/>
              </w:rPr>
            </w:pPr>
            <w:r>
              <w:rPr>
                <w:rFonts w:ascii="Arial" w:cs="Arial" w:eastAsia="Arial" w:hAnsi="Arial"/>
                <w:sz w:val="15"/>
                <w:szCs w:val="15"/>
                <w:color w:val="auto"/>
              </w:rPr>
              <w:t>Transmission/distribution interconnection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(945)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655</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15.1</w:t>
            </w:r>
          </w:p>
        </w:tc>
      </w:tr>
      <w:tr>
        <w:trPr>
          <w:trHeight w:val="31"/>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CNG sales contract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(779)</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193"/>
        </w:trPr>
        <w:tc>
          <w:tcPr>
            <w:tcW w:w="4420" w:type="dxa"/>
            <w:vAlign w:val="bottom"/>
          </w:tcPr>
          <w:p>
            <w:pPr>
              <w:ind w:left="20"/>
              <w:spacing w:after="0"/>
              <w:rPr>
                <w:sz w:val="20"/>
                <w:szCs w:val="20"/>
                <w:color w:val="auto"/>
              </w:rPr>
            </w:pPr>
            <w:r>
              <w:rPr>
                <w:rFonts w:ascii="Arial" w:cs="Arial" w:eastAsia="Arial" w:hAnsi="Arial"/>
                <w:sz w:val="15"/>
                <w:szCs w:val="15"/>
                <w:color w:val="auto"/>
              </w:rPr>
              <w:t>Intellectual property</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20</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31"/>
        </w:trPr>
        <w:tc>
          <w:tcPr>
            <w:tcW w:w="4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intangible assets</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2,266</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862"/>
        </w:trPr>
        <w:tc>
          <w:tcPr>
            <w:tcW w:w="4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tcPr>
          <w:p>
            <w:pPr>
              <w:jc w:val="center"/>
              <w:ind w:left="265"/>
              <w:spacing w:after="0"/>
              <w:rPr>
                <w:sz w:val="20"/>
                <w:szCs w:val="20"/>
                <w:color w:val="auto"/>
              </w:rPr>
            </w:pPr>
            <w:r>
              <w:rPr>
                <w:rFonts w:ascii="Arial" w:cs="Arial" w:eastAsia="Arial" w:hAnsi="Arial"/>
                <w:sz w:val="15"/>
                <w:szCs w:val="15"/>
                <w:b w:val="1"/>
                <w:bCs w:val="1"/>
                <w:color w:val="auto"/>
                <w:w w:val="88"/>
              </w:rPr>
              <w:t>December 31, 2021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
        </w:trPr>
        <w:tc>
          <w:tcPr>
            <w:tcW w:w="4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86"/>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365"/>
              <w:spacing w:after="0"/>
              <w:rPr>
                <w:sz w:val="20"/>
                <w:szCs w:val="20"/>
                <w:color w:val="auto"/>
              </w:rPr>
            </w:pPr>
            <w:r>
              <w:rPr>
                <w:rFonts w:ascii="Arial" w:cs="Arial" w:eastAsia="Arial" w:hAnsi="Arial"/>
                <w:sz w:val="15"/>
                <w:szCs w:val="15"/>
                <w:b w:val="1"/>
                <w:bCs w:val="1"/>
                <w:color w:val="auto"/>
                <w:w w:val="93"/>
              </w:rPr>
              <w:t>Intangible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3"/>
              </w:rPr>
              <w:t>Amortization</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5"/>
                <w:szCs w:val="15"/>
                <w:b w:val="1"/>
                <w:bCs w:val="1"/>
                <w:color w:val="auto"/>
              </w:rPr>
              <w:t>Accumulated</w:t>
            </w:r>
          </w:p>
        </w:tc>
        <w:tc>
          <w:tcPr>
            <w:tcW w:w="1140" w:type="dxa"/>
            <w:vAlign w:val="bottom"/>
          </w:tcPr>
          <w:p>
            <w:pPr>
              <w:jc w:val="center"/>
              <w:ind w:left="305"/>
              <w:spacing w:after="0"/>
              <w:rPr>
                <w:sz w:val="20"/>
                <w:szCs w:val="20"/>
                <w:color w:val="auto"/>
              </w:rPr>
            </w:pPr>
            <w:r>
              <w:rPr>
                <w:rFonts w:ascii="Arial" w:cs="Arial" w:eastAsia="Arial" w:hAnsi="Arial"/>
                <w:sz w:val="15"/>
                <w:szCs w:val="15"/>
                <w:b w:val="1"/>
                <w:bCs w:val="1"/>
                <w:color w:val="auto"/>
                <w:w w:val="82"/>
              </w:rPr>
              <w:t>Assets,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9"/>
              </w:rPr>
              <w:t>Period</w:t>
            </w:r>
          </w:p>
        </w:tc>
      </w:tr>
      <w:tr>
        <w:trPr>
          <w:trHeight w:val="216"/>
        </w:trPr>
        <w:tc>
          <w:tcPr>
            <w:tcW w:w="44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Cost</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ind w:left="365"/>
              <w:spacing w:after="0"/>
              <w:rPr>
                <w:sz w:val="20"/>
                <w:szCs w:val="20"/>
                <w:color w:val="auto"/>
              </w:rPr>
            </w:pPr>
            <w:r>
              <w:rPr>
                <w:rFonts w:ascii="Arial" w:cs="Arial" w:eastAsia="Arial" w:hAnsi="Arial"/>
                <w:sz w:val="15"/>
                <w:szCs w:val="15"/>
                <w:b w:val="1"/>
                <w:bCs w:val="1"/>
                <w:color w:val="auto"/>
                <w:w w:val="90"/>
              </w:rPr>
              <w:t>Net</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(years)</w:t>
            </w: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Power purchase agreements</w:t>
            </w:r>
          </w:p>
        </w:tc>
        <w:tc>
          <w:tcPr>
            <w:tcW w:w="1040" w:type="dxa"/>
            <w:vAlign w:val="bottom"/>
            <w:tcBorders>
              <w:bottom w:val="single" w:sz="8" w:color="CCEEFF"/>
            </w:tcBorders>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(6,986)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2,013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93"/>
        </w:trPr>
        <w:tc>
          <w:tcPr>
            <w:tcW w:w="4420" w:type="dxa"/>
            <w:vAlign w:val="bottom"/>
          </w:tcPr>
          <w:p>
            <w:pPr>
              <w:ind w:left="20"/>
              <w:spacing w:after="0"/>
              <w:rPr>
                <w:sz w:val="20"/>
                <w:szCs w:val="20"/>
                <w:color w:val="auto"/>
              </w:rPr>
            </w:pPr>
            <w:r>
              <w:rPr>
                <w:rFonts w:ascii="Arial" w:cs="Arial" w:eastAsia="Arial" w:hAnsi="Arial"/>
                <w:sz w:val="15"/>
                <w:szCs w:val="15"/>
                <w:color w:val="auto"/>
              </w:rPr>
              <w:t>Transmission/distribution interconnection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(865)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735</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15.1</w:t>
            </w:r>
          </w:p>
        </w:tc>
      </w:tr>
      <w:tr>
        <w:trPr>
          <w:trHeight w:val="31"/>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CNG sales contract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(719)</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193"/>
        </w:trPr>
        <w:tc>
          <w:tcPr>
            <w:tcW w:w="4420" w:type="dxa"/>
            <w:vAlign w:val="bottom"/>
          </w:tcPr>
          <w:p>
            <w:pPr>
              <w:ind w:left="20"/>
              <w:spacing w:after="0"/>
              <w:rPr>
                <w:sz w:val="20"/>
                <w:szCs w:val="20"/>
                <w:color w:val="auto"/>
              </w:rPr>
            </w:pPr>
            <w:r>
              <w:rPr>
                <w:rFonts w:ascii="Arial" w:cs="Arial" w:eastAsia="Arial" w:hAnsi="Arial"/>
                <w:sz w:val="15"/>
                <w:szCs w:val="15"/>
                <w:color w:val="auto"/>
              </w:rPr>
              <w:t>Intellectual property</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31"/>
        </w:trPr>
        <w:tc>
          <w:tcPr>
            <w:tcW w:w="4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intangible assets</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2,861</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$121 under the Municipality loan is shown as part of current liabilities on its condensed consolidated balance sheet as of September 30, 2022. Please see Note 8.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additional information.</w:t>
      </w:r>
    </w:p>
    <w:p>
      <w:pPr>
        <w:spacing w:after="0" w:line="105" w:lineRule="exact"/>
        <w:rPr>
          <w:sz w:val="20"/>
          <w:szCs w:val="20"/>
          <w:color w:val="auto"/>
        </w:rPr>
      </w:pPr>
    </w:p>
    <w:p>
      <w:pPr>
        <w:ind w:right="720" w:firstLine="298"/>
        <w:spacing w:after="0" w:line="264" w:lineRule="auto"/>
        <w:rPr>
          <w:sz w:val="20"/>
          <w:szCs w:val="20"/>
          <w:color w:val="auto"/>
        </w:rPr>
      </w:pPr>
      <w:r>
        <w:rPr>
          <w:rFonts w:ascii="Arial" w:cs="Arial" w:eastAsia="Arial" w:hAnsi="Arial"/>
          <w:sz w:val="17"/>
          <w:szCs w:val="17"/>
          <w:color w:val="auto"/>
        </w:rPr>
        <w:t>Amortization expense for the nine months ended September 30, 2022 and 2021 was $595 and $346, respectively. At September 30, 2022, estimated future amortization expense for intangible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Three months ended December 31, 2022</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465</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2024</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2026</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824</w:t>
            </w:r>
          </w:p>
        </w:tc>
      </w:tr>
      <w:tr>
        <w:trPr>
          <w:trHeight w:val="186"/>
        </w:trPr>
        <w:tc>
          <w:tcPr>
            <w:tcW w:w="9760" w:type="dxa"/>
            <w:vAlign w:val="bottom"/>
          </w:tcPr>
          <w:p>
            <w:pPr>
              <w:spacing w:after="0"/>
              <w:rPr>
                <w:sz w:val="16"/>
                <w:szCs w:val="16"/>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2,266</w:t>
            </w:r>
          </w:p>
        </w:tc>
      </w:tr>
      <w:tr>
        <w:trPr>
          <w:trHeight w:val="31"/>
        </w:trPr>
        <w:tc>
          <w:tcPr>
            <w:tcW w:w="9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changes in goodwill, if any, by reporting segment from the beginning of the period to the end of the period: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29" w:lineRule="exact"/>
        <w:rPr>
          <w:sz w:val="20"/>
          <w:szCs w:val="20"/>
          <w:color w:val="auto"/>
        </w:rPr>
      </w:pPr>
    </w:p>
    <w:tbl>
      <w:tblPr>
        <w:tblLayout w:type="fixed"/>
        <w:tblInd w:w="1"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5"/>
                <w:szCs w:val="15"/>
                <w:b w:val="1"/>
                <w:bCs w:val="1"/>
                <w:color w:val="auto"/>
              </w:rPr>
              <w:t>RNG Fuel</w:t>
            </w:r>
          </w:p>
        </w:tc>
        <w:tc>
          <w:tcPr>
            <w:tcW w:w="1560" w:type="dxa"/>
            <w:vAlign w:val="bottom"/>
            <w:gridSpan w:val="3"/>
          </w:tcPr>
          <w:p>
            <w:pPr>
              <w:ind w:left="80"/>
              <w:spacing w:after="0"/>
              <w:rPr>
                <w:sz w:val="20"/>
                <w:szCs w:val="20"/>
                <w:color w:val="auto"/>
              </w:rPr>
            </w:pPr>
            <w:r>
              <w:rPr>
                <w:rFonts w:ascii="Arial" w:cs="Arial" w:eastAsia="Arial" w:hAnsi="Arial"/>
                <w:sz w:val="15"/>
                <w:szCs w:val="15"/>
                <w:b w:val="1"/>
                <w:bCs w:val="1"/>
                <w:color w:val="auto"/>
                <w:w w:val="96"/>
              </w:rPr>
              <w:t>Fuel Station Services</w:t>
            </w:r>
          </w:p>
        </w:tc>
        <w:tc>
          <w:tcPr>
            <w:tcW w:w="34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Arial" w:cs="Arial" w:eastAsia="Arial" w:hAnsi="Arial"/>
                <w:sz w:val="15"/>
                <w:szCs w:val="15"/>
                <w:b w:val="1"/>
                <w:bCs w:val="1"/>
                <w:color w:val="auto"/>
              </w:rPr>
              <w:t>Total</w:t>
            </w:r>
          </w:p>
        </w:tc>
      </w:tr>
      <w:tr>
        <w:trPr>
          <w:trHeight w:val="31"/>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51,155</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54,608</w:t>
            </w:r>
          </w:p>
        </w:tc>
      </w:tr>
      <w:tr>
        <w:trPr>
          <w:trHeight w:val="213"/>
        </w:trPr>
        <w:tc>
          <w:tcPr>
            <w:tcW w:w="612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2022</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51,155</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3,453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54,608</w:t>
            </w: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8. Borrowings</w:t>
      </w:r>
    </w:p>
    <w:p>
      <w:pPr>
        <w:spacing w:after="0" w:line="144"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following table summarizes the borrowings under the various debt facilities as of September 30, 2022 and December 31, 2021:</w:t>
      </w:r>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93"/>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Arial" w:cs="Arial" w:eastAsia="Arial" w:hAnsi="Arial"/>
                <w:sz w:val="15"/>
                <w:szCs w:val="15"/>
                <w:b w:val="1"/>
                <w:bCs w:val="1"/>
                <w:color w:val="auto"/>
                <w:w w:val="95"/>
              </w:rPr>
              <w:t>September 30, 2022</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December 31, 2021</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 term loan</w:t>
            </w: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70,179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73,869</w:t>
            </w:r>
          </w:p>
        </w:tc>
      </w:tr>
      <w:tr>
        <w:trPr>
          <w:trHeight w:val="193"/>
        </w:trPr>
        <w:tc>
          <w:tcPr>
            <w:tcW w:w="7200" w:type="dxa"/>
            <w:vAlign w:val="bottom"/>
          </w:tcPr>
          <w:p>
            <w:pPr>
              <w:ind w:left="20"/>
              <w:spacing w:after="0"/>
              <w:rPr>
                <w:sz w:val="20"/>
                <w:szCs w:val="20"/>
                <w:color w:val="auto"/>
              </w:rPr>
            </w:pPr>
            <w:r>
              <w:rPr>
                <w:rFonts w:ascii="Arial" w:cs="Arial" w:eastAsia="Arial" w:hAnsi="Arial"/>
                <w:sz w:val="15"/>
                <w:szCs w:val="15"/>
                <w:color w:val="auto"/>
              </w:rPr>
              <w:t>Less: unamortized debt issuance costs</w:t>
            </w:r>
          </w:p>
        </w:tc>
        <w:tc>
          <w:tcPr>
            <w:tcW w:w="3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(724)</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(70,179)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(73,145)</w:t>
            </w:r>
          </w:p>
        </w:tc>
      </w:tr>
      <w:tr>
        <w:trPr>
          <w:trHeight w:val="186"/>
        </w:trPr>
        <w:tc>
          <w:tcPr>
            <w:tcW w:w="7200" w:type="dxa"/>
            <w:vAlign w:val="bottom"/>
          </w:tcPr>
          <w:p>
            <w:pPr>
              <w:ind w:left="140"/>
              <w:spacing w:after="0"/>
              <w:rPr>
                <w:sz w:val="20"/>
                <w:szCs w:val="20"/>
                <w:color w:val="auto"/>
              </w:rPr>
            </w:pPr>
            <w:r>
              <w:rPr>
                <w:rFonts w:ascii="Arial" w:cs="Arial" w:eastAsia="Arial" w:hAnsi="Arial"/>
                <w:sz w:val="15"/>
                <w:szCs w:val="15"/>
                <w:color w:val="auto"/>
              </w:rPr>
              <w:t>Senior Secured Credit Facility, term loan, net of debt issuance costs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 working capital facility</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7,500</w:t>
            </w:r>
          </w:p>
        </w:tc>
      </w:tr>
      <w:tr>
        <w:trPr>
          <w:trHeight w:val="193"/>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Senior Secured Credit Facility, working capital facility</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6"/>
        </w:trPr>
        <w:tc>
          <w:tcPr>
            <w:tcW w:w="7200" w:type="dxa"/>
            <w:vAlign w:val="bottom"/>
          </w:tcPr>
          <w:p>
            <w:pPr>
              <w:ind w:left="20"/>
              <w:spacing w:after="0"/>
              <w:rPr>
                <w:sz w:val="20"/>
                <w:szCs w:val="20"/>
                <w:color w:val="auto"/>
              </w:rPr>
            </w:pPr>
            <w:r>
              <w:rPr>
                <w:rFonts w:ascii="Arial" w:cs="Arial" w:eastAsia="Arial" w:hAnsi="Arial"/>
                <w:sz w:val="15"/>
                <w:szCs w:val="15"/>
                <w:color w:val="auto"/>
              </w:rPr>
              <w:t>OPAL Term Loan</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91,223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75,000</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unamortized debt issuance costs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(2,485)</w:t>
            </w:r>
          </w:p>
        </w:tc>
      </w:tr>
      <w:tr>
        <w:trPr>
          <w:trHeight w:val="193"/>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(28,432)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(13,425)</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OPAL Term Loan,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60,816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59,090</w:t>
            </w:r>
          </w:p>
        </w:tc>
      </w:tr>
      <w:tr>
        <w:trPr>
          <w:trHeight w:val="186"/>
        </w:trPr>
        <w:tc>
          <w:tcPr>
            <w:tcW w:w="7200" w:type="dxa"/>
            <w:vAlign w:val="bottom"/>
          </w:tcPr>
          <w:p>
            <w:pPr>
              <w:ind w:left="20"/>
              <w:spacing w:after="0"/>
              <w:rPr>
                <w:sz w:val="20"/>
                <w:szCs w:val="20"/>
                <w:color w:val="auto"/>
              </w:rPr>
            </w:pPr>
            <w:r>
              <w:rPr>
                <w:rFonts w:ascii="Arial" w:cs="Arial" w:eastAsia="Arial" w:hAnsi="Arial"/>
                <w:sz w:val="15"/>
                <w:szCs w:val="15"/>
                <w:color w:val="auto"/>
              </w:rPr>
              <w:t>Sunoma Loan</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23,000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17,524</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unamortized debt issuance costs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(569)</w:t>
            </w:r>
          </w:p>
        </w:tc>
      </w:tr>
      <w:tr>
        <w:trPr>
          <w:trHeight w:val="193"/>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(756)</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16,199</w:t>
            </w:r>
          </w:p>
        </w:tc>
      </w:tr>
      <w:tr>
        <w:trPr>
          <w:trHeight w:val="186"/>
        </w:trPr>
        <w:tc>
          <w:tcPr>
            <w:tcW w:w="7200" w:type="dxa"/>
            <w:vAlign w:val="bottom"/>
          </w:tcPr>
          <w:p>
            <w:pPr>
              <w:ind w:left="140"/>
              <w:spacing w:after="0"/>
              <w:rPr>
                <w:sz w:val="20"/>
                <w:szCs w:val="20"/>
                <w:color w:val="auto"/>
              </w:rPr>
            </w:pPr>
            <w:r>
              <w:rPr>
                <w:rFonts w:ascii="Arial" w:cs="Arial" w:eastAsia="Arial" w:hAnsi="Arial"/>
                <w:sz w:val="15"/>
                <w:szCs w:val="15"/>
                <w:color w:val="auto"/>
              </w:rPr>
              <w:t>Convertible Note Payable</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27,964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58,710</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6"/>
        </w:trPr>
        <w:tc>
          <w:tcPr>
            <w:tcW w:w="7200" w:type="dxa"/>
            <w:vAlign w:val="bottom"/>
          </w:tcPr>
          <w:p>
            <w:pPr>
              <w:ind w:left="140"/>
              <w:spacing w:after="0"/>
              <w:rPr>
                <w:sz w:val="20"/>
                <w:szCs w:val="20"/>
                <w:color w:val="auto"/>
              </w:rPr>
            </w:pPr>
            <w:r>
              <w:rPr>
                <w:rFonts w:ascii="Arial" w:cs="Arial" w:eastAsia="Arial" w:hAnsi="Arial"/>
                <w:sz w:val="15"/>
                <w:szCs w:val="15"/>
                <w:color w:val="auto"/>
              </w:rPr>
              <w:t>Convertible Note Payable</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58,710</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Municipality Loan</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278</w:t>
            </w:r>
          </w:p>
        </w:tc>
      </w:tr>
      <w:tr>
        <w:trPr>
          <w:trHeight w:val="193"/>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Municipality Loan</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84</w:t>
            </w:r>
          </w:p>
        </w:tc>
      </w:tr>
      <w:tr>
        <w:trPr>
          <w:trHeight w:val="213"/>
        </w:trPr>
        <w:tc>
          <w:tcPr>
            <w:tcW w:w="7200" w:type="dxa"/>
            <w:vAlign w:val="bottom"/>
          </w:tcPr>
          <w:p>
            <w:pPr>
              <w:ind w:left="300"/>
              <w:spacing w:after="0"/>
              <w:rPr>
                <w:sz w:val="20"/>
                <w:szCs w:val="20"/>
                <w:color w:val="auto"/>
              </w:rPr>
            </w:pPr>
            <w:r>
              <w:rPr>
                <w:rFonts w:ascii="Arial" w:cs="Arial" w:eastAsia="Arial" w:hAnsi="Arial"/>
                <w:sz w:val="15"/>
                <w:szCs w:val="15"/>
                <w:color w:val="auto"/>
              </w:rPr>
              <w:t>Non-current borrowings 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82,896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134,083</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1" w:right="20" w:firstLine="298"/>
        <w:spacing w:after="0" w:line="264" w:lineRule="auto"/>
        <w:rPr>
          <w:sz w:val="20"/>
          <w:szCs w:val="20"/>
          <w:color w:val="auto"/>
        </w:rPr>
      </w:pPr>
      <w:r>
        <w:rPr>
          <w:rFonts w:ascii="Arial" w:cs="Arial" w:eastAsia="Arial" w:hAnsi="Arial"/>
          <w:sz w:val="17"/>
          <w:szCs w:val="17"/>
          <w:color w:val="auto"/>
        </w:rPr>
        <w:t>As of September 30, 2022, principal maturities of debt are expected as follows, excluding any subsequent refinancing transactions and any undrawn debt facilities as of the date of the condensed consolidated balance sheets:</w:t>
      </w:r>
    </w:p>
    <w:p>
      <w:pPr>
        <w:spacing w:after="0" w:line="179"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Senior</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4"/>
              </w:rPr>
              <w:t>Secured</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4"/>
        </w:trPr>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Credit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Convertible</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Municipality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3"/>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Facility</w:t>
            </w:r>
          </w:p>
        </w:tc>
        <w:tc>
          <w:tcPr>
            <w:tcW w:w="1420" w:type="dxa"/>
            <w:vAlign w:val="bottom"/>
            <w:gridSpan w:val="3"/>
          </w:tcPr>
          <w:p>
            <w:pPr>
              <w:ind w:left="80"/>
              <w:spacing w:after="0"/>
              <w:rPr>
                <w:sz w:val="20"/>
                <w:szCs w:val="20"/>
                <w:color w:val="auto"/>
              </w:rPr>
            </w:pPr>
            <w:r>
              <w:rPr>
                <w:rFonts w:ascii="Arial" w:cs="Arial" w:eastAsia="Arial" w:hAnsi="Arial"/>
                <w:sz w:val="15"/>
                <w:szCs w:val="15"/>
                <w:b w:val="1"/>
                <w:bCs w:val="1"/>
                <w:color w:val="auto"/>
              </w:rPr>
              <w:t>OPAL Term Loan</w:t>
            </w: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5"/>
                <w:szCs w:val="15"/>
                <w:b w:val="1"/>
                <w:bCs w:val="1"/>
                <w:color w:val="auto"/>
              </w:rPr>
              <w:t>Sunoma Loan</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 xml:space="preserve">Note Payable </w:t>
            </w:r>
            <w:r>
              <w:rPr>
                <w:rFonts w:ascii="Arial" w:cs="Arial" w:eastAsia="Arial" w:hAnsi="Arial"/>
                <w:sz w:val="19"/>
                <w:szCs w:val="19"/>
                <w:b w:val="1"/>
                <w:bCs w:val="1"/>
                <w:color w:val="auto"/>
                <w:w w:val="86"/>
                <w:vertAlign w:val="superscript"/>
              </w:rPr>
              <w:t>(1)</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Loan</w:t>
            </w:r>
          </w:p>
        </w:tc>
        <w:tc>
          <w:tcPr>
            <w:tcW w:w="300" w:type="dxa"/>
            <w:vAlign w:val="bottom"/>
          </w:tcPr>
          <w:p>
            <w:pPr>
              <w:spacing w:after="0"/>
              <w:rPr>
                <w:sz w:val="19"/>
                <w:szCs w:val="19"/>
                <w:color w:val="auto"/>
              </w:rPr>
            </w:pPr>
          </w:p>
        </w:tc>
        <w:tc>
          <w:tcPr>
            <w:tcW w:w="1000" w:type="dxa"/>
            <w:vAlign w:val="bottom"/>
          </w:tcPr>
          <w:p>
            <w:pPr>
              <w:jc w:val="right"/>
              <w:ind w:right="405"/>
              <w:spacing w:after="0"/>
              <w:rPr>
                <w:sz w:val="20"/>
                <w:szCs w:val="20"/>
                <w:color w:val="auto"/>
              </w:rPr>
            </w:pPr>
            <w:r>
              <w:rPr>
                <w:rFonts w:ascii="Arial" w:cs="Arial" w:eastAsia="Arial" w:hAnsi="Arial"/>
                <w:sz w:val="15"/>
                <w:szCs w:val="15"/>
                <w:b w:val="1"/>
                <w:bCs w:val="1"/>
                <w:color w:val="auto"/>
              </w:rPr>
              <w:t>Total</w:t>
            </w:r>
          </w:p>
        </w:tc>
      </w:tr>
      <w:tr>
        <w:trPr>
          <w:trHeight w:val="216"/>
        </w:trPr>
        <w:tc>
          <w:tcPr>
            <w:tcW w:w="2880" w:type="dxa"/>
            <w:vAlign w:val="bottom"/>
          </w:tcPr>
          <w:p>
            <w:pPr>
              <w:ind w:left="20"/>
              <w:spacing w:after="0"/>
              <w:rPr>
                <w:sz w:val="20"/>
                <w:szCs w:val="20"/>
                <w:color w:val="auto"/>
              </w:rPr>
            </w:pPr>
            <w:r>
              <w:rPr>
                <w:rFonts w:ascii="Arial" w:cs="Arial" w:eastAsia="Arial" w:hAnsi="Arial"/>
                <w:sz w:val="17"/>
                <w:szCs w:val="17"/>
                <w:color w:val="auto"/>
                <w:w w:val="90"/>
              </w:rPr>
              <w:t>Three months ending December 31, 2022</w:t>
            </w:r>
          </w:p>
        </w:tc>
        <w:tc>
          <w:tcPr>
            <w:tcW w:w="2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77,679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113,331</w:t>
            </w:r>
          </w:p>
        </w:tc>
      </w:tr>
      <w:tr>
        <w:trPr>
          <w:trHeight w:val="193"/>
        </w:trPr>
        <w:tc>
          <w:tcPr>
            <w:tcW w:w="288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1"/>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28,751</w:t>
            </w:r>
          </w:p>
        </w:tc>
      </w:tr>
      <w:tr>
        <w:trPr>
          <w:trHeight w:val="193"/>
        </w:trPr>
        <w:tc>
          <w:tcPr>
            <w:tcW w:w="2880" w:type="dxa"/>
            <w:vAlign w:val="bottom"/>
          </w:tcPr>
          <w:p>
            <w:pPr>
              <w:ind w:left="20"/>
              <w:spacing w:after="0"/>
              <w:rPr>
                <w:sz w:val="20"/>
                <w:szCs w:val="20"/>
                <w:color w:val="auto"/>
              </w:rPr>
            </w:pPr>
            <w:r>
              <w:rPr>
                <w:rFonts w:ascii="Arial" w:cs="Arial" w:eastAsia="Arial" w:hAnsi="Arial"/>
                <w:sz w:val="15"/>
                <w:szCs w:val="15"/>
                <w:color w:val="auto"/>
              </w:rPr>
              <w:t>2024</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31,544</w:t>
            </w:r>
          </w:p>
        </w:tc>
      </w:tr>
      <w:tr>
        <w:trPr>
          <w:trHeight w:val="31"/>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31,938</w:t>
            </w:r>
          </w:p>
        </w:tc>
      </w:tr>
      <w:tr>
        <w:trPr>
          <w:trHeight w:val="221"/>
        </w:trPr>
        <w:tc>
          <w:tcPr>
            <w:tcW w:w="2880" w:type="dxa"/>
            <w:vAlign w:val="bottom"/>
          </w:tcPr>
          <w:p>
            <w:pPr>
              <w:ind w:left="20"/>
              <w:spacing w:after="0"/>
              <w:rPr>
                <w:sz w:val="20"/>
                <w:szCs w:val="20"/>
                <w:color w:val="auto"/>
              </w:rPr>
            </w:pPr>
            <w:r>
              <w:rPr>
                <w:rFonts w:ascii="Arial" w:cs="Arial" w:eastAsia="Arial" w:hAnsi="Arial"/>
                <w:sz w:val="15"/>
                <w:szCs w:val="15"/>
                <w:color w:val="auto"/>
              </w:rPr>
              <w:t>2026</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3,801</w:t>
            </w:r>
          </w:p>
        </w:tc>
      </w:tr>
      <w:tr>
        <w:trPr>
          <w:trHeight w:val="22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10,622</w:t>
            </w:r>
          </w:p>
        </w:tc>
      </w:tr>
      <w:tr>
        <w:trPr>
          <w:trHeight w:val="186"/>
        </w:trPr>
        <w:tc>
          <w:tcPr>
            <w:tcW w:w="2880" w:type="dxa"/>
            <w:vAlign w:val="bottom"/>
          </w:tcPr>
          <w:p>
            <w:pPr>
              <w:spacing w:after="0"/>
              <w:rPr>
                <w:sz w:val="16"/>
                <w:szCs w:val="16"/>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77,679</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91,223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23,000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27,964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219,987</w:t>
            </w:r>
          </w:p>
        </w:tc>
      </w:tr>
      <w:tr>
        <w:trPr>
          <w:trHeight w:val="31"/>
        </w:trPr>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1" w:hanging="181"/>
        <w:spacing w:after="0"/>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7"/>
          <w:szCs w:val="17"/>
          <w:color w:val="auto"/>
        </w:rPr>
        <w:t>The Convertible Note Payable is redeemable on demand at the option of the Company or the lender.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30" w:name="page31"/>
    <w:bookmarkEnd w:id="30"/>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Credit Facility</w:t>
      </w:r>
    </w:p>
    <w:p>
      <w:pPr>
        <w:spacing w:after="0" w:line="144"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6"/>
          <w:szCs w:val="16"/>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September 30, 2022 and December 31, 2021, $70,179 and $73,869, respectively, was outstanding under the Senior Secured Credit Facility- term loan.</w:t>
      </w:r>
    </w:p>
    <w:p>
      <w:pPr>
        <w:spacing w:after="0" w:line="79"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September 30, 2022 and December 31, 2021, the total amount outstanding under the Working Capital Facility was $7,500. Additionally, the Company pays commitment fee of 0.75% on the unused portion of the facility.</w:t>
      </w:r>
    </w:p>
    <w:p>
      <w:pPr>
        <w:spacing w:after="0" w:line="41" w:lineRule="exact"/>
        <w:rPr>
          <w:sz w:val="20"/>
          <w:szCs w:val="20"/>
          <w:color w:val="auto"/>
        </w:rPr>
      </w:pPr>
    </w:p>
    <w:p>
      <w:pPr>
        <w:jc w:val="both"/>
        <w:ind w:firstLine="298"/>
        <w:spacing w:after="0" w:line="296" w:lineRule="auto"/>
        <w:rPr>
          <w:sz w:val="20"/>
          <w:szCs w:val="20"/>
          <w:color w:val="auto"/>
        </w:rPr>
      </w:pPr>
      <w:r>
        <w:rPr>
          <w:rFonts w:ascii="Arial" w:cs="Arial" w:eastAsia="Arial" w:hAnsi="Arial"/>
          <w:sz w:val="14"/>
          <w:szCs w:val="14"/>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Arial" w:cs="Arial" w:eastAsia="Arial" w:hAnsi="Arial"/>
          <w:sz w:val="14"/>
          <w:szCs w:val="14"/>
          <w:b w:val="1"/>
          <w:bCs w:val="1"/>
          <w:color w:val="auto"/>
        </w:rPr>
        <w:t>.</w:t>
      </w:r>
    </w:p>
    <w:p>
      <w:pPr>
        <w:spacing w:after="0" w:line="64"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At September 30, 2022 and December 31, 2021, FM3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LFG rights agreements.</w:t>
      </w:r>
    </w:p>
    <w:p>
      <w:pPr>
        <w:spacing w:after="0" w:line="100"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nine months ended September 30, 2022, FM3 was in compliance with all debt covenants.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Patronage dividends</w:t>
      </w:r>
    </w:p>
    <w:p>
      <w:pPr>
        <w:spacing w:after="0" w:line="128"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The Company is eligible to receive annual patronage dividends from one of its lenders, Cobank ACB under a profit sharing program made available to the borrowers. For the nine months ended September 30, 2022 and 2021, the Company received cash dividends of $126 and $139, respectively, which were recorded as credits to interest expense in its condensed consolidated statements of operations. Additionally, the Company recorded $489 as a long-term asset on its condensed consolidated balance sheets at September 30, 2022 and December 31, 2021, which represents the Company's equity interest in Cobank SCB which will be redeemed for cash beginning in 2024.</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OPAL Term Loan</w:t>
      </w:r>
    </w:p>
    <w:p>
      <w:pPr>
        <w:spacing w:after="0" w:line="132"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6"/>
          <w:szCs w:val="16"/>
          <w:color w:val="auto"/>
        </w:rPr>
        <w:t>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67"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Pursuant to the OPAL Term Loan, the Company borrowed $75,000 in October 2021 and an another $15,000 in February 2022 pursuant to an amendment allowing the Company to drawdown later than the original commitment date.</w:t>
      </w:r>
    </w:p>
    <w:p>
      <w:pPr>
        <w:spacing w:after="0" w:line="92"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w:t>
      </w:r>
    </w:p>
    <w:p>
      <w:pPr>
        <w:spacing w:after="0" w:line="118"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During the third quarter of 2022, one of the RNG projects went operational and the Company borrowed $12,500 under the OPAL Term Loan. In October 2022, the Company borrowed an additional $12,500 with an additional commitment of $10,000 remaining under this debt facility.</w:t>
      </w:r>
    </w:p>
    <w:p>
      <w:pPr>
        <w:spacing w:after="0" w:line="104" w:lineRule="exact"/>
        <w:rPr>
          <w:sz w:val="20"/>
          <w:szCs w:val="20"/>
          <w:color w:val="auto"/>
        </w:rPr>
      </w:pPr>
    </w:p>
    <w:p>
      <w:pPr>
        <w:jc w:val="both"/>
        <w:ind w:firstLine="298"/>
        <w:spacing w:after="0" w:line="295" w:lineRule="auto"/>
        <w:rPr>
          <w:sz w:val="20"/>
          <w:szCs w:val="20"/>
          <w:color w:val="auto"/>
        </w:rPr>
      </w:pPr>
      <w:r>
        <w:rPr>
          <w:rFonts w:ascii="Arial" w:cs="Arial" w:eastAsia="Arial" w:hAnsi="Arial"/>
          <w:sz w:val="16"/>
          <w:szCs w:val="16"/>
          <w:color w:val="auto"/>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spacing w:after="0" w:line="70"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The OPAL Term Loan contains customary warranties and representations and certain financial covenants which require OPAL Intermediate Holdco to maintain (i) minimum liquidity of $15,000 until March 31, 2022 and $10,000 thereafter and (ii) a leverage ratio not to exceed 4:1. As of September 30, 2022, the Company is in compliance with the financial covenants under the OPAL Term Loan. Additionally, the OPAL Term Loan contains restrictions on distributions and additional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Sunoma Loan</w:t>
      </w:r>
    </w:p>
    <w:p>
      <w:pPr>
        <w:spacing w:after="0" w:line="144"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113"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6"/>
          <w:szCs w:val="16"/>
          <w:color w:val="auto"/>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84"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borrowings under the Sunoma Loan Agreement bear interest at a rate of 7.68% and have a maturity date of July 19, 2033. The Company is required to pay a quarterly amortization of principal of $954 beginning in October 2023. The Company paid $3,482 into interest and debt reserve accounts. This cash is recorded as Restricted cash under long term assets in the Condensed Consolidated Balance Sheet as of September 30, 2022.</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significant assets of Sunoma are parenthesized in the condensed consolidated balance sheets as September 30, 2022 and December 31, 2021. See Note 13.</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for additional information.</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 Payable</w:t>
      </w:r>
    </w:p>
    <w:p>
      <w:pPr>
        <w:spacing w:after="0" w:line="119"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spacing w:after="0" w:line="88"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2"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6"/>
          <w:szCs w:val="16"/>
          <w:color w:val="auto"/>
        </w:rPr>
        <w:t xml:space="preserve">The Company elected to account for the Convertible Note using the fair value option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on May 1, 2021, which was determined to be $55,410. The fair value was subsequently remeasured on each reporting date and the change in fair value recorded as interest expense in the condensed consolidated statement of operations for each reporting period. At September 30, 2022, the Convertible Note was classified as a current liability in the condensed consolidated balance sheet at a fair value of 27,964 as it is redeemable on demand by the Company or Ares. At December 31,2021, the Convertible Note was classified as a non-current liability in the condensed consolidated balance sheet at a fair value of $58,710.</w:t>
      </w:r>
    </w:p>
    <w:p>
      <w:pPr>
        <w:spacing w:after="0" w:line="91"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The Company recorded $(2,261) and $(151) as change in fair value of Convertible Note for the three and nine months ended September 30, 2022, respectively as interest and financing expense, net. Upon completion of the Business Combination, the Convertible Note no longer provided for the 10% prepayment penalty. Therefore, the change in fair value for the three months ended September 30, 2022 was ($2,906). The Company recorded $1,362 and $2,250 as payment-in-kind interest expense in the condensed consolidated statement of operations for the three and nine months ended September 30,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Municipality loan</w:t>
      </w:r>
    </w:p>
    <w:p>
      <w:pPr>
        <w:spacing w:after="0" w:line="132"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6"/>
          <w:szCs w:val="16"/>
          <w:color w:val="auto"/>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September 30, 2022 and December 31, 2021, $121 and $278, respectively, were outstanding on the loan.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OPAL Term Loan II</w:t>
      </w:r>
    </w:p>
    <w:p>
      <w:pPr>
        <w:spacing w:after="0" w:line="132" w:lineRule="exact"/>
        <w:rPr>
          <w:sz w:val="20"/>
          <w:szCs w:val="20"/>
          <w:color w:val="auto"/>
        </w:rPr>
      </w:pPr>
    </w:p>
    <w:p>
      <w:pPr>
        <w:jc w:val="both"/>
        <w:ind w:firstLine="298"/>
        <w:spacing w:after="0" w:line="307" w:lineRule="auto"/>
        <w:rPr>
          <w:sz w:val="20"/>
          <w:szCs w:val="20"/>
          <w:color w:val="auto"/>
        </w:rPr>
      </w:pPr>
      <w:r>
        <w:rPr>
          <w:rFonts w:ascii="Arial" w:cs="Arial" w:eastAsia="Arial" w:hAnsi="Arial"/>
          <w:sz w:val="14"/>
          <w:szCs w:val="14"/>
          <w:color w:val="auto"/>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$1,322 as third party fees. The transaction costs have been recorded as Deferred financing costs on the condensed consolidated balance sheet as of September 30, 2022.</w:t>
      </w:r>
    </w:p>
    <w:p>
      <w:pPr>
        <w:spacing w:after="0" w:line="55"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6"/>
          <w:szCs w:val="16"/>
          <w:color w:val="auto"/>
        </w:rPr>
        <w:t>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September 30, 2022, there was no principal amount outstanding under the OPAL Term Loan II.</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TruStar revolver credit facility</w:t>
      </w:r>
    </w:p>
    <w:p>
      <w:pPr>
        <w:spacing w:after="0" w:line="144" w:lineRule="exact"/>
        <w:rPr>
          <w:sz w:val="20"/>
          <w:szCs w:val="20"/>
          <w:color w:val="auto"/>
        </w:rPr>
      </w:pPr>
    </w:p>
    <w:p>
      <w:pPr>
        <w:jc w:val="both"/>
        <w:ind w:firstLine="298"/>
        <w:spacing w:after="0" w:line="334" w:lineRule="auto"/>
        <w:rPr>
          <w:sz w:val="20"/>
          <w:szCs w:val="20"/>
          <w:color w:val="auto"/>
        </w:rPr>
      </w:pPr>
      <w:r>
        <w:rPr>
          <w:rFonts w:ascii="Arial" w:cs="Arial" w:eastAsia="Arial" w:hAnsi="Arial"/>
          <w:sz w:val="14"/>
          <w:szCs w:val="14"/>
          <w:color w:val="auto"/>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2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2022</w:t>
      </w:r>
    </w:p>
    <w:p>
      <w:pPr>
        <w:spacing w:after="0" w:line="140" w:lineRule="exact"/>
        <w:rPr>
          <w:sz w:val="20"/>
          <w:szCs w:val="20"/>
          <w:color w:val="auto"/>
        </w:rPr>
      </w:pPr>
    </w:p>
    <w:p>
      <w:pPr>
        <w:ind w:left="1" w:firstLine="298"/>
        <w:spacing w:after="0" w:line="264" w:lineRule="auto"/>
        <w:rPr>
          <w:sz w:val="20"/>
          <w:szCs w:val="20"/>
          <w:color w:val="auto"/>
        </w:rPr>
      </w:pPr>
      <w:r>
        <w:rPr>
          <w:rFonts w:ascii="Arial" w:cs="Arial" w:eastAsia="Arial" w:hAnsi="Arial"/>
          <w:sz w:val="17"/>
          <w:szCs w:val="17"/>
          <w:color w:val="auto"/>
        </w:rPr>
        <w:t>For the three and nine months ended September 30, 2022, the weighted average effective interest rate including amortization of debt issuance costs on Senior Secured Credit Facility was 6.8% and 5.40% including a margin plus LIBOR.</w:t>
      </w:r>
    </w:p>
    <w:p>
      <w:pPr>
        <w:spacing w:after="0" w:line="92" w:lineRule="exact"/>
        <w:rPr>
          <w:sz w:val="20"/>
          <w:szCs w:val="20"/>
          <w:color w:val="auto"/>
        </w:rPr>
      </w:pPr>
    </w:p>
    <w:p>
      <w:pPr>
        <w:ind w:left="1" w:firstLine="298"/>
        <w:spacing w:after="0" w:line="264" w:lineRule="auto"/>
        <w:rPr>
          <w:sz w:val="20"/>
          <w:szCs w:val="20"/>
          <w:color w:val="auto"/>
        </w:rPr>
      </w:pPr>
      <w:r>
        <w:rPr>
          <w:rFonts w:ascii="Arial" w:cs="Arial" w:eastAsia="Arial" w:hAnsi="Arial"/>
          <w:sz w:val="17"/>
          <w:szCs w:val="17"/>
          <w:color w:val="auto"/>
        </w:rPr>
        <w:t>For the three and nine months ended September 30, 2022, the weighted average effective interest rate including amortization of debt issuance costs on OPAL Term Loan was 6.4% and 5.20%.</w:t>
      </w:r>
    </w:p>
    <w:p>
      <w:pPr>
        <w:spacing w:after="0" w:line="104" w:lineRule="exact"/>
        <w:rPr>
          <w:sz w:val="20"/>
          <w:szCs w:val="20"/>
          <w:color w:val="auto"/>
        </w:rPr>
      </w:pPr>
    </w:p>
    <w:p>
      <w:pPr>
        <w:ind w:left="301"/>
        <w:spacing w:after="0"/>
        <w:rPr>
          <w:sz w:val="20"/>
          <w:szCs w:val="20"/>
          <w:color w:val="auto"/>
        </w:rPr>
      </w:pPr>
      <w:r>
        <w:rPr>
          <w:rFonts w:ascii="Arial" w:cs="Arial" w:eastAsia="Arial" w:hAnsi="Arial"/>
          <w:sz w:val="17"/>
          <w:szCs w:val="17"/>
          <w:color w:val="auto"/>
        </w:rPr>
        <w:t>For the three and nine months ended September 30, 2022, the interest rate on Sunoma Loan was 7.81% and 9.00%.</w:t>
      </w:r>
    </w:p>
    <w:p>
      <w:pPr>
        <w:spacing w:after="0" w:line="140" w:lineRule="exact"/>
        <w:rPr>
          <w:sz w:val="20"/>
          <w:szCs w:val="20"/>
          <w:color w:val="auto"/>
        </w:rPr>
      </w:pPr>
    </w:p>
    <w:p>
      <w:pPr>
        <w:ind w:left="301"/>
        <w:spacing w:after="0"/>
        <w:rPr>
          <w:sz w:val="20"/>
          <w:szCs w:val="20"/>
          <w:color w:val="auto"/>
        </w:rPr>
      </w:pPr>
      <w:r>
        <w:rPr>
          <w:rFonts w:ascii="Arial" w:cs="Arial" w:eastAsia="Arial" w:hAnsi="Arial"/>
          <w:sz w:val="17"/>
          <w:szCs w:val="17"/>
          <w:color w:val="auto"/>
        </w:rPr>
        <w:t>For the three and nine months ended September 30, 2022, the payment-in-kind interest rate on Convertible Note Payable was 8.00%.</w:t>
      </w:r>
    </w:p>
    <w:p>
      <w:pPr>
        <w:spacing w:after="0" w:line="128" w:lineRule="exact"/>
        <w:rPr>
          <w:sz w:val="20"/>
          <w:szCs w:val="20"/>
          <w:color w:val="auto"/>
        </w:rPr>
      </w:pPr>
    </w:p>
    <w:p>
      <w:pPr>
        <w:ind w:left="301"/>
        <w:spacing w:after="0"/>
        <w:rPr>
          <w:sz w:val="20"/>
          <w:szCs w:val="20"/>
          <w:color w:val="auto"/>
        </w:rPr>
      </w:pPr>
      <w:r>
        <w:rPr>
          <w:rFonts w:ascii="Arial" w:cs="Arial" w:eastAsia="Arial" w:hAnsi="Arial"/>
          <w:sz w:val="17"/>
          <w:szCs w:val="17"/>
          <w:color w:val="auto"/>
        </w:rPr>
        <w:t>For the three and nine months ended September 30, 2022, the weighted average interest rate on Municipality loan was 3.00%.</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2021</w:t>
      </w:r>
    </w:p>
    <w:p>
      <w:pPr>
        <w:spacing w:after="0" w:line="200" w:lineRule="exact"/>
        <w:rPr>
          <w:sz w:val="20"/>
          <w:szCs w:val="20"/>
          <w:color w:val="auto"/>
        </w:rPr>
      </w:pPr>
    </w:p>
    <w:p>
      <w:pPr>
        <w:spacing w:after="0" w:line="214" w:lineRule="exact"/>
        <w:rPr>
          <w:sz w:val="20"/>
          <w:szCs w:val="20"/>
          <w:color w:val="auto"/>
        </w:rPr>
      </w:pPr>
    </w:p>
    <w:p>
      <w:pPr>
        <w:ind w:left="1" w:firstLine="298"/>
        <w:spacing w:after="0" w:line="236" w:lineRule="auto"/>
        <w:rPr>
          <w:sz w:val="20"/>
          <w:szCs w:val="20"/>
          <w:color w:val="auto"/>
        </w:rPr>
      </w:pPr>
      <w:r>
        <w:rPr>
          <w:rFonts w:ascii="Arial" w:cs="Arial" w:eastAsia="Arial" w:hAnsi="Arial"/>
          <w:sz w:val="17"/>
          <w:szCs w:val="17"/>
          <w:color w:val="auto"/>
        </w:rPr>
        <w:t>For the three and nine months ended September 30, 2021, the interest rate on Senior Secured Credit Facility ranged between 3.14% and 3.26% including a margin plus LIBOR and commitment fees of 0.75% on unused portion of the Working capital facility.</w:t>
      </w:r>
    </w:p>
    <w:p>
      <w:pPr>
        <w:spacing w:after="0" w:line="187" w:lineRule="exact"/>
        <w:rPr>
          <w:sz w:val="20"/>
          <w:szCs w:val="20"/>
          <w:color w:val="auto"/>
        </w:rPr>
      </w:pPr>
    </w:p>
    <w:p>
      <w:pPr>
        <w:ind w:left="301"/>
        <w:spacing w:after="0"/>
        <w:rPr>
          <w:sz w:val="20"/>
          <w:szCs w:val="20"/>
          <w:color w:val="auto"/>
        </w:rPr>
      </w:pPr>
      <w:r>
        <w:rPr>
          <w:rFonts w:ascii="Arial" w:cs="Arial" w:eastAsia="Arial" w:hAnsi="Arial"/>
          <w:sz w:val="17"/>
          <w:szCs w:val="17"/>
          <w:color w:val="auto"/>
        </w:rPr>
        <w:t>For the nine months ended September 30, 2021, the interest rate on TruStar revolver credit facility was 1.52%.</w:t>
      </w:r>
    </w:p>
    <w:p>
      <w:pPr>
        <w:spacing w:after="0" w:line="202" w:lineRule="exact"/>
        <w:rPr>
          <w:sz w:val="20"/>
          <w:szCs w:val="20"/>
          <w:color w:val="auto"/>
        </w:rPr>
      </w:pPr>
    </w:p>
    <w:p>
      <w:pPr>
        <w:ind w:left="1" w:firstLine="298"/>
        <w:spacing w:after="0" w:line="236" w:lineRule="auto"/>
        <w:rPr>
          <w:sz w:val="20"/>
          <w:szCs w:val="20"/>
          <w:color w:val="auto"/>
        </w:rPr>
      </w:pPr>
      <w:r>
        <w:rPr>
          <w:rFonts w:ascii="Arial" w:cs="Arial" w:eastAsia="Arial" w:hAnsi="Arial"/>
          <w:sz w:val="17"/>
          <w:szCs w:val="17"/>
          <w:color w:val="auto"/>
        </w:rPr>
        <w:t>For the three and nine months ended September 30, 2021, the payment-in-kind interest rate on Convertible Note Payable was 8.0%. The change in fair value of the Note recorded as interest expense between May 1, 2021 and September 30, 2021 was $2,250.</w:t>
      </w:r>
    </w:p>
    <w:p>
      <w:pPr>
        <w:spacing w:after="0" w:line="187" w:lineRule="exact"/>
        <w:rPr>
          <w:sz w:val="20"/>
          <w:szCs w:val="20"/>
          <w:color w:val="auto"/>
        </w:rPr>
      </w:pPr>
    </w:p>
    <w:p>
      <w:pPr>
        <w:ind w:left="301"/>
        <w:spacing w:after="0"/>
        <w:rPr>
          <w:sz w:val="20"/>
          <w:szCs w:val="20"/>
          <w:color w:val="auto"/>
        </w:rPr>
      </w:pPr>
      <w:r>
        <w:rPr>
          <w:rFonts w:ascii="Arial" w:cs="Arial" w:eastAsia="Arial" w:hAnsi="Arial"/>
          <w:sz w:val="17"/>
          <w:szCs w:val="17"/>
          <w:color w:val="auto"/>
        </w:rPr>
        <w:t>For the three and nine months ended September 30, 2021, the weighted average interest rate on Municipality loan was 3.0%.</w:t>
      </w:r>
    </w:p>
    <w:p>
      <w:pPr>
        <w:spacing w:after="0" w:line="128"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following table summarizes the Company's total interest expense for the three and nine months ended September 30, 2022 and 2021:</w:t>
      </w: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6"/>
            <w:shd w:val="clear" w:color="auto" w:fill="CCEEFF"/>
          </w:tcPr>
          <w:p>
            <w:pPr>
              <w:ind w:left="80"/>
              <w:spacing w:after="0"/>
              <w:rPr>
                <w:sz w:val="20"/>
                <w:szCs w:val="20"/>
                <w:color w:val="auto"/>
              </w:rPr>
            </w:pPr>
            <w:r>
              <w:rPr>
                <w:rFonts w:ascii="Arial" w:cs="Arial" w:eastAsia="Arial" w:hAnsi="Arial"/>
                <w:sz w:val="17"/>
                <w:szCs w:val="17"/>
                <w:b w:val="1"/>
                <w:bCs w:val="1"/>
                <w:color w:val="auto"/>
                <w:w w:val="95"/>
              </w:rPr>
              <w:t>Three Months Ended September</w:t>
            </w:r>
          </w:p>
        </w:tc>
        <w:tc>
          <w:tcPr>
            <w:tcW w:w="28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ind w:right="497"/>
              <w:spacing w:after="0"/>
              <w:rPr>
                <w:sz w:val="20"/>
                <w:szCs w:val="20"/>
                <w:color w:val="auto"/>
              </w:rPr>
            </w:pPr>
            <w:r>
              <w:rPr>
                <w:rFonts w:ascii="Arial" w:cs="Arial" w:eastAsia="Arial" w:hAnsi="Arial"/>
                <w:sz w:val="17"/>
                <w:szCs w:val="17"/>
                <w:b w:val="1"/>
                <w:bCs w:val="1"/>
                <w:color w:val="auto"/>
              </w:rPr>
              <w:t>Nine Months Ended</w:t>
            </w:r>
          </w:p>
        </w:tc>
      </w:tr>
      <w:tr>
        <w:trPr>
          <w:trHeight w:val="240"/>
        </w:trPr>
        <w:tc>
          <w:tcPr>
            <w:tcW w:w="4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30,</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September 30,</w:t>
            </w: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w w:val="84"/>
              </w:rPr>
              <w:t>2021</w:t>
            </w:r>
          </w:p>
        </w:tc>
      </w:tr>
      <w:tr>
        <w:trPr>
          <w:trHeight w:val="235"/>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Secured Credit Facility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r>
      <w:tr>
        <w:trPr>
          <w:trHeight w:val="236"/>
        </w:trPr>
        <w:tc>
          <w:tcPr>
            <w:tcW w:w="4720" w:type="dxa"/>
            <w:vAlign w:val="bottom"/>
          </w:tcPr>
          <w:p>
            <w:pPr>
              <w:ind w:left="20"/>
              <w:spacing w:after="0"/>
              <w:rPr>
                <w:sz w:val="20"/>
                <w:szCs w:val="20"/>
                <w:color w:val="auto"/>
              </w:rPr>
            </w:pPr>
            <w:r>
              <w:rPr>
                <w:rFonts w:ascii="Arial" w:cs="Arial" w:eastAsia="Arial" w:hAnsi="Arial"/>
                <w:sz w:val="17"/>
                <w:szCs w:val="17"/>
                <w:color w:val="auto"/>
              </w:rPr>
              <w:t>Municipality loan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TruStar revolver credit facility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36"/>
        </w:trPr>
        <w:tc>
          <w:tcPr>
            <w:tcW w:w="4720" w:type="dxa"/>
            <w:vAlign w:val="bottom"/>
          </w:tcPr>
          <w:p>
            <w:pPr>
              <w:ind w:left="20"/>
              <w:spacing w:after="0" w:line="236" w:lineRule="exact"/>
              <w:rPr>
                <w:sz w:val="20"/>
                <w:szCs w:val="20"/>
                <w:color w:val="auto"/>
              </w:rPr>
            </w:pPr>
            <w:r>
              <w:rPr>
                <w:rFonts w:ascii="Arial" w:cs="Arial" w:eastAsia="Arial" w:hAnsi="Arial"/>
                <w:sz w:val="17"/>
                <w:szCs w:val="17"/>
                <w:color w:val="auto"/>
              </w:rPr>
              <w:t xml:space="preserve">Convertible Note Payable mark-to-market </w:t>
            </w:r>
            <w:r>
              <w:rPr>
                <w:rFonts w:ascii="Arial" w:cs="Arial" w:eastAsia="Arial" w:hAnsi="Arial"/>
                <w:sz w:val="21"/>
                <w:szCs w:val="21"/>
                <w:color w:val="auto"/>
                <w:vertAlign w:val="superscript"/>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2,250</w:t>
            </w:r>
          </w:p>
        </w:tc>
      </w:tr>
      <w:tr>
        <w:trPr>
          <w:trHeight w:val="236"/>
        </w:trPr>
        <w:tc>
          <w:tcPr>
            <w:tcW w:w="472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Sunoma Loan</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720" w:type="dxa"/>
            <w:vAlign w:val="bottom"/>
          </w:tcPr>
          <w:p>
            <w:pPr>
              <w:ind w:left="20"/>
              <w:spacing w:after="0"/>
              <w:rPr>
                <w:sz w:val="20"/>
                <w:szCs w:val="20"/>
                <w:color w:val="auto"/>
              </w:rPr>
            </w:pPr>
            <w:r>
              <w:rPr>
                <w:rFonts w:ascii="Arial" w:cs="Arial" w:eastAsia="Arial" w:hAnsi="Arial"/>
                <w:sz w:val="17"/>
                <w:szCs w:val="17"/>
                <w:color w:val="auto"/>
              </w:rPr>
              <w:t>OPAL Term Loan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 fees and other finance fees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36"/>
        </w:trPr>
        <w:tc>
          <w:tcPr>
            <w:tcW w:w="4720" w:type="dxa"/>
            <w:vAlign w:val="bottom"/>
          </w:tcPr>
          <w:p>
            <w:pPr>
              <w:ind w:left="20"/>
              <w:spacing w:after="0"/>
              <w:rPr>
                <w:sz w:val="20"/>
                <w:szCs w:val="20"/>
                <w:color w:val="auto"/>
              </w:rPr>
            </w:pPr>
            <w:r>
              <w:rPr>
                <w:rFonts w:ascii="Arial" w:cs="Arial" w:eastAsia="Arial" w:hAnsi="Arial"/>
                <w:sz w:val="17"/>
                <w:szCs w:val="17"/>
                <w:color w:val="auto"/>
              </w:rPr>
              <w:t>Amortization of deferred financing 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on loan receivable</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9"/>
        </w:trPr>
        <w:tc>
          <w:tcPr>
            <w:tcW w:w="4720" w:type="dxa"/>
            <w:vAlign w:val="bottom"/>
          </w:tcPr>
          <w:p>
            <w:pPr>
              <w:ind w:left="140"/>
              <w:spacing w:after="0"/>
              <w:rPr>
                <w:sz w:val="20"/>
                <w:szCs w:val="20"/>
                <w:color w:val="auto"/>
              </w:rPr>
            </w:pPr>
            <w:r>
              <w:rPr>
                <w:rFonts w:ascii="Arial" w:cs="Arial" w:eastAsia="Arial" w:hAnsi="Arial"/>
                <w:sz w:val="17"/>
                <w:szCs w:val="17"/>
                <w:color w:val="auto"/>
              </w:rPr>
              <w:t>Total interest expense</w:t>
            </w:r>
          </w:p>
        </w:tc>
        <w:tc>
          <w:tcPr>
            <w:tcW w:w="360" w:type="dxa"/>
            <w:vAlign w:val="bottom"/>
            <w:gridSpan w:val="2"/>
          </w:tcPr>
          <w:p>
            <w:pPr>
              <w:jc w:val="right"/>
              <w:ind w:right="7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2,354</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7,184</w:t>
            </w:r>
          </w:p>
        </w:tc>
        <w:tc>
          <w:tcPr>
            <w:tcW w:w="12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5,659</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left="1" w:hanging="1"/>
        <w:spacing w:after="0" w:line="235" w:lineRule="auto"/>
        <w:tabs>
          <w:tab w:leader="none" w:pos="196"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mark-to-market on the Convertible Note Payable is negative for the three and nine months ended September 30, 2022 as the prepayment penalty is no longer applicable upon completion of the Business Combination. The change in fair value of the Convertible Note Payable recorded for the three months ended September 30, 2022 was $2,906.</w:t>
      </w:r>
    </w:p>
    <w:p>
      <w:pPr>
        <w:spacing w:after="0" w:line="162" w:lineRule="exact"/>
        <w:rPr>
          <w:rFonts w:ascii="Arial" w:cs="Arial" w:eastAsia="Arial" w:hAnsi="Arial"/>
          <w:sz w:val="24"/>
          <w:szCs w:val="24"/>
          <w:color w:val="auto"/>
          <w:vertAlign w:val="superscript"/>
        </w:rPr>
      </w:pPr>
    </w:p>
    <w:p>
      <w:pPr>
        <w:ind w:left="1" w:hanging="1"/>
        <w:spacing w:after="0" w:line="237" w:lineRule="auto"/>
        <w:tabs>
          <w:tab w:leader="none" w:pos="165"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The interest on Sunoma Loan was capitalized during the construction phase of the RNG facility. Sunoma became operational in December 2021. Therefore, the interest for the three and nine months ended September 30, 2022 has been expensed.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34" w:name="page35"/>
    <w:bookmarkEnd w:id="34"/>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Leases</w:t>
      </w:r>
    </w:p>
    <w:p>
      <w:pPr>
        <w:spacing w:after="0" w:line="9" w:lineRule="exact"/>
        <w:rPr>
          <w:sz w:val="20"/>
          <w:szCs w:val="20"/>
          <w:color w:val="auto"/>
        </w:rPr>
      </w:pPr>
    </w:p>
    <w:p>
      <w:pPr>
        <w:jc w:val="both"/>
        <w:ind w:firstLine="298"/>
        <w:spacing w:after="0" w:line="296" w:lineRule="auto"/>
        <w:rPr>
          <w:sz w:val="20"/>
          <w:szCs w:val="20"/>
          <w:color w:val="auto"/>
        </w:rPr>
      </w:pPr>
      <w:r>
        <w:rPr>
          <w:rFonts w:ascii="Arial" w:cs="Arial" w:eastAsia="Arial" w:hAnsi="Arial"/>
          <w:sz w:val="14"/>
          <w:szCs w:val="14"/>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Future minimum lease payments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Three months ending December 31, 2022</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987</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2024</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937</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852</w:t>
            </w:r>
          </w:p>
        </w:tc>
      </w:tr>
      <w:tr>
        <w:trPr>
          <w:trHeight w:val="193"/>
        </w:trPr>
        <w:tc>
          <w:tcPr>
            <w:tcW w:w="9760" w:type="dxa"/>
            <w:vAlign w:val="bottom"/>
          </w:tcPr>
          <w:p>
            <w:pPr>
              <w:ind w:left="20"/>
              <w:spacing w:after="0"/>
              <w:rPr>
                <w:sz w:val="20"/>
                <w:szCs w:val="20"/>
                <w:color w:val="auto"/>
              </w:rPr>
            </w:pPr>
            <w:r>
              <w:rPr>
                <w:rFonts w:ascii="Arial" w:cs="Arial" w:eastAsia="Arial" w:hAnsi="Arial"/>
                <w:sz w:val="15"/>
                <w:szCs w:val="15"/>
                <w:color w:val="auto"/>
              </w:rPr>
              <w:t>2026</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183</w:t>
            </w:r>
          </w:p>
        </w:tc>
      </w:tr>
      <w:tr>
        <w:trPr>
          <w:trHeight w:val="31"/>
        </w:trPr>
        <w:tc>
          <w:tcPr>
            <w:tcW w:w="9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97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Company incurred rent expense of $359 and $1,050 for the three and nine months ended September 30, 2022, respectively. The Company incurred rent expense of $201 and $604 for the three and nine months ended September 30, 2021,respectively.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Financial Instruments and Fair Value Measurements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swaps</w:t>
      </w:r>
    </w:p>
    <w:p>
      <w:pPr>
        <w:spacing w:after="0" w:line="103"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condensed consolidated statements of operations. The swaps expired in September 2022 as the facility is scheduled to be repaid in December 2022.</w:t>
      </w:r>
    </w:p>
    <w:p>
      <w:pPr>
        <w:spacing w:after="0" w:line="34"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Company accounted for the swaption as an economic hedge and included the change in the fair market value in the condensed consolidated statement of operations.</w:t>
      </w:r>
    </w:p>
    <w:p>
      <w:pPr>
        <w:spacing w:after="0" w:line="80" w:lineRule="exact"/>
        <w:rPr>
          <w:sz w:val="20"/>
          <w:szCs w:val="20"/>
          <w:color w:val="auto"/>
        </w:rPr>
      </w:pPr>
    </w:p>
    <w:p>
      <w:pPr>
        <w:jc w:val="both"/>
        <w:ind w:firstLine="298"/>
        <w:spacing w:after="0" w:line="247" w:lineRule="auto"/>
        <w:rPr>
          <w:sz w:val="20"/>
          <w:szCs w:val="20"/>
          <w:color w:val="auto"/>
        </w:rPr>
      </w:pPr>
      <w:r>
        <w:rPr>
          <w:rFonts w:ascii="Arial" w:cs="Arial" w:eastAsia="Arial" w:hAnsi="Arial"/>
          <w:sz w:val="17"/>
          <w:szCs w:val="17"/>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83" w:lineRule="exact"/>
        <w:rPr>
          <w:sz w:val="20"/>
          <w:szCs w:val="20"/>
          <w:color w:val="auto"/>
        </w:rPr>
      </w:pPr>
    </w:p>
    <w:p>
      <w:pPr>
        <w:jc w:val="both"/>
        <w:ind w:firstLine="298"/>
        <w:spacing w:after="0" w:line="295" w:lineRule="auto"/>
        <w:rPr>
          <w:sz w:val="20"/>
          <w:szCs w:val="20"/>
          <w:color w:val="auto"/>
        </w:rPr>
      </w:pPr>
      <w:r>
        <w:rPr>
          <w:rFonts w:ascii="Arial" w:cs="Arial" w:eastAsia="Arial" w:hAnsi="Arial"/>
          <w:sz w:val="16"/>
          <w:szCs w:val="16"/>
          <w:color w:val="auto"/>
        </w:rPr>
        <w:t>The Company records the fair value of the interest rate swap as an asset or liability on its balance sheet. The effective portion of the swap is recorded in Accumulated other comprehensive income. No portion of the cash flow hedges were ineffective during the three and nine months ended September 30, 2022.</w:t>
      </w: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interest rate swaps in place as of September 30, 2022 and December 31, 2021: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1780" w:type="dxa"/>
            <w:vAlign w:val="bottom"/>
            <w:tcBorders>
              <w:top w:val="single" w:sz="8" w:color="auto"/>
              <w:bottom w:val="single" w:sz="8" w:color="auto"/>
            </w:tcBorders>
            <w:shd w:val="clear" w:color="auto" w:fill="CCEEFF"/>
          </w:tcPr>
          <w:p>
            <w:pPr>
              <w:spacing w:after="0"/>
              <w:rPr>
                <w:sz w:val="19"/>
                <w:szCs w:val="19"/>
                <w:color w:val="auto"/>
              </w:rPr>
            </w:pPr>
          </w:p>
        </w:tc>
        <w:tc>
          <w:tcPr>
            <w:tcW w:w="32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rPr>
              <w:t>Interest rate swap detail</w:t>
            </w:r>
          </w:p>
        </w:tc>
        <w:tc>
          <w:tcPr>
            <w:tcW w:w="15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40" w:type="dxa"/>
            <w:vAlign w:val="bottom"/>
            <w:tcBorders>
              <w:top w:val="single" w:sz="8" w:color="auto"/>
              <w:bottom w:val="single" w:sz="8" w:color="auto"/>
            </w:tcBorders>
            <w:gridSpan w:val="4"/>
            <w:shd w:val="clear" w:color="auto" w:fill="CCEEFF"/>
          </w:tcPr>
          <w:p>
            <w:pPr>
              <w:ind w:left="1300"/>
              <w:spacing w:after="0"/>
              <w:rPr>
                <w:sz w:val="20"/>
                <w:szCs w:val="20"/>
                <w:color w:val="auto"/>
              </w:rPr>
            </w:pPr>
            <w:r>
              <w:rPr>
                <w:rFonts w:ascii="Arial" w:cs="Arial" w:eastAsia="Arial" w:hAnsi="Arial"/>
                <w:sz w:val="17"/>
                <w:szCs w:val="17"/>
                <w:b w:val="1"/>
                <w:bCs w:val="1"/>
                <w:color w:val="auto"/>
              </w:rPr>
              <w:t>Notional Amount</w:t>
            </w:r>
          </w:p>
        </w:tc>
      </w:tr>
      <w:tr>
        <w:trPr>
          <w:trHeight w:val="204"/>
        </w:trPr>
        <w:tc>
          <w:tcPr>
            <w:tcW w:w="1780" w:type="dxa"/>
            <w:vAlign w:val="bottom"/>
          </w:tcPr>
          <w:p>
            <w:pPr>
              <w:ind w:left="580"/>
              <w:spacing w:after="0"/>
              <w:rPr>
                <w:sz w:val="20"/>
                <w:szCs w:val="20"/>
                <w:color w:val="auto"/>
              </w:rPr>
            </w:pPr>
            <w:r>
              <w:rPr>
                <w:rFonts w:ascii="Arial" w:cs="Arial" w:eastAsia="Arial" w:hAnsi="Arial"/>
                <w:sz w:val="17"/>
                <w:szCs w:val="17"/>
                <w:b w:val="1"/>
                <w:bCs w:val="1"/>
                <w:color w:val="auto"/>
              </w:rPr>
              <w:t>Trade date</w:t>
            </w:r>
          </w:p>
        </w:tc>
        <w:tc>
          <w:tcPr>
            <w:tcW w:w="1660" w:type="dxa"/>
            <w:vAlign w:val="bottom"/>
          </w:tcPr>
          <w:p>
            <w:pPr>
              <w:jc w:val="right"/>
              <w:ind w:right="417"/>
              <w:spacing w:after="0"/>
              <w:rPr>
                <w:sz w:val="20"/>
                <w:szCs w:val="20"/>
                <w:color w:val="auto"/>
              </w:rPr>
            </w:pPr>
            <w:r>
              <w:rPr>
                <w:rFonts w:ascii="Arial" w:cs="Arial" w:eastAsia="Arial" w:hAnsi="Arial"/>
                <w:sz w:val="17"/>
                <w:szCs w:val="17"/>
                <w:b w:val="1"/>
                <w:bCs w:val="1"/>
                <w:color w:val="auto"/>
              </w:rPr>
              <w:t>Fixed rate</w:t>
            </w:r>
          </w:p>
        </w:tc>
        <w:tc>
          <w:tcPr>
            <w:tcW w:w="1540" w:type="dxa"/>
            <w:vAlign w:val="bottom"/>
          </w:tcPr>
          <w:p>
            <w:pPr>
              <w:ind w:left="180"/>
              <w:spacing w:after="0"/>
              <w:rPr>
                <w:sz w:val="20"/>
                <w:szCs w:val="20"/>
                <w:color w:val="auto"/>
              </w:rPr>
            </w:pPr>
            <w:r>
              <w:rPr>
                <w:rFonts w:ascii="Arial" w:cs="Arial" w:eastAsia="Arial" w:hAnsi="Arial"/>
                <w:sz w:val="17"/>
                <w:szCs w:val="17"/>
                <w:b w:val="1"/>
                <w:bCs w:val="1"/>
                <w:color w:val="auto"/>
              </w:rPr>
              <w:t>Start date</w:t>
            </w:r>
          </w:p>
        </w:tc>
        <w:tc>
          <w:tcPr>
            <w:tcW w:w="1500" w:type="dxa"/>
            <w:vAlign w:val="bottom"/>
          </w:tcPr>
          <w:p>
            <w:pPr>
              <w:ind w:left="300"/>
              <w:spacing w:after="0"/>
              <w:rPr>
                <w:sz w:val="20"/>
                <w:szCs w:val="20"/>
                <w:color w:val="auto"/>
              </w:rPr>
            </w:pPr>
            <w:r>
              <w:rPr>
                <w:rFonts w:ascii="Arial" w:cs="Arial" w:eastAsia="Arial" w:hAnsi="Arial"/>
                <w:sz w:val="17"/>
                <w:szCs w:val="17"/>
                <w:b w:val="1"/>
                <w:bCs w:val="1"/>
                <w:color w:val="auto"/>
              </w:rPr>
              <w:t>End date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2022</w:t>
            </w:r>
          </w:p>
        </w:tc>
        <w:tc>
          <w:tcPr>
            <w:tcW w:w="260" w:type="dxa"/>
            <w:vAlign w:val="bottom"/>
          </w:tcPr>
          <w:p>
            <w:pPr>
              <w:spacing w:after="0"/>
              <w:rPr>
                <w:sz w:val="17"/>
                <w:szCs w:val="17"/>
                <w:color w:val="auto"/>
              </w:rPr>
            </w:pPr>
          </w:p>
        </w:tc>
        <w:tc>
          <w:tcPr>
            <w:tcW w:w="1880" w:type="dxa"/>
            <w:vAlign w:val="bottom"/>
          </w:tcPr>
          <w:p>
            <w:pPr>
              <w:ind w:left="140"/>
              <w:spacing w:after="0"/>
              <w:rPr>
                <w:sz w:val="20"/>
                <w:szCs w:val="20"/>
                <w:color w:val="auto"/>
              </w:rPr>
            </w:pPr>
            <w:r>
              <w:rPr>
                <w:rFonts w:ascii="Arial" w:cs="Arial" w:eastAsia="Arial" w:hAnsi="Arial"/>
                <w:sz w:val="17"/>
                <w:szCs w:val="17"/>
                <w:b w:val="1"/>
                <w:bCs w:val="1"/>
                <w:color w:val="auto"/>
              </w:rPr>
              <w:t>December 31, 2021</w:t>
            </w:r>
          </w:p>
        </w:tc>
      </w:tr>
      <w:tr>
        <w:trPr>
          <w:trHeight w:val="229"/>
        </w:trPr>
        <w:tc>
          <w:tcPr>
            <w:tcW w:w="17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11"/>
        </w:trPr>
        <w:tc>
          <w:tcPr>
            <w:tcW w:w="1780" w:type="dxa"/>
            <w:vAlign w:val="bottom"/>
          </w:tcPr>
          <w:p>
            <w:pPr>
              <w:ind w:left="20"/>
              <w:spacing w:after="0"/>
              <w:rPr>
                <w:sz w:val="20"/>
                <w:szCs w:val="20"/>
                <w:color w:val="auto"/>
              </w:rPr>
            </w:pPr>
            <w:r>
              <w:rPr>
                <w:rFonts w:ascii="Arial" w:cs="Arial" w:eastAsia="Arial" w:hAnsi="Arial"/>
                <w:sz w:val="17"/>
                <w:szCs w:val="17"/>
                <w:color w:val="auto"/>
              </w:rPr>
              <w:t>August 15, 2022</w:t>
            </w:r>
          </w:p>
        </w:tc>
        <w:tc>
          <w:tcPr>
            <w:tcW w:w="1660" w:type="dxa"/>
            <w:vAlign w:val="bottom"/>
          </w:tcPr>
          <w:p>
            <w:pPr>
              <w:jc w:val="right"/>
              <w:ind w:right="117"/>
              <w:spacing w:after="0"/>
              <w:rPr>
                <w:sz w:val="20"/>
                <w:szCs w:val="20"/>
                <w:color w:val="auto"/>
              </w:rPr>
            </w:pPr>
            <w:r>
              <w:rPr>
                <w:rFonts w:ascii="Arial" w:cs="Arial" w:eastAsia="Arial" w:hAnsi="Arial"/>
                <w:sz w:val="17"/>
                <w:szCs w:val="17"/>
                <w:color w:val="auto"/>
              </w:rPr>
              <w:t>2.47 %</w:t>
            </w:r>
          </w:p>
        </w:tc>
        <w:tc>
          <w:tcPr>
            <w:tcW w:w="1540" w:type="dxa"/>
            <w:vAlign w:val="bottom"/>
          </w:tcPr>
          <w:p>
            <w:pPr>
              <w:ind w:left="320"/>
              <w:spacing w:after="0"/>
              <w:rPr>
                <w:sz w:val="20"/>
                <w:szCs w:val="20"/>
                <w:color w:val="auto"/>
              </w:rPr>
            </w:pPr>
            <w:r>
              <w:rPr>
                <w:rFonts w:ascii="Arial" w:cs="Arial" w:eastAsia="Arial" w:hAnsi="Arial"/>
                <w:sz w:val="17"/>
                <w:szCs w:val="17"/>
                <w:color w:val="auto"/>
              </w:rPr>
              <w:t>June 28, 2024</w:t>
            </w:r>
          </w:p>
        </w:tc>
        <w:tc>
          <w:tcPr>
            <w:tcW w:w="1580" w:type="dxa"/>
            <w:vAlign w:val="bottom"/>
            <w:gridSpan w:val="2"/>
          </w:tcPr>
          <w:p>
            <w:pPr>
              <w:ind w:left="460"/>
              <w:spacing w:after="0"/>
              <w:rPr>
                <w:sz w:val="20"/>
                <w:szCs w:val="20"/>
                <w:color w:val="auto"/>
              </w:rPr>
            </w:pPr>
            <w:r>
              <w:rPr>
                <w:rFonts w:ascii="Arial" w:cs="Arial" w:eastAsia="Arial" w:hAnsi="Arial"/>
                <w:sz w:val="17"/>
                <w:szCs w:val="17"/>
                <w:color w:val="auto"/>
                <w:w w:val="96"/>
              </w:rPr>
              <w:t>August 4, 2027</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1300"/>
              <w:spacing w:after="0"/>
              <w:rPr>
                <w:sz w:val="20"/>
                <w:szCs w:val="20"/>
                <w:color w:val="auto"/>
              </w:rPr>
            </w:pPr>
            <w:r>
              <w:rPr>
                <w:rFonts w:ascii="Arial" w:cs="Arial" w:eastAsia="Arial" w:hAnsi="Arial"/>
                <w:sz w:val="17"/>
                <w:szCs w:val="17"/>
                <w:color w:val="auto"/>
                <w:w w:val="96"/>
              </w:rPr>
              <w:t>41,284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ind w:left="1640"/>
              <w:spacing w:after="0"/>
              <w:rPr>
                <w:sz w:val="20"/>
                <w:szCs w:val="20"/>
                <w:color w:val="auto"/>
              </w:rPr>
            </w:pPr>
            <w:r>
              <w:rPr>
                <w:rFonts w:ascii="Arial" w:cs="Arial" w:eastAsia="Arial" w:hAnsi="Arial"/>
                <w:sz w:val="17"/>
                <w:szCs w:val="17"/>
                <w:color w:val="auto"/>
              </w:rPr>
              <w:t>—</w:t>
            </w:r>
          </w:p>
        </w:tc>
      </w:tr>
      <w:tr>
        <w:trPr>
          <w:trHeight w:val="211"/>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15, 2022</w:t>
            </w:r>
          </w:p>
        </w:tc>
        <w:tc>
          <w:tcPr>
            <w:tcW w:w="16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2.47 %</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June 28, 2024</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96"/>
              </w:rPr>
              <w:t>August 4, 2027</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7"/>
                <w:szCs w:val="17"/>
                <w:color w:val="auto"/>
                <w:w w:val="96"/>
              </w:rPr>
              <w:t>20,642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7"/>
                <w:szCs w:val="17"/>
                <w:color w:val="auto"/>
              </w:rPr>
              <w:t>—</w:t>
            </w:r>
          </w:p>
        </w:tc>
      </w:tr>
      <w:tr>
        <w:trPr>
          <w:trHeight w:val="204"/>
        </w:trPr>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w w:val="96"/>
              </w:rPr>
              <w:t>61,926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rPr>
              <w:t>—</w:t>
            </w:r>
          </w:p>
        </w:tc>
      </w:tr>
      <w:tr>
        <w:trPr>
          <w:trHeight w:val="20"/>
        </w:trPr>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location and amounts of derivatives fair values in the condensed consolidated balance sheets are:</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8"/>
                <w:szCs w:val="18"/>
                <w:color w:val="auto"/>
              </w:rPr>
            </w:pPr>
          </w:p>
        </w:tc>
        <w:tc>
          <w:tcPr>
            <w:tcW w:w="1320" w:type="dxa"/>
            <w:vAlign w:val="bottom"/>
          </w:tcPr>
          <w:p>
            <w:pPr>
              <w:jc w:val="right"/>
              <w:ind w:right="197"/>
              <w:spacing w:after="0"/>
              <w:rPr>
                <w:sz w:val="20"/>
                <w:szCs w:val="20"/>
                <w:color w:val="auto"/>
              </w:rPr>
            </w:pPr>
            <w:r>
              <w:rPr>
                <w:rFonts w:ascii="Arial" w:cs="Arial" w:eastAsia="Arial" w:hAnsi="Arial"/>
                <w:sz w:val="17"/>
                <w:szCs w:val="17"/>
                <w:b w:val="1"/>
                <w:bCs w:val="1"/>
                <w:color w:val="auto"/>
                <w:w w:val="92"/>
              </w:rPr>
              <w:t>December 31,</w:t>
            </w:r>
          </w:p>
        </w:tc>
        <w:tc>
          <w:tcPr>
            <w:tcW w:w="10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7"/>
                <w:szCs w:val="17"/>
                <w:b w:val="1"/>
                <w:bCs w:val="1"/>
                <w:color w:val="auto"/>
                <w:w w:val="86"/>
              </w:rPr>
              <w:t>Location of Fair Value Recognized in Balanc</w:t>
            </w:r>
          </w:p>
        </w:tc>
      </w:tr>
      <w:tr>
        <w:trPr>
          <w:trHeight w:val="220"/>
        </w:trPr>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ind w:left="1540"/>
              <w:spacing w:after="0"/>
              <w:rPr>
                <w:sz w:val="20"/>
                <w:szCs w:val="20"/>
                <w:color w:val="auto"/>
              </w:rPr>
            </w:pPr>
            <w:r>
              <w:rPr>
                <w:rFonts w:ascii="Arial" w:cs="Arial" w:eastAsia="Arial" w:hAnsi="Arial"/>
                <w:sz w:val="17"/>
                <w:szCs w:val="17"/>
                <w:b w:val="1"/>
                <w:bCs w:val="1"/>
                <w:color w:val="auto"/>
              </w:rPr>
              <w:t>Sheet</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Derivatives designated as economic hedges: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7"/>
                <w:szCs w:val="17"/>
                <w:color w:val="auto"/>
              </w:rPr>
              <w:t>Current portion of swaption</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7"/>
                <w:szCs w:val="17"/>
                <w:color w:val="auto"/>
              </w:rPr>
              <w:t>Derivative financial assets, current portion</w:t>
            </w:r>
          </w:p>
        </w:tc>
      </w:tr>
      <w:tr>
        <w:trPr>
          <w:trHeight w:val="24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interest swaps</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00" w:type="dxa"/>
            <w:vAlign w:val="bottom"/>
            <w:shd w:val="clear" w:color="auto" w:fill="CCEEFF"/>
          </w:tcPr>
          <w:p>
            <w:pPr>
              <w:spacing w:after="0"/>
              <w:rPr>
                <w:sz w:val="21"/>
                <w:szCs w:val="21"/>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liability, current portion</w:t>
            </w:r>
          </w:p>
        </w:tc>
      </w:tr>
      <w:tr>
        <w:trPr>
          <w:trHeight w:val="230"/>
        </w:trPr>
        <w:tc>
          <w:tcPr>
            <w:tcW w:w="4240" w:type="dxa"/>
            <w:vAlign w:val="bottom"/>
          </w:tcPr>
          <w:p>
            <w:pPr>
              <w:ind w:left="20"/>
              <w:spacing w:after="0"/>
              <w:rPr>
                <w:sz w:val="20"/>
                <w:szCs w:val="20"/>
                <w:color w:val="auto"/>
              </w:rPr>
            </w:pPr>
            <w:r>
              <w:rPr>
                <w:rFonts w:ascii="Arial" w:cs="Arial" w:eastAsia="Arial" w:hAnsi="Arial"/>
                <w:sz w:val="17"/>
                <w:szCs w:val="17"/>
                <w:color w:val="auto"/>
              </w:rPr>
              <w:t>Derivatives designated as cash flow hedges: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the interest rate swaps</w:t>
            </w:r>
          </w:p>
        </w:tc>
        <w:tc>
          <w:tcPr>
            <w:tcW w:w="2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assets, current portion</w:t>
            </w:r>
          </w:p>
        </w:tc>
      </w:tr>
      <w:tr>
        <w:trPr>
          <w:trHeight w:val="229"/>
        </w:trPr>
        <w:tc>
          <w:tcPr>
            <w:tcW w:w="4240" w:type="dxa"/>
            <w:vAlign w:val="bottom"/>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r>
    </w:tbl>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effect of derivative instruments on the condensed consolidated statement of operations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5"/>
                <w:szCs w:val="15"/>
                <w:color w:val="auto"/>
              </w:rPr>
            </w:pPr>
          </w:p>
        </w:tc>
        <w:tc>
          <w:tcPr>
            <w:tcW w:w="3040" w:type="dxa"/>
            <w:vAlign w:val="bottom"/>
            <w:gridSpan w:val="5"/>
            <w:vMerge w:val="restart"/>
          </w:tcPr>
          <w:p>
            <w:pPr>
              <w:jc w:val="right"/>
              <w:ind w:right="285"/>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Pr>
          <w:p>
            <w:pPr>
              <w:spacing w:after="0"/>
              <w:rPr>
                <w:sz w:val="15"/>
                <w:szCs w:val="15"/>
                <w:color w:val="auto"/>
              </w:rPr>
            </w:pPr>
          </w:p>
        </w:tc>
        <w:tc>
          <w:tcPr>
            <w:tcW w:w="2200" w:type="dxa"/>
            <w:vAlign w:val="bottom"/>
            <w:gridSpan w:val="3"/>
          </w:tcPr>
          <w:p>
            <w:pPr>
              <w:jc w:val="right"/>
              <w:ind w:right="305"/>
              <w:spacing w:after="0"/>
              <w:rPr>
                <w:sz w:val="20"/>
                <w:szCs w:val="20"/>
                <w:color w:val="auto"/>
              </w:rPr>
            </w:pPr>
            <w:r>
              <w:rPr>
                <w:rFonts w:ascii="Arial" w:cs="Arial" w:eastAsia="Arial" w:hAnsi="Arial"/>
                <w:sz w:val="15"/>
                <w:szCs w:val="15"/>
                <w:b w:val="1"/>
                <w:bCs w:val="1"/>
                <w:color w:val="auto"/>
              </w:rPr>
              <w:t>Nine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040" w:type="dxa"/>
            <w:vAlign w:val="bottom"/>
            <w:tcBorders>
              <w:bottom w:val="single" w:sz="8" w:color="auto"/>
            </w:tcBorders>
            <w:gridSpan w:val="5"/>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5"/>
                <w:szCs w:val="15"/>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Location of (Loss) Gain Recognized in Operations</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vMerge w:val="restart"/>
          </w:tcPr>
          <w:p>
            <w:pPr>
              <w:jc w:val="right"/>
              <w:ind w:right="525"/>
              <w:spacing w:after="0"/>
              <w:rPr>
                <w:sz w:val="20"/>
                <w:szCs w:val="20"/>
                <w:color w:val="auto"/>
              </w:rPr>
            </w:pPr>
            <w:r>
              <w:rPr>
                <w:rFonts w:ascii="Arial" w:cs="Arial" w:eastAsia="Arial" w:hAnsi="Arial"/>
                <w:sz w:val="15"/>
                <w:szCs w:val="15"/>
                <w:b w:val="1"/>
                <w:bCs w:val="1"/>
                <w:color w:val="auto"/>
              </w:rPr>
              <w:t>2021</w:t>
            </w:r>
          </w:p>
        </w:tc>
        <w:tc>
          <w:tcPr>
            <w:tcW w:w="340" w:type="dxa"/>
            <w:vAlign w:val="bottom"/>
          </w:tcPr>
          <w:p>
            <w:pPr>
              <w:spacing w:after="0" w:line="20" w:lineRule="exact"/>
              <w:rPr>
                <w:sz w:val="1"/>
                <w:szCs w:val="1"/>
                <w:color w:val="auto"/>
              </w:rPr>
            </w:pPr>
          </w:p>
        </w:tc>
        <w:tc>
          <w:tcPr>
            <w:tcW w:w="1140" w:type="dxa"/>
            <w:vAlign w:val="bottom"/>
            <w:vMerge w:val="restart"/>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from Derivatives</w:t>
            </w:r>
          </w:p>
        </w:tc>
        <w:tc>
          <w:tcPr>
            <w:tcW w:w="0" w:type="dxa"/>
            <w:vAlign w:val="bottom"/>
          </w:tcPr>
          <w:p>
            <w:pPr>
              <w:spacing w:after="0"/>
              <w:rPr>
                <w:sz w:val="1"/>
                <w:szCs w:val="1"/>
                <w:color w:val="auto"/>
              </w:rPr>
            </w:pPr>
          </w:p>
        </w:tc>
      </w:tr>
      <w:tr>
        <w:trPr>
          <w:trHeight w:val="199"/>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940" w:type="dxa"/>
            <w:vAlign w:val="bottom"/>
            <w:tcBorders>
              <w:bottom w:val="single" w:sz="8" w:color="CCEEFF"/>
            </w:tcBorders>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1,580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2,122</w:t>
            </w: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center"/>
              <w:ind w:left="705"/>
              <w:spacing w:after="0"/>
              <w:rPr>
                <w:sz w:val="20"/>
                <w:szCs w:val="20"/>
                <w:color w:val="auto"/>
              </w:rPr>
            </w:pPr>
            <w:r>
              <w:rPr>
                <w:rFonts w:ascii="Arial" w:cs="Arial" w:eastAsia="Arial" w:hAnsi="Arial"/>
                <w:sz w:val="15"/>
                <w:szCs w:val="15"/>
                <w:color w:val="auto"/>
                <w:w w:val="95"/>
              </w:rPr>
              <w:t>954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1,269</w:t>
            </w: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Arial" w:cs="Arial" w:eastAsia="Arial" w:hAnsi="Arial"/>
                <w:sz w:val="15"/>
                <w:szCs w:val="15"/>
                <w:color w:val="auto"/>
              </w:rPr>
              <w:t>Swaption</w:t>
            </w:r>
          </w:p>
        </w:tc>
        <w:tc>
          <w:tcPr>
            <w:tcW w:w="94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246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40" w:type="dxa"/>
            <w:vAlign w:val="bottom"/>
          </w:tcPr>
          <w:p>
            <w:pPr>
              <w:jc w:val="center"/>
              <w:ind w:left="705"/>
              <w:spacing w:after="0"/>
              <w:rPr>
                <w:sz w:val="20"/>
                <w:szCs w:val="20"/>
                <w:color w:val="auto"/>
              </w:rPr>
            </w:pPr>
            <w:r>
              <w:rPr>
                <w:rFonts w:ascii="Arial" w:cs="Arial" w:eastAsia="Arial" w:hAnsi="Arial"/>
                <w:sz w:val="15"/>
                <w:szCs w:val="15"/>
                <w:color w:val="auto"/>
                <w:w w:val="95"/>
              </w:rPr>
              <w:t>246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0"/>
              </w:rPr>
              <w:t>Net periodic settlements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(2,149)</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ind w:left="685"/>
              <w:spacing w:after="0"/>
              <w:rPr>
                <w:sz w:val="20"/>
                <w:szCs w:val="20"/>
                <w:color w:val="auto"/>
              </w:rPr>
            </w:pPr>
            <w:r>
              <w:rPr>
                <w:rFonts w:ascii="Arial" w:cs="Arial" w:eastAsia="Arial" w:hAnsi="Arial"/>
                <w:sz w:val="15"/>
                <w:szCs w:val="15"/>
                <w:color w:val="auto"/>
                <w:w w:val="96"/>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(1,279)</w:t>
            </w:r>
          </w:p>
        </w:tc>
        <w:tc>
          <w:tcPr>
            <w:tcW w:w="1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center"/>
              <w:ind w:left="705"/>
              <w:spacing w:after="0"/>
              <w:rPr>
                <w:sz w:val="20"/>
                <w:szCs w:val="20"/>
                <w:color w:val="auto"/>
              </w:rPr>
            </w:pPr>
            <w:r>
              <w:rPr>
                <w:rFonts w:ascii="Arial" w:cs="Arial" w:eastAsia="Arial" w:hAnsi="Arial"/>
                <w:sz w:val="15"/>
                <w:szCs w:val="15"/>
                <w:color w:val="auto"/>
                <w:w w:val="95"/>
              </w:rPr>
              <w:t>523</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5"/>
                <w:szCs w:val="15"/>
                <w:color w:val="auto"/>
              </w:rPr>
              <w:t>Change in fair value of derivative instruments, net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00" w:firstLine="298"/>
        <w:spacing w:after="0" w:line="249" w:lineRule="auto"/>
        <w:rPr>
          <w:sz w:val="20"/>
          <w:szCs w:val="20"/>
          <w:color w:val="auto"/>
        </w:rPr>
      </w:pPr>
      <w:r>
        <w:rPr>
          <w:rFonts w:ascii="Arial" w:cs="Arial" w:eastAsia="Arial" w:hAnsi="Arial"/>
          <w:sz w:val="17"/>
          <w:szCs w:val="17"/>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80" w:lineRule="exact"/>
        <w:rPr>
          <w:sz w:val="20"/>
          <w:szCs w:val="20"/>
          <w:color w:val="auto"/>
        </w:rPr>
      </w:pPr>
    </w:p>
    <w:p>
      <w:pPr>
        <w:jc w:val="both"/>
        <w:ind w:right="100" w:firstLine="298"/>
        <w:spacing w:after="0" w:line="370" w:lineRule="auto"/>
        <w:rPr>
          <w:sz w:val="20"/>
          <w:szCs w:val="20"/>
          <w:color w:val="auto"/>
        </w:rPr>
      </w:pPr>
      <w:r>
        <w:rPr>
          <w:rFonts w:ascii="Arial" w:cs="Arial" w:eastAsia="Arial" w:hAnsi="Arial"/>
          <w:sz w:val="14"/>
          <w:szCs w:val="14"/>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 w:lineRule="exact"/>
        <w:rPr>
          <w:sz w:val="20"/>
          <w:szCs w:val="20"/>
          <w:color w:val="auto"/>
        </w:rPr>
      </w:pPr>
    </w:p>
    <w:p>
      <w:pPr>
        <w:ind w:right="820" w:firstLine="298"/>
        <w:spacing w:after="0" w:line="264" w:lineRule="auto"/>
        <w:rPr>
          <w:sz w:val="20"/>
          <w:szCs w:val="20"/>
          <w:color w:val="auto"/>
        </w:rPr>
      </w:pPr>
      <w:r>
        <w:rPr>
          <w:rFonts w:ascii="Arial" w:cs="Arial" w:eastAsia="Arial" w:hAnsi="Arial"/>
          <w:sz w:val="17"/>
          <w:szCs w:val="17"/>
          <w:color w:val="auto"/>
        </w:rPr>
        <w:t>The following table summarizes the fair value of derivative instruments on the Company's condensed consolidated balance sheets and the effect of netting arrangements and collateral on its financial position:</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6" w:name="page37"/>
    <w:bookmarkEnd w:id="36"/>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Gross Amounts</w:t>
            </w:r>
          </w:p>
        </w:tc>
        <w:tc>
          <w:tcPr>
            <w:tcW w:w="28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Gross Amounts</w:t>
            </w:r>
          </w:p>
        </w:tc>
        <w:tc>
          <w:tcPr>
            <w:tcW w:w="120" w:type="dxa"/>
            <w:vAlign w:val="bottom"/>
          </w:tcPr>
          <w:p>
            <w:pPr>
              <w:spacing w:after="0"/>
              <w:rPr>
                <w:sz w:val="15"/>
                <w:szCs w:val="15"/>
                <w:color w:val="auto"/>
              </w:rPr>
            </w:pPr>
          </w:p>
        </w:tc>
        <w:tc>
          <w:tcPr>
            <w:tcW w:w="178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Net Amounts of</w:t>
            </w:r>
          </w:p>
        </w:tc>
      </w:tr>
      <w:tr>
        <w:trPr>
          <w:trHeight w:val="186"/>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of Recognized</w:t>
            </w:r>
          </w:p>
        </w:tc>
        <w:tc>
          <w:tcPr>
            <w:tcW w:w="280" w:type="dxa"/>
            <w:vAlign w:val="bottom"/>
          </w:tcPr>
          <w:p>
            <w:pPr>
              <w:spacing w:after="0"/>
              <w:rPr>
                <w:sz w:val="16"/>
                <w:szCs w:val="16"/>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Offset in the</w:t>
            </w:r>
          </w:p>
        </w:tc>
        <w:tc>
          <w:tcPr>
            <w:tcW w:w="120" w:type="dxa"/>
            <w:vAlign w:val="bottom"/>
          </w:tcPr>
          <w:p>
            <w:pPr>
              <w:spacing w:after="0"/>
              <w:rPr>
                <w:sz w:val="16"/>
                <w:szCs w:val="16"/>
                <w:color w:val="auto"/>
              </w:rPr>
            </w:pPr>
          </w:p>
        </w:tc>
        <w:tc>
          <w:tcPr>
            <w:tcW w:w="1780" w:type="dxa"/>
            <w:vAlign w:val="bottom"/>
          </w:tcPr>
          <w:p>
            <w:pPr>
              <w:jc w:val="center"/>
              <w:ind w:right="45"/>
              <w:spacing w:after="0"/>
              <w:rPr>
                <w:sz w:val="20"/>
                <w:szCs w:val="20"/>
                <w:color w:val="auto"/>
              </w:rPr>
            </w:pPr>
            <w:r>
              <w:rPr>
                <w:rFonts w:ascii="Arial" w:cs="Arial" w:eastAsia="Arial" w:hAnsi="Arial"/>
                <w:sz w:val="15"/>
                <w:szCs w:val="15"/>
                <w:b w:val="1"/>
                <w:bCs w:val="1"/>
                <w:color w:val="auto"/>
                <w:w w:val="89"/>
              </w:rPr>
              <w:t>Assets/(Liabilities) in the</w:t>
            </w: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Assets/(Liabilities)</w:t>
            </w:r>
          </w:p>
        </w:tc>
        <w:tc>
          <w:tcPr>
            <w:tcW w:w="28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Balance Sheet</w:t>
            </w:r>
          </w:p>
        </w:tc>
        <w:tc>
          <w:tcPr>
            <w:tcW w:w="120" w:type="dxa"/>
            <w:vAlign w:val="bottom"/>
          </w:tcPr>
          <w:p>
            <w:pPr>
              <w:spacing w:after="0"/>
              <w:rPr>
                <w:sz w:val="17"/>
                <w:szCs w:val="17"/>
                <w:color w:val="auto"/>
              </w:rPr>
            </w:pPr>
          </w:p>
        </w:tc>
        <w:tc>
          <w:tcPr>
            <w:tcW w:w="1780" w:type="dxa"/>
            <w:vAlign w:val="bottom"/>
          </w:tcPr>
          <w:p>
            <w:pPr>
              <w:jc w:val="center"/>
              <w:ind w:right="45"/>
              <w:spacing w:after="0"/>
              <w:rPr>
                <w:sz w:val="20"/>
                <w:szCs w:val="20"/>
                <w:color w:val="auto"/>
              </w:rPr>
            </w:pPr>
            <w:r>
              <w:rPr>
                <w:rFonts w:ascii="Arial" w:cs="Arial" w:eastAsia="Arial" w:hAnsi="Arial"/>
                <w:sz w:val="15"/>
                <w:szCs w:val="15"/>
                <w:b w:val="1"/>
                <w:bCs w:val="1"/>
                <w:color w:val="auto"/>
                <w:w w:val="87"/>
              </w:rPr>
              <w:t>Balance Sheet</w:t>
            </w:r>
          </w:p>
        </w:tc>
      </w:tr>
      <w:tr>
        <w:trPr>
          <w:trHeight w:val="19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September 30, 2022:</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340" w:type="dxa"/>
            <w:vAlign w:val="bottom"/>
          </w:tcPr>
          <w:p>
            <w:pPr>
              <w:ind w:left="140"/>
              <w:spacing w:after="0"/>
              <w:rPr>
                <w:sz w:val="20"/>
                <w:szCs w:val="20"/>
                <w:color w:val="auto"/>
              </w:rPr>
            </w:pPr>
            <w:r>
              <w:rPr>
                <w:rFonts w:ascii="Arial" w:cs="Arial" w:eastAsia="Arial" w:hAnsi="Arial"/>
                <w:sz w:val="15"/>
                <w:szCs w:val="15"/>
                <w:color w:val="auto"/>
              </w:rPr>
              <w:t>Interest rate swap asset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1,189</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ind w:left="14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1,189</w:t>
            </w:r>
          </w:p>
        </w:tc>
      </w:tr>
      <w:tr>
        <w:trPr>
          <w:trHeight w:val="31"/>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1"/>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Swaption asset</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w:t>
            </w:r>
          </w:p>
        </w:tc>
      </w:tr>
      <w:tr>
        <w:trPr>
          <w:trHeight w:val="191"/>
        </w:trPr>
        <w:tc>
          <w:tcPr>
            <w:tcW w:w="534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ind w:left="14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1,435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534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b w:val="1"/>
                <w:bCs w:val="1"/>
                <w:color w:val="auto"/>
              </w:rPr>
              <w:t>Balance, December 31, 2021:</w:t>
            </w:r>
          </w:p>
        </w:tc>
        <w:tc>
          <w:tcPr>
            <w:tcW w:w="22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r>
      <w:tr>
        <w:trPr>
          <w:trHeight w:val="193"/>
        </w:trPr>
        <w:tc>
          <w:tcPr>
            <w:tcW w:w="5340" w:type="dxa"/>
            <w:vAlign w:val="bottom"/>
          </w:tcPr>
          <w:p>
            <w:pPr>
              <w:ind w:left="140"/>
              <w:spacing w:after="0"/>
              <w:rPr>
                <w:sz w:val="20"/>
                <w:szCs w:val="20"/>
                <w:color w:val="auto"/>
              </w:rPr>
            </w:pPr>
            <w:r>
              <w:rPr>
                <w:rFonts w:ascii="Arial" w:cs="Arial" w:eastAsia="Arial" w:hAnsi="Arial"/>
                <w:sz w:val="15"/>
                <w:szCs w:val="15"/>
                <w:color w:val="auto"/>
              </w:rPr>
              <w:t>Interest rate swap liability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ind w:left="14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(992)</w:t>
            </w:r>
          </w:p>
        </w:tc>
      </w:tr>
    </w:tbl>
    <w:p>
      <w:pPr>
        <w:spacing w:after="0" w:line="2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collateral balances with counterparties outstanding as of the period-end dates.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Commodity swap contracts</w:t>
      </w:r>
    </w:p>
    <w:p>
      <w:pPr>
        <w:spacing w:after="0" w:line="140"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00"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17" w:lineRule="exact"/>
        <w:rPr>
          <w:sz w:val="20"/>
          <w:szCs w:val="20"/>
          <w:color w:val="auto"/>
        </w:rPr>
      </w:pPr>
    </w:p>
    <w:p>
      <w:pPr>
        <w:ind w:right="220" w:firstLine="298"/>
        <w:spacing w:after="0" w:line="264" w:lineRule="auto"/>
        <w:rPr>
          <w:sz w:val="20"/>
          <w:szCs w:val="20"/>
          <w:color w:val="auto"/>
        </w:rPr>
      </w:pPr>
      <w:r>
        <w:rPr>
          <w:rFonts w:ascii="Arial" w:cs="Arial" w:eastAsia="Arial" w:hAnsi="Arial"/>
          <w:sz w:val="17"/>
          <w:szCs w:val="17"/>
          <w:color w:val="auto"/>
        </w:rPr>
        <w:t>The following table summarizes the commodity swaps in place as of September 30, 2022 and December 31, 2021. There were no new commodity swap contracts entered during the nine months ended September 30, 2022.</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20" w:type="dxa"/>
            <w:vAlign w:val="bottom"/>
            <w:vMerge w:val="restart"/>
          </w:tcPr>
          <w:p>
            <w:pPr>
              <w:ind w:left="740"/>
              <w:spacing w:after="0"/>
              <w:rPr>
                <w:sz w:val="20"/>
                <w:szCs w:val="20"/>
                <w:color w:val="auto"/>
              </w:rPr>
            </w:pPr>
            <w:r>
              <w:rPr>
                <w:rFonts w:ascii="Arial" w:cs="Arial" w:eastAsia="Arial" w:hAnsi="Arial"/>
                <w:sz w:val="15"/>
                <w:szCs w:val="15"/>
                <w:b w:val="1"/>
                <w:bCs w:val="1"/>
                <w:color w:val="auto"/>
              </w:rPr>
              <w:t>Trade Date</w:t>
            </w:r>
          </w:p>
        </w:tc>
        <w:tc>
          <w:tcPr>
            <w:tcW w:w="80" w:type="dxa"/>
            <w:vAlign w:val="bottom"/>
            <w:vMerge w:val="restart"/>
          </w:tcPr>
          <w:p>
            <w:pPr>
              <w:spacing w:after="0"/>
              <w:rPr>
                <w:sz w:val="16"/>
                <w:szCs w:val="16"/>
                <w:color w:val="auto"/>
              </w:rPr>
            </w:pPr>
          </w:p>
        </w:tc>
        <w:tc>
          <w:tcPr>
            <w:tcW w:w="1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Period From</w:t>
            </w:r>
          </w:p>
        </w:tc>
        <w:tc>
          <w:tcPr>
            <w:tcW w:w="120" w:type="dxa"/>
            <w:vAlign w:val="bottom"/>
            <w:vMerge w:val="restart"/>
          </w:tcPr>
          <w:p>
            <w:pPr>
              <w:spacing w:after="0"/>
              <w:rPr>
                <w:sz w:val="16"/>
                <w:szCs w:val="16"/>
                <w:color w:val="auto"/>
              </w:rPr>
            </w:pPr>
          </w:p>
        </w:tc>
        <w:tc>
          <w:tcPr>
            <w:tcW w:w="2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Period To</w:t>
            </w:r>
          </w:p>
        </w:tc>
        <w:tc>
          <w:tcPr>
            <w:tcW w:w="100" w:type="dxa"/>
            <w:vAlign w:val="bottom"/>
            <w:vMerge w:val="restart"/>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5"/>
                <w:szCs w:val="15"/>
                <w:b w:val="1"/>
                <w:bCs w:val="1"/>
                <w:color w:val="auto"/>
              </w:rPr>
              <w:t>Notional Quantity per</w:t>
            </w:r>
          </w:p>
        </w:tc>
        <w:tc>
          <w:tcPr>
            <w:tcW w:w="100" w:type="dxa"/>
            <w:vAlign w:val="bottom"/>
          </w:tcPr>
          <w:p>
            <w:pPr>
              <w:spacing w:after="0"/>
              <w:rPr>
                <w:sz w:val="16"/>
                <w:szCs w:val="16"/>
                <w:color w:val="auto"/>
              </w:rPr>
            </w:pPr>
          </w:p>
        </w:tc>
        <w:tc>
          <w:tcPr>
            <w:tcW w:w="1940" w:type="dxa"/>
            <w:vAlign w:val="bottom"/>
          </w:tcPr>
          <w:p>
            <w:pPr>
              <w:jc w:val="right"/>
              <w:ind w:right="45"/>
              <w:spacing w:after="0"/>
              <w:rPr>
                <w:sz w:val="20"/>
                <w:szCs w:val="20"/>
                <w:color w:val="auto"/>
              </w:rPr>
            </w:pPr>
            <w:r>
              <w:rPr>
                <w:rFonts w:ascii="Arial" w:cs="Arial" w:eastAsia="Arial" w:hAnsi="Arial"/>
                <w:sz w:val="15"/>
                <w:szCs w:val="15"/>
                <w:b w:val="1"/>
                <w:bCs w:val="1"/>
                <w:color w:val="auto"/>
                <w:w w:val="90"/>
              </w:rPr>
              <w:t>Average Contract Price (per</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Year (“MWh”)</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b w:val="1"/>
                <w:bCs w:val="1"/>
                <w:color w:val="auto"/>
              </w:rPr>
              <w:t>MWh)</w:t>
            </w:r>
          </w:p>
        </w:tc>
        <w:tc>
          <w:tcPr>
            <w:tcW w:w="0" w:type="dxa"/>
            <w:vAlign w:val="bottom"/>
          </w:tcPr>
          <w:p>
            <w:pPr>
              <w:spacing w:after="0"/>
              <w:rPr>
                <w:sz w:val="1"/>
                <w:szCs w:val="1"/>
                <w:color w:val="auto"/>
              </w:rPr>
            </w:pPr>
          </w:p>
        </w:tc>
      </w:tr>
      <w:tr>
        <w:trPr>
          <w:trHeight w:val="20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14, 2018</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January 1, 2019</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88"/>
              </w:rPr>
              <w:t>September 30, 2022</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66.12</w:t>
            </w:r>
          </w:p>
        </w:tc>
        <w:tc>
          <w:tcPr>
            <w:tcW w:w="0" w:type="dxa"/>
            <w:vAlign w:val="bottom"/>
          </w:tcPr>
          <w:p>
            <w:pPr>
              <w:spacing w:after="0"/>
              <w:rPr>
                <w:sz w:val="1"/>
                <w:szCs w:val="1"/>
                <w:color w:val="auto"/>
              </w:rPr>
            </w:pPr>
          </w:p>
        </w:tc>
      </w:tr>
      <w:tr>
        <w:trPr>
          <w:trHeight w:val="202"/>
        </w:trPr>
        <w:tc>
          <w:tcPr>
            <w:tcW w:w="2300" w:type="dxa"/>
            <w:vAlign w:val="bottom"/>
            <w:gridSpan w:val="2"/>
          </w:tcPr>
          <w:p>
            <w:pPr>
              <w:ind w:left="20"/>
              <w:spacing w:after="0"/>
              <w:rPr>
                <w:sz w:val="20"/>
                <w:szCs w:val="20"/>
                <w:color w:val="auto"/>
              </w:rPr>
            </w:pPr>
            <w:r>
              <w:rPr>
                <w:rFonts w:ascii="Arial" w:cs="Arial" w:eastAsia="Arial" w:hAnsi="Arial"/>
                <w:sz w:val="15"/>
                <w:szCs w:val="15"/>
                <w:color w:val="auto"/>
              </w:rPr>
              <w:t>October 28, 2021</w:t>
            </w:r>
          </w:p>
        </w:tc>
        <w:tc>
          <w:tcPr>
            <w:tcW w:w="200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November 1, 2021</w:t>
            </w:r>
          </w:p>
        </w:tc>
        <w:tc>
          <w:tcPr>
            <w:tcW w:w="2280" w:type="dxa"/>
            <w:vAlign w:val="bottom"/>
            <w:gridSpan w:val="2"/>
          </w:tcPr>
          <w:p>
            <w:pPr>
              <w:jc w:val="center"/>
              <w:ind w:right="100"/>
              <w:spacing w:after="0"/>
              <w:rPr>
                <w:sz w:val="20"/>
                <w:szCs w:val="20"/>
                <w:color w:val="auto"/>
              </w:rPr>
            </w:pPr>
            <w:r>
              <w:rPr>
                <w:rFonts w:ascii="Arial" w:cs="Arial" w:eastAsia="Arial" w:hAnsi="Arial"/>
                <w:sz w:val="15"/>
                <w:szCs w:val="15"/>
                <w:color w:val="auto"/>
                <w:w w:val="89"/>
              </w:rPr>
              <w:t>December 31, 2022</w:t>
            </w:r>
          </w:p>
        </w:tc>
        <w:tc>
          <w:tcPr>
            <w:tcW w:w="1580" w:type="dxa"/>
            <w:vAlign w:val="bottom"/>
          </w:tcPr>
          <w:p>
            <w:pPr>
              <w:jc w:val="right"/>
              <w:spacing w:after="0"/>
              <w:rPr>
                <w:sz w:val="20"/>
                <w:szCs w:val="20"/>
                <w:color w:val="auto"/>
              </w:rPr>
            </w:pPr>
            <w:r>
              <w:rPr>
                <w:rFonts w:ascii="Arial" w:cs="Arial" w:eastAsia="Arial" w:hAnsi="Arial"/>
                <w:sz w:val="15"/>
                <w:szCs w:val="15"/>
                <w:color w:val="auto"/>
              </w:rPr>
              <w:t>30,660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48.75</w:t>
            </w: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27, 2021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January 1, 2022</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December 31,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50.75</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summarizes the effect of commodity swaps on the condensed consolidated statements of operations for the three and nine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1720" w:type="dxa"/>
            <w:vAlign w:val="bottom"/>
            <w:vMerge w:val="restart"/>
          </w:tcPr>
          <w:p>
            <w:pPr>
              <w:ind w:left="120"/>
              <w:spacing w:after="0"/>
              <w:rPr>
                <w:sz w:val="20"/>
                <w:szCs w:val="20"/>
                <w:color w:val="auto"/>
              </w:rPr>
            </w:pPr>
            <w:r>
              <w:rPr>
                <w:rFonts w:ascii="Arial" w:cs="Arial" w:eastAsia="Arial" w:hAnsi="Arial"/>
                <w:sz w:val="15"/>
                <w:szCs w:val="15"/>
                <w:b w:val="1"/>
                <w:bCs w:val="1"/>
                <w:color w:val="auto"/>
                <w:w w:val="98"/>
              </w:rPr>
              <w:t>Location of (loss) gain</w:t>
            </w:r>
          </w:p>
        </w:tc>
        <w:tc>
          <w:tcPr>
            <w:tcW w:w="12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Arial" w:cs="Arial" w:eastAsia="Arial" w:hAnsi="Arial"/>
                <w:sz w:val="15"/>
                <w:szCs w:val="15"/>
                <w:b w:val="1"/>
                <w:bCs w:val="1"/>
                <w:color w:val="auto"/>
                <w:w w:val="97"/>
              </w:rPr>
              <w:t>Three Months Ended September 30,</w:t>
            </w:r>
          </w:p>
        </w:tc>
        <w:tc>
          <w:tcPr>
            <w:tcW w:w="2300" w:type="dxa"/>
            <w:vAlign w:val="bottom"/>
            <w:gridSpan w:val="5"/>
          </w:tcPr>
          <w:p>
            <w:pPr>
              <w:jc w:val="right"/>
              <w:spacing w:after="0"/>
              <w:rPr>
                <w:sz w:val="20"/>
                <w:szCs w:val="20"/>
                <w:color w:val="auto"/>
              </w:rPr>
            </w:pPr>
            <w:r>
              <w:rPr>
                <w:rFonts w:ascii="Arial" w:cs="Arial" w:eastAsia="Arial" w:hAnsi="Arial"/>
                <w:sz w:val="15"/>
                <w:szCs w:val="15"/>
                <w:b w:val="1"/>
                <w:bCs w:val="1"/>
                <w:color w:val="auto"/>
                <w:w w:val="90"/>
              </w:rPr>
              <w:t>Nine Months Ended September 30,</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0"/>
              </w:rPr>
              <w:t>Derivatives not designated as hedging instruments</w:t>
            </w:r>
          </w:p>
        </w:tc>
        <w:tc>
          <w:tcPr>
            <w:tcW w:w="1720" w:type="dxa"/>
            <w:vAlign w:val="bottom"/>
            <w:vMerge w:val="continue"/>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2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3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36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recognized</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Commodity swaps - realized loss</w:t>
            </w:r>
          </w:p>
        </w:tc>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Revenues - Renewable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CCEEFF"/>
          </w:tcPr>
          <w:p>
            <w:pPr>
              <w:jc w:val="center"/>
              <w:ind w:left="685"/>
              <w:spacing w:after="0"/>
              <w:rPr>
                <w:sz w:val="20"/>
                <w:szCs w:val="20"/>
                <w:color w:val="auto"/>
              </w:rPr>
            </w:pPr>
            <w:r>
              <w:rPr>
                <w:rFonts w:ascii="Arial" w:cs="Arial" w:eastAsia="Arial" w:hAnsi="Arial"/>
                <w:sz w:val="15"/>
                <w:szCs w:val="15"/>
                <w:color w:val="auto"/>
                <w:w w:val="91"/>
              </w:rPr>
              <w:t>(744)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(931)</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5"/>
        </w:trPr>
        <w:tc>
          <w:tcPr>
            <w:tcW w:w="3320" w:type="dxa"/>
            <w:vAlign w:val="bottom"/>
            <w:vMerge w:val="continue"/>
            <w:shd w:val="clear" w:color="auto" w:fill="CCEEFF"/>
          </w:tcPr>
          <w:p>
            <w:pPr>
              <w:spacing w:after="0"/>
              <w:rPr>
                <w:sz w:val="16"/>
                <w:szCs w:val="16"/>
                <w:color w:val="auto"/>
              </w:rPr>
            </w:pPr>
          </w:p>
        </w:tc>
        <w:tc>
          <w:tcPr>
            <w:tcW w:w="1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power</w:t>
            </w:r>
          </w:p>
        </w:tc>
        <w:tc>
          <w:tcPr>
            <w:tcW w:w="12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vMerge w:val="restart"/>
          </w:tcPr>
          <w:p>
            <w:pPr>
              <w:ind w:left="20"/>
              <w:spacing w:after="0"/>
              <w:rPr>
                <w:sz w:val="20"/>
                <w:szCs w:val="20"/>
                <w:color w:val="auto"/>
              </w:rPr>
            </w:pPr>
            <w:r>
              <w:rPr>
                <w:rFonts w:ascii="Arial" w:cs="Arial" w:eastAsia="Arial" w:hAnsi="Arial"/>
                <w:sz w:val="15"/>
                <w:szCs w:val="15"/>
                <w:color w:val="auto"/>
              </w:rPr>
              <w:t>Commodity swaps - unrealized gain (loss)</w:t>
            </w:r>
          </w:p>
        </w:tc>
        <w:tc>
          <w:tcPr>
            <w:tcW w:w="1720" w:type="dxa"/>
            <w:vAlign w:val="bottom"/>
          </w:tcPr>
          <w:p>
            <w:pPr>
              <w:ind w:left="120"/>
              <w:spacing w:after="0" w:line="154" w:lineRule="exact"/>
              <w:rPr>
                <w:sz w:val="20"/>
                <w:szCs w:val="20"/>
                <w:color w:val="auto"/>
              </w:rPr>
            </w:pPr>
            <w:r>
              <w:rPr>
                <w:rFonts w:ascii="Arial" w:cs="Arial" w:eastAsia="Arial" w:hAnsi="Arial"/>
                <w:sz w:val="15"/>
                <w:szCs w:val="15"/>
                <w:color w:val="auto"/>
              </w:rPr>
              <w:t>Revenues - Renewable</w:t>
            </w:r>
          </w:p>
        </w:tc>
        <w:tc>
          <w:tcPr>
            <w:tcW w:w="120" w:type="dxa"/>
            <w:vAlign w:val="bottom"/>
          </w:tcPr>
          <w:p>
            <w:pPr>
              <w:spacing w:after="0"/>
              <w:rPr>
                <w:sz w:val="13"/>
                <w:szCs w:val="13"/>
                <w:color w:val="auto"/>
              </w:rPr>
            </w:pPr>
          </w:p>
        </w:tc>
        <w:tc>
          <w:tcPr>
            <w:tcW w:w="1160" w:type="dxa"/>
            <w:vAlign w:val="bottom"/>
            <w:vMerge w:val="restart"/>
          </w:tcPr>
          <w:p>
            <w:pPr>
              <w:jc w:val="center"/>
              <w:ind w:left="725"/>
              <w:spacing w:after="0"/>
              <w:rPr>
                <w:sz w:val="20"/>
                <w:szCs w:val="20"/>
                <w:color w:val="auto"/>
              </w:rPr>
            </w:pPr>
            <w:r>
              <w:rPr>
                <w:rFonts w:ascii="Arial" w:cs="Arial" w:eastAsia="Arial" w:hAnsi="Arial"/>
                <w:sz w:val="15"/>
                <w:szCs w:val="15"/>
                <w:color w:val="auto"/>
                <w:w w:val="95"/>
              </w:rPr>
              <w:t>161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(895)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power</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Total realized and unrealized gain (loss)</w:t>
            </w:r>
          </w:p>
        </w:tc>
        <w:tc>
          <w:tcPr>
            <w:tcW w:w="1720" w:type="dxa"/>
            <w:vAlign w:val="bottom"/>
            <w:shd w:val="clear" w:color="auto" w:fill="CCEEFF"/>
          </w:tcPr>
          <w:p>
            <w:pPr>
              <w:ind w:left="120"/>
              <w:spacing w:after="0" w:line="136" w:lineRule="exact"/>
              <w:rPr>
                <w:sz w:val="20"/>
                <w:szCs w:val="20"/>
                <w:color w:val="auto"/>
              </w:rPr>
            </w:pPr>
            <w:r>
              <w:rPr>
                <w:rFonts w:ascii="Arial" w:cs="Arial" w:eastAsia="Arial" w:hAnsi="Arial"/>
                <w:sz w:val="15"/>
                <w:szCs w:val="15"/>
                <w:color w:val="auto"/>
              </w:rPr>
              <w:t>Revenues - Renewable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CCEEFF"/>
          </w:tcPr>
          <w:p>
            <w:pPr>
              <w:jc w:val="center"/>
              <w:ind w:left="685"/>
              <w:spacing w:after="0"/>
              <w:rPr>
                <w:sz w:val="20"/>
                <w:szCs w:val="20"/>
                <w:color w:val="auto"/>
              </w:rPr>
            </w:pPr>
            <w:r>
              <w:rPr>
                <w:rFonts w:ascii="Arial" w:cs="Arial" w:eastAsia="Arial" w:hAnsi="Arial"/>
                <w:sz w:val="15"/>
                <w:szCs w:val="15"/>
                <w:color w:val="auto"/>
                <w:w w:val="91"/>
              </w:rPr>
              <w:t>(583)</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(1,706)</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(2,655)</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vMerge w:val="continue"/>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5"/>
                <w:szCs w:val="15"/>
                <w:color w:val="auto"/>
              </w:rPr>
              <w:t>power</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derivative assets and liabilities related to commodity swaps as of September 30, 2022 and December 31, 2021</w:t>
      </w:r>
    </w:p>
    <w:p>
      <w:pPr>
        <w:spacing w:after="0" w:line="200" w:lineRule="exact"/>
        <w:rPr>
          <w:sz w:val="20"/>
          <w:szCs w:val="20"/>
          <w:color w:val="auto"/>
        </w:rPr>
      </w:pPr>
    </w:p>
    <w:p>
      <w:pPr>
        <w:spacing w:after="0" w:line="30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Fair Value</w:t>
            </w:r>
          </w:p>
        </w:tc>
        <w:tc>
          <w:tcPr>
            <w:tcW w:w="1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b w:val="1"/>
                <w:bCs w:val="1"/>
                <w:color w:val="auto"/>
                <w:w w:val="99"/>
              </w:rPr>
              <w:t>Location of Fair value recognized in</w:t>
            </w: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2022</w:t>
            </w:r>
          </w:p>
        </w:tc>
        <w:tc>
          <w:tcPr>
            <w:tcW w:w="340" w:type="dxa"/>
            <w:vAlign w:val="bottom"/>
          </w:tcPr>
          <w:p>
            <w:pPr>
              <w:spacing w:after="0"/>
              <w:rPr>
                <w:sz w:val="18"/>
                <w:szCs w:val="18"/>
                <w:color w:val="auto"/>
              </w:rPr>
            </w:pPr>
          </w:p>
        </w:tc>
        <w:tc>
          <w:tcPr>
            <w:tcW w:w="1720" w:type="dxa"/>
            <w:vAlign w:val="bottom"/>
          </w:tcPr>
          <w:p>
            <w:pPr>
              <w:jc w:val="right"/>
              <w:ind w:right="277"/>
              <w:spacing w:after="0"/>
              <w:rPr>
                <w:sz w:val="20"/>
                <w:szCs w:val="20"/>
                <w:color w:val="auto"/>
              </w:rPr>
            </w:pPr>
            <w:r>
              <w:rPr>
                <w:rFonts w:ascii="Arial" w:cs="Arial" w:eastAsia="Arial" w:hAnsi="Arial"/>
                <w:sz w:val="17"/>
                <w:szCs w:val="17"/>
                <w:b w:val="1"/>
                <w:bCs w:val="1"/>
                <w:color w:val="auto"/>
                <w:w w:val="87"/>
              </w:rPr>
              <w:t>December 31, 2021</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b w:val="1"/>
                <w:bCs w:val="1"/>
                <w:color w:val="auto"/>
              </w:rPr>
              <w:t>Balance Sheet</w:t>
            </w:r>
          </w:p>
        </w:tc>
      </w:tr>
      <w:tr>
        <w:trPr>
          <w:trHeight w:val="191"/>
        </w:trPr>
        <w:tc>
          <w:tcPr>
            <w:tcW w:w="384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7"/>
                <w:szCs w:val="17"/>
                <w:color w:val="auto"/>
              </w:rPr>
              <w:t>Derivatives designated as economic hedges</w:t>
            </w:r>
          </w:p>
        </w:tc>
        <w:tc>
          <w:tcPr>
            <w:tcW w:w="2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r>
      <w:tr>
        <w:trPr>
          <w:trHeight w:val="211"/>
        </w:trPr>
        <w:tc>
          <w:tcPr>
            <w:tcW w:w="3840" w:type="dxa"/>
            <w:vAlign w:val="bottom"/>
          </w:tcPr>
          <w:p>
            <w:pPr>
              <w:ind w:left="20"/>
              <w:spacing w:after="0"/>
              <w:rPr>
                <w:sz w:val="20"/>
                <w:szCs w:val="20"/>
                <w:color w:val="auto"/>
              </w:rPr>
            </w:pPr>
            <w:r>
              <w:rPr>
                <w:rFonts w:ascii="Arial" w:cs="Arial" w:eastAsia="Arial" w:hAnsi="Arial"/>
                <w:sz w:val="17"/>
                <w:szCs w:val="17"/>
                <w:color w:val="auto"/>
                <w:w w:val="91"/>
              </w:rPr>
              <w:t>Current portion of unrealized gain on commodity swaps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382</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color w:val="auto"/>
                <w:w w:val="93"/>
              </w:rPr>
              <w:t>Derivative financial asset, current portion</w:t>
            </w:r>
          </w:p>
        </w:tc>
      </w:tr>
      <w:tr>
        <w:trPr>
          <w:trHeight w:val="211"/>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Current portion of unrealized loss on commodity swaps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Derivative financial liability, current portio</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derivative liabilities</w:t>
      </w:r>
    </w:p>
    <w:p>
      <w:pPr>
        <w:spacing w:after="0" w:line="103" w:lineRule="exact"/>
        <w:rPr>
          <w:sz w:val="20"/>
          <w:szCs w:val="20"/>
          <w:color w:val="auto"/>
        </w:rPr>
      </w:pPr>
    </w:p>
    <w:p>
      <w:pPr>
        <w:jc w:val="both"/>
        <w:ind w:right="100" w:firstLine="597"/>
        <w:spacing w:after="0" w:line="250" w:lineRule="auto"/>
        <w:rPr>
          <w:sz w:val="20"/>
          <w:szCs w:val="20"/>
          <w:color w:val="auto"/>
        </w:rPr>
      </w:pPr>
      <w:r>
        <w:rPr>
          <w:rFonts w:ascii="Arial" w:cs="Arial" w:eastAsia="Arial" w:hAnsi="Arial"/>
          <w:sz w:val="17"/>
          <w:szCs w:val="17"/>
          <w:color w:val="auto"/>
        </w:rPr>
        <w:t xml:space="preserve">On July 21, 2022, the Company recorded derivative liabilities for the outstanding Public Warrants and Private Warrants, put option to Meteora, the Sponsor Earnout Awards and the OPAL Earnout Awards. Please see Note 3,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for additional information. The change in fair value on these derivative instruments in recorded as change in fair value of derivative instruments, net in the condensed consolidated statement of operations for the three and nine months ended September 30, 2022.</w:t>
      </w:r>
    </w:p>
    <w:p>
      <w:pPr>
        <w:spacing w:after="0" w:line="80" w:lineRule="exact"/>
        <w:rPr>
          <w:sz w:val="20"/>
          <w:szCs w:val="20"/>
          <w:color w:val="auto"/>
        </w:rPr>
      </w:pPr>
    </w:p>
    <w:p>
      <w:pPr>
        <w:jc w:val="both"/>
        <w:ind w:right="100" w:firstLine="597"/>
        <w:spacing w:after="0" w:line="264" w:lineRule="auto"/>
        <w:rPr>
          <w:sz w:val="20"/>
          <w:szCs w:val="20"/>
          <w:color w:val="auto"/>
        </w:rPr>
      </w:pPr>
      <w:r>
        <w:rPr>
          <w:rFonts w:ascii="Arial" w:cs="Arial" w:eastAsia="Arial" w:hAnsi="Arial"/>
          <w:sz w:val="17"/>
          <w:szCs w:val="17"/>
          <w:color w:val="auto"/>
        </w:rPr>
        <w:t>The following table summarizes the effect of change in fair value of other derivative liabilities on the condensed consolidated statements of operations for the three and nine months ended September 30, 2022 and 2021:</w:t>
      </w:r>
    </w:p>
    <w:p>
      <w:pPr>
        <w:spacing w:after="0" w:line="84" w:lineRule="exact"/>
        <w:rPr>
          <w:sz w:val="20"/>
          <w:szCs w:val="20"/>
          <w:color w:val="auto"/>
        </w:rPr>
      </w:pPr>
    </w:p>
    <w:tbl>
      <w:tblPr>
        <w:tblLayout w:type="fixed"/>
        <w:tblInd w:w="600" w:type="dxa"/>
        <w:tblCellMar>
          <w:top w:w="0" w:type="dxa"/>
          <w:left w:w="0" w:type="dxa"/>
          <w:bottom w:w="0" w:type="dxa"/>
          <w:right w:w="0" w:type="dxa"/>
        </w:tblCellMar>
      </w:tblPr>
      <w:tr>
        <w:trPr>
          <w:trHeight w:val="398"/>
        </w:trPr>
        <w:tc>
          <w:tcPr>
            <w:tcW w:w="15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w w:val="96"/>
              </w:rPr>
              <w:t>Derivative liability</w:t>
            </w:r>
          </w:p>
        </w:tc>
        <w:tc>
          <w:tcPr>
            <w:tcW w:w="100" w:type="dxa"/>
            <w:vAlign w:val="bottom"/>
            <w:tcBorders>
              <w:top w:val="single" w:sz="8" w:color="CCEEFF"/>
            </w:tcBorders>
            <w:shd w:val="clear" w:color="auto" w:fill="CCEEFF"/>
          </w:tcPr>
          <w:p>
            <w:pPr>
              <w:spacing w:after="0"/>
              <w:rPr>
                <w:sz w:val="24"/>
                <w:szCs w:val="24"/>
                <w:color w:val="auto"/>
              </w:rPr>
            </w:pPr>
          </w:p>
        </w:tc>
        <w:tc>
          <w:tcPr>
            <w:tcW w:w="2660" w:type="dxa"/>
            <w:vAlign w:val="bottom"/>
            <w:tcBorders>
              <w:top w:val="single" w:sz="8" w:color="auto"/>
              <w:bottom w:val="single" w:sz="8" w:color="auto"/>
            </w:tcBorders>
            <w:gridSpan w:val="5"/>
            <w:shd w:val="clear" w:color="auto" w:fill="CCEEFF"/>
          </w:tcPr>
          <w:p>
            <w:pPr>
              <w:ind w:left="40"/>
              <w:spacing w:after="0"/>
              <w:rPr>
                <w:sz w:val="20"/>
                <w:szCs w:val="20"/>
                <w:color w:val="auto"/>
              </w:rPr>
            </w:pPr>
            <w:r>
              <w:rPr>
                <w:rFonts w:ascii="Arial" w:cs="Arial" w:eastAsia="Arial" w:hAnsi="Arial"/>
                <w:sz w:val="17"/>
                <w:szCs w:val="17"/>
                <w:b w:val="1"/>
                <w:bCs w:val="1"/>
                <w:color w:val="auto"/>
                <w:w w:val="89"/>
              </w:rPr>
              <w:t>Three Months Ended September 30,</w:t>
            </w: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2580" w:type="dxa"/>
            <w:vAlign w:val="bottom"/>
            <w:tcBorders>
              <w:top w:val="single" w:sz="8" w:color="auto"/>
              <w:bottom w:val="single" w:sz="8" w:color="auto"/>
            </w:tcBorders>
            <w:gridSpan w:val="4"/>
            <w:shd w:val="clear" w:color="auto" w:fill="CCEEFF"/>
          </w:tcPr>
          <w:p>
            <w:pPr>
              <w:spacing w:after="0"/>
              <w:rPr>
                <w:sz w:val="20"/>
                <w:szCs w:val="20"/>
                <w:color w:val="auto"/>
              </w:rPr>
            </w:pPr>
            <w:r>
              <w:rPr>
                <w:rFonts w:ascii="Arial" w:cs="Arial" w:eastAsia="Arial" w:hAnsi="Arial"/>
                <w:sz w:val="17"/>
                <w:szCs w:val="17"/>
                <w:b w:val="1"/>
                <w:bCs w:val="1"/>
                <w:color w:val="auto"/>
                <w:w w:val="91"/>
              </w:rPr>
              <w:t>Nine Months Ended September 30,</w:t>
            </w:r>
          </w:p>
        </w:tc>
        <w:tc>
          <w:tcPr>
            <w:tcW w:w="80" w:type="dxa"/>
            <w:vAlign w:val="bottom"/>
            <w:tcBorders>
              <w:top w:val="single" w:sz="8" w:color="CCEEFF"/>
            </w:tcBorders>
            <w:shd w:val="clear" w:color="auto" w:fill="CCEEFF"/>
          </w:tcPr>
          <w:p>
            <w:pPr>
              <w:spacing w:after="0"/>
              <w:rPr>
                <w:sz w:val="24"/>
                <w:szCs w:val="24"/>
                <w:color w:val="auto"/>
              </w:rPr>
            </w:pPr>
          </w:p>
        </w:tc>
        <w:tc>
          <w:tcPr>
            <w:tcW w:w="33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Location of (Loss) Gain Recognized in Operations</w:t>
            </w:r>
          </w:p>
        </w:tc>
      </w:tr>
      <w:tr>
        <w:trPr>
          <w:trHeight w:val="216"/>
        </w:trPr>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from Derivatives</w:t>
            </w: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r>
      <w:tr>
        <w:trPr>
          <w:trHeight w:val="211"/>
        </w:trPr>
        <w:tc>
          <w:tcPr>
            <w:tcW w:w="1620" w:type="dxa"/>
            <w:vAlign w:val="bottom"/>
            <w:gridSpan w:val="2"/>
          </w:tcPr>
          <w:p>
            <w:pPr>
              <w:ind w:left="20"/>
              <w:spacing w:after="0"/>
              <w:rPr>
                <w:sz w:val="20"/>
                <w:szCs w:val="20"/>
                <w:color w:val="auto"/>
              </w:rPr>
            </w:pPr>
            <w:r>
              <w:rPr>
                <w:rFonts w:ascii="Arial" w:cs="Arial" w:eastAsia="Arial" w:hAnsi="Arial"/>
                <w:sz w:val="17"/>
                <w:szCs w:val="17"/>
                <w:color w:val="auto"/>
                <w:w w:val="97"/>
              </w:rPr>
              <w:t>Put option to Meteora</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8"/>
                <w:szCs w:val="18"/>
                <w:color w:val="auto"/>
              </w:rPr>
            </w:pPr>
          </w:p>
        </w:tc>
        <w:tc>
          <w:tcPr>
            <w:tcW w:w="780" w:type="dxa"/>
            <w:vAlign w:val="bottom"/>
          </w:tcPr>
          <w:p>
            <w:pPr>
              <w:jc w:val="right"/>
              <w:ind w:right="597"/>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r>
      <w:tr>
        <w:trPr>
          <w:trHeight w:val="174"/>
        </w:trPr>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Sponsor Earnout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r>
      <w:tr>
        <w:trPr>
          <w:trHeight w:val="211"/>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Awards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360" w:type="dxa"/>
            <w:vAlign w:val="bottom"/>
            <w:shd w:val="clear" w:color="auto" w:fill="CCEEFF"/>
          </w:tcPr>
          <w:p>
            <w:pPr>
              <w:spacing w:after="0"/>
              <w:rPr>
                <w:sz w:val="18"/>
                <w:szCs w:val="18"/>
                <w:color w:val="auto"/>
              </w:rPr>
            </w:pPr>
          </w:p>
        </w:tc>
      </w:tr>
      <w:tr>
        <w:trPr>
          <w:trHeight w:val="174"/>
        </w:trPr>
        <w:tc>
          <w:tcPr>
            <w:tcW w:w="162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OPAL Earnout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11"/>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Awards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5,300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r>
      <w:tr>
        <w:trPr>
          <w:trHeight w:val="211"/>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Public Warrants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360" w:type="dxa"/>
            <w:vAlign w:val="bottom"/>
            <w:shd w:val="clear" w:color="auto" w:fill="CCEEFF"/>
          </w:tcPr>
          <w:p>
            <w:pPr>
              <w:spacing w:after="0"/>
              <w:rPr>
                <w:sz w:val="18"/>
                <w:szCs w:val="18"/>
                <w:color w:val="auto"/>
              </w:rPr>
            </w:pPr>
          </w:p>
        </w:tc>
      </w:tr>
      <w:tr>
        <w:trPr>
          <w:trHeight w:val="211"/>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Private Warrants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(5,309)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r>
      <w:tr>
        <w:trPr>
          <w:trHeight w:val="229"/>
        </w:trPr>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4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88"/>
              </w:rPr>
              <w:t>Change in fair value of derivative instruments, net</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8" w:name="page39"/>
    <w:bookmarkEnd w:id="38"/>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3"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75"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carrying value of the Company's long-term debt of $82,896 and $134,083 as of September 30, 2022 and December 31, 2021, respectively, represents the total amount to be repaid if the debt has to be discharged in full and therefore approximates its fair value.</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The Company follows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regarding fair value measurements which establishes a three-tier fair value hierarchy and prioritizes the inputs used in valuation techniques that measure fair value. These tiers include:</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 — defined as observable inputs such as quoted prices for identical instruments in active markets;</w:t>
      </w:r>
    </w:p>
    <w:p>
      <w:pPr>
        <w:spacing w:after="0" w:line="140" w:lineRule="exact"/>
        <w:rPr>
          <w:sz w:val="20"/>
          <w:szCs w:val="20"/>
          <w:color w:val="auto"/>
        </w:rPr>
      </w:pPr>
    </w:p>
    <w:p>
      <w:pPr>
        <w:ind w:left="300"/>
        <w:spacing w:after="0" w:line="264" w:lineRule="auto"/>
        <w:rPr>
          <w:sz w:val="20"/>
          <w:szCs w:val="20"/>
          <w:color w:val="auto"/>
        </w:rPr>
      </w:pPr>
      <w:r>
        <w:rPr>
          <w:rFonts w:ascii="Arial" w:cs="Arial" w:eastAsia="Arial" w:hAnsi="Arial"/>
          <w:sz w:val="17"/>
          <w:szCs w:val="17"/>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3 — defined as unobservable inputs in which little or no market data exists, therefore requiring an entity to develop its own assumptions.</w:t>
      </w:r>
    </w:p>
    <w:p>
      <w:pPr>
        <w:spacing w:after="0" w:line="103"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75" w:lineRule="exact"/>
        <w:rPr>
          <w:sz w:val="20"/>
          <w:szCs w:val="20"/>
          <w:color w:val="auto"/>
        </w:rPr>
      </w:pPr>
    </w:p>
    <w:p>
      <w:pPr>
        <w:jc w:val="both"/>
        <w:ind w:firstLine="298"/>
        <w:spacing w:after="0" w:line="315" w:lineRule="auto"/>
        <w:rPr>
          <w:sz w:val="20"/>
          <w:szCs w:val="20"/>
          <w:color w:val="auto"/>
        </w:rPr>
      </w:pPr>
      <w:r>
        <w:rPr>
          <w:rFonts w:ascii="Arial" w:cs="Arial" w:eastAsia="Arial" w:hAnsi="Arial"/>
          <w:sz w:val="14"/>
          <w:szCs w:val="14"/>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25" w:lineRule="exact"/>
        <w:rPr>
          <w:sz w:val="20"/>
          <w:szCs w:val="20"/>
          <w:color w:val="auto"/>
        </w:rPr>
      </w:pPr>
    </w:p>
    <w:p>
      <w:pPr>
        <w:jc w:val="both"/>
        <w:ind w:firstLine="298"/>
        <w:spacing w:after="0" w:line="236" w:lineRule="auto"/>
        <w:rPr>
          <w:sz w:val="20"/>
          <w:szCs w:val="20"/>
          <w:color w:val="auto"/>
        </w:rPr>
      </w:pPr>
      <w:r>
        <w:rPr>
          <w:rFonts w:ascii="Arial" w:cs="Arial" w:eastAsia="Arial" w:hAnsi="Arial"/>
          <w:sz w:val="17"/>
          <w:szCs w:val="17"/>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89" w:lineRule="exact"/>
        <w:rPr>
          <w:sz w:val="20"/>
          <w:szCs w:val="20"/>
          <w:color w:val="auto"/>
        </w:rPr>
      </w:pPr>
    </w:p>
    <w:p>
      <w:pPr>
        <w:jc w:val="both"/>
        <w:ind w:firstLine="298"/>
        <w:spacing w:after="0" w:line="305" w:lineRule="auto"/>
        <w:rPr>
          <w:sz w:val="20"/>
          <w:szCs w:val="20"/>
          <w:color w:val="auto"/>
        </w:rPr>
      </w:pPr>
      <w:r>
        <w:rPr>
          <w:rFonts w:ascii="Arial" w:cs="Arial" w:eastAsia="Arial" w:hAnsi="Arial"/>
          <w:sz w:val="14"/>
          <w:szCs w:val="14"/>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48" w:lineRule="exact"/>
        <w:rPr>
          <w:sz w:val="20"/>
          <w:szCs w:val="20"/>
          <w:color w:val="auto"/>
        </w:rPr>
      </w:pPr>
    </w:p>
    <w:p>
      <w:pPr>
        <w:jc w:val="both"/>
        <w:ind w:firstLine="298"/>
        <w:spacing w:after="0" w:line="334" w:lineRule="auto"/>
        <w:rPr>
          <w:sz w:val="20"/>
          <w:szCs w:val="20"/>
          <w:color w:val="auto"/>
        </w:rPr>
      </w:pPr>
      <w:r>
        <w:rPr>
          <w:rFonts w:ascii="Arial" w:cs="Arial" w:eastAsia="Arial" w:hAnsi="Arial"/>
          <w:sz w:val="14"/>
          <w:szCs w:val="14"/>
          <w:color w:val="auto"/>
        </w:rPr>
        <w:t>The Company's Convertible Note Payable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based on discount rates ranging from 7.0% to 7.5%.</w:t>
      </w:r>
    </w:p>
    <w:p>
      <w:pPr>
        <w:spacing w:after="0" w:line="69" w:lineRule="exact"/>
        <w:rPr>
          <w:sz w:val="20"/>
          <w:szCs w:val="20"/>
          <w:color w:val="auto"/>
        </w:rPr>
      </w:pPr>
    </w:p>
    <w:p>
      <w:pPr>
        <w:jc w:val="both"/>
        <w:ind w:firstLine="298"/>
        <w:spacing w:after="0" w:line="250" w:lineRule="auto"/>
        <w:rPr>
          <w:sz w:val="20"/>
          <w:szCs w:val="20"/>
          <w:color w:val="auto"/>
        </w:rPr>
      </w:pPr>
      <w:r>
        <w:rPr>
          <w:rFonts w:ascii="Arial" w:cs="Arial" w:eastAsia="Arial" w:hAnsi="Arial"/>
          <w:sz w:val="17"/>
          <w:szCs w:val="17"/>
          <w:color w:val="auto"/>
        </w:rPr>
        <w:t>The Company accounted for its outstanding warrants by recording its fair value of a liability on the Closing Date of the Business Combination and recording the change in the fair value at the balance sheet date in the condensed consolidated statement of operations. The Company has the option to redeem the warrants at a conversion price of $0.10 per Warrant if the share price exceeds $10 per share and is less than $18 per share. The fair value of the Public Warrants and Private Warrants was based on a 20 day volume weighted average closing price of $9.68.</w:t>
      </w:r>
    </w:p>
    <w:p>
      <w:pPr>
        <w:spacing w:after="0" w:line="80"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fair value of the Sponsor Earnout Awards as of September 30, 2022 was determined using a Monte Carlo valuation model with a distribution of potential outcomes on a daily basis over the five year post-close period. Assumptions used in the valuation are as follows:</w:t>
      </w:r>
    </w:p>
    <w:p>
      <w:pPr>
        <w:spacing w:after="0" w:line="191" w:lineRule="exact"/>
        <w:rPr>
          <w:sz w:val="20"/>
          <w:szCs w:val="20"/>
          <w:color w:val="auto"/>
        </w:rPr>
      </w:pPr>
    </w:p>
    <w:p>
      <w:pPr>
        <w:ind w:left="640" w:hanging="34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Current stock price — The Company's closing stock price of $8.28 as of September 30, 2022;</w:t>
      </w:r>
    </w:p>
    <w:p>
      <w:pPr>
        <w:spacing w:after="0" w:line="4" w:lineRule="exact"/>
        <w:rPr>
          <w:rFonts w:ascii="Arial" w:cs="Arial" w:eastAsia="Arial" w:hAnsi="Arial"/>
          <w:sz w:val="17"/>
          <w:szCs w:val="17"/>
          <w:color w:val="auto"/>
        </w:rPr>
      </w:pPr>
    </w:p>
    <w:p>
      <w:pPr>
        <w:ind w:left="600" w:right="120" w:hanging="302"/>
        <w:spacing w:after="0" w:line="236"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Expected volatility —65% based on historical and implied volatilities of selected industry peers deemed to be comparable to our business corresponding to the expected term of the awards;</w:t>
      </w:r>
    </w:p>
    <w:p>
      <w:pPr>
        <w:ind w:left="600" w:right="360" w:hanging="302"/>
        <w:spacing w:after="0" w:line="235" w:lineRule="auto"/>
        <w:tabs>
          <w:tab w:leader="none" w:pos="637"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Risk-free interest rate — 4.1% based on the U.S. Treasury yield curve in effect at the time of issuance for zero-coupon U.S. Treasury notes with maturities corresponding to the expected 4.8 year term of the earnout period;</w:t>
      </w:r>
    </w:p>
    <w:p>
      <w:pPr>
        <w:spacing w:after="0" w:line="1" w:lineRule="exact"/>
        <w:rPr>
          <w:rFonts w:ascii="Arial" w:cs="Arial" w:eastAsia="Arial" w:hAnsi="Arial"/>
          <w:sz w:val="17"/>
          <w:szCs w:val="17"/>
          <w:color w:val="auto"/>
        </w:rPr>
      </w:pPr>
    </w:p>
    <w:p>
      <w:pPr>
        <w:ind w:left="600" w:hanging="302"/>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Dividend yield - zero.</w:t>
      </w:r>
    </w:p>
    <w:p>
      <w:pPr>
        <w:spacing w:after="0" w:line="301"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fair value of the OPAL Earnout Awards as of September 30, 2022 was determined using a Monte Carlo valuation model with a distribution of potential outcomes for stock price and EBITDA over the 2-year period commencing on January 1, 2023 and ending on December 31, 2024. Assumptions used in the valuation are as follows:</w:t>
      </w:r>
    </w:p>
    <w:p>
      <w:pPr>
        <w:spacing w:after="0" w:line="200" w:lineRule="exact"/>
        <w:rPr>
          <w:sz w:val="20"/>
          <w:szCs w:val="20"/>
          <w:color w:val="auto"/>
        </w:rPr>
      </w:pPr>
    </w:p>
    <w:p>
      <w:pPr>
        <w:ind w:left="640" w:hanging="34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Current stock price — The Company's closing stock price of $8.28 as of September 30, 2022;</w:t>
      </w:r>
    </w:p>
    <w:p>
      <w:pPr>
        <w:spacing w:after="0" w:line="4" w:lineRule="exact"/>
        <w:rPr>
          <w:rFonts w:ascii="Arial" w:cs="Arial" w:eastAsia="Arial" w:hAnsi="Arial"/>
          <w:sz w:val="17"/>
          <w:szCs w:val="17"/>
          <w:color w:val="auto"/>
        </w:rPr>
      </w:pPr>
    </w:p>
    <w:p>
      <w:pPr>
        <w:ind w:left="600" w:hanging="302"/>
        <w:spacing w:after="0"/>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Weighted average cost of capital - 16% based on an average of historical volatilities of selected industry peers deemed to be comparable to our business.</w:t>
      </w:r>
    </w:p>
    <w:p>
      <w:pPr>
        <w:spacing w:after="0" w:line="36" w:lineRule="exact"/>
        <w:rPr>
          <w:rFonts w:ascii="Arial" w:cs="Arial" w:eastAsia="Arial" w:hAnsi="Arial"/>
          <w:sz w:val="14"/>
          <w:szCs w:val="14"/>
          <w:color w:val="auto"/>
        </w:rPr>
      </w:pPr>
    </w:p>
    <w:p>
      <w:pPr>
        <w:ind w:left="600" w:right="120" w:hanging="302"/>
        <w:spacing w:after="0" w:line="229"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Expected volatility —60% based on historical and implied volatilities of selected industry peers deemed to be comparable to our business corresponding to the expected term of the awards;</w:t>
      </w:r>
    </w:p>
    <w:p>
      <w:pPr>
        <w:spacing w:after="0" w:line="1" w:lineRule="exact"/>
        <w:rPr>
          <w:rFonts w:ascii="Arial" w:cs="Arial" w:eastAsia="Arial" w:hAnsi="Arial"/>
          <w:sz w:val="17"/>
          <w:szCs w:val="17"/>
          <w:color w:val="auto"/>
        </w:rPr>
      </w:pPr>
    </w:p>
    <w:p>
      <w:pPr>
        <w:ind w:left="600" w:right="360" w:hanging="302"/>
        <w:spacing w:after="0" w:line="236" w:lineRule="auto"/>
        <w:tabs>
          <w:tab w:leader="none" w:pos="6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Risk-free interest rate — 4.2% based on the U.S. Treasury yield curve in effect at the time of issuance for zero-coupon U.S. Treasury notes with maturities corresponding to the expected 2.2 year term of the earnout period;</w:t>
      </w:r>
    </w:p>
    <w:p>
      <w:pPr>
        <w:ind w:left="600" w:hanging="302"/>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Dividend yield - zero.</w:t>
      </w:r>
    </w:p>
    <w:p>
      <w:pPr>
        <w:spacing w:after="0" w:line="20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fair value of the Company's put option with Meteora as of September 30, 2022 was determined using a Monte Carlo valuation model with a distribution of potential outcomes on a daily basis over the 6 month post-close period. Assumptions used in the valuation are as follows:</w:t>
      </w:r>
    </w:p>
    <w:p>
      <w:pPr>
        <w:spacing w:after="0" w:line="179" w:lineRule="exact"/>
        <w:rPr>
          <w:sz w:val="20"/>
          <w:szCs w:val="20"/>
          <w:color w:val="auto"/>
        </w:rPr>
      </w:pPr>
    </w:p>
    <w:p>
      <w:pPr>
        <w:ind w:left="640" w:hanging="342"/>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Current stock price — The Company's closing stock price of $8.28 as of September 30, 2022;</w:t>
      </w:r>
    </w:p>
    <w:p>
      <w:pPr>
        <w:spacing w:after="0" w:line="4" w:lineRule="exact"/>
        <w:rPr>
          <w:rFonts w:ascii="Arial" w:cs="Arial" w:eastAsia="Arial" w:hAnsi="Arial"/>
          <w:sz w:val="17"/>
          <w:szCs w:val="17"/>
          <w:color w:val="auto"/>
        </w:rPr>
      </w:pPr>
    </w:p>
    <w:p>
      <w:pPr>
        <w:ind w:left="600" w:right="120" w:hanging="302"/>
        <w:spacing w:after="0" w:line="236"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Expected volatility —80% based on historical and implied volatilities of selected industry peers deemed to be comparable to our business corresponding to the expected term of the awards;</w:t>
      </w:r>
    </w:p>
    <w:p>
      <w:pPr>
        <w:ind w:left="600" w:right="360" w:hanging="302"/>
        <w:spacing w:after="0" w:line="235" w:lineRule="auto"/>
        <w:tabs>
          <w:tab w:leader="none" w:pos="637"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Risk-free interest rate — 3.5% based on the U.S. Treasury yield curve in effect at the time of issuance for zero-coupon U.S. Treasury notes with maturities corresponding to the expected 0.3 year term of the Forward Purchase Agreement ;</w:t>
      </w:r>
    </w:p>
    <w:p>
      <w:pPr>
        <w:spacing w:after="0" w:line="1"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Dividend yield - zero.</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September 30, 2022 or December 31, 2021.</w:t>
      </w:r>
    </w:p>
    <w:p>
      <w:pPr>
        <w:spacing w:after="0" w:line="114" w:lineRule="exact"/>
        <w:rPr>
          <w:sz w:val="20"/>
          <w:szCs w:val="20"/>
          <w:color w:val="auto"/>
        </w:rPr>
      </w:pPr>
    </w:p>
    <w:p>
      <w:pPr>
        <w:ind w:right="80" w:firstLine="298"/>
        <w:spacing w:after="0" w:line="264" w:lineRule="auto"/>
        <w:rPr>
          <w:sz w:val="20"/>
          <w:szCs w:val="20"/>
          <w:color w:val="auto"/>
        </w:rPr>
      </w:pPr>
      <w:r>
        <w:rPr>
          <w:rFonts w:ascii="Arial" w:cs="Arial" w:eastAsia="Arial" w:hAnsi="Arial"/>
          <w:sz w:val="17"/>
          <w:szCs w:val="17"/>
          <w:color w:val="auto"/>
        </w:rPr>
        <w:t>The Company's assets and liabilities that are measured at fair value on a recurring basis include the following as of September 30, 2022 and December 31, 2021, set forth by level, within the fair value hierarchy: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6"/>
          </w:tcPr>
          <w:p>
            <w:pPr>
              <w:ind w:left="400"/>
              <w:spacing w:after="0"/>
              <w:rPr>
                <w:sz w:val="20"/>
                <w:szCs w:val="20"/>
                <w:color w:val="auto"/>
              </w:rPr>
            </w:pPr>
            <w:r>
              <w:rPr>
                <w:rFonts w:ascii="Arial" w:cs="Arial" w:eastAsia="Arial" w:hAnsi="Arial"/>
                <w:sz w:val="15"/>
                <w:szCs w:val="15"/>
                <w:b w:val="1"/>
                <w:bCs w:val="1"/>
                <w:color w:val="auto"/>
              </w:rPr>
              <w:t>Fair value as of September 30,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
        </w:trPr>
        <w:tc>
          <w:tcPr>
            <w:tcW w:w="5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00" w:type="dxa"/>
            <w:vAlign w:val="bottom"/>
          </w:tcPr>
          <w:p>
            <w:pPr>
              <w:spacing w:after="0"/>
              <w:rPr>
                <w:sz w:val="16"/>
                <w:szCs w:val="16"/>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Level 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Arial" w:cs="Arial" w:eastAsia="Arial" w:hAnsi="Arial"/>
                <w:sz w:val="15"/>
                <w:szCs w:val="15"/>
                <w:b w:val="1"/>
                <w:bCs w:val="1"/>
                <w:color w:val="auto"/>
              </w:rPr>
              <w:t>Total</w:t>
            </w:r>
          </w:p>
        </w:tc>
      </w:tr>
      <w:tr>
        <w:trPr>
          <w:trHeight w:val="31"/>
        </w:trPr>
        <w:tc>
          <w:tcPr>
            <w:tcW w:w="5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Asset retirement obligation</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65"/>
              <w:spacing w:after="0"/>
              <w:rPr>
                <w:sz w:val="20"/>
                <w:szCs w:val="20"/>
                <w:color w:val="auto"/>
              </w:rPr>
            </w:pPr>
            <w:r>
              <w:rPr>
                <w:rFonts w:ascii="Arial" w:cs="Arial" w:eastAsia="Arial" w:hAnsi="Arial"/>
                <w:sz w:val="15"/>
                <w:szCs w:val="15"/>
                <w:color w:val="auto"/>
                <w:w w:val="95"/>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5,968</w:t>
            </w:r>
          </w:p>
        </w:tc>
        <w:tc>
          <w:tcPr>
            <w:tcW w:w="100" w:type="dxa"/>
            <w:vAlign w:val="bottom"/>
          </w:tcPr>
          <w:p>
            <w:pPr>
              <w:spacing w:after="0"/>
              <w:rPr>
                <w:sz w:val="16"/>
                <w:szCs w:val="16"/>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5,968</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Convertible Note Payable</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27,964</w:t>
            </w: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Put option with Meteora</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4,216</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rate swaps</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Commodity swap contracts</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394</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Derivative warrant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22,410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22,410</w:t>
            </w: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Earnout liabilities</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39,500</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Assets:</w:t>
            </w:r>
          </w:p>
        </w:tc>
        <w:tc>
          <w:tcPr>
            <w:tcW w:w="1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Swaption</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5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swaps</w:t>
            </w:r>
          </w:p>
        </w:tc>
        <w:tc>
          <w:tcPr>
            <w:tcW w:w="112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w:t>
            </w:r>
          </w:p>
        </w:tc>
      </w:tr>
      <w:tr>
        <w:trPr>
          <w:trHeight w:val="31"/>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6"/>
          </w:tcPr>
          <w:p>
            <w:pPr>
              <w:ind w:left="440"/>
              <w:spacing w:after="0"/>
              <w:rPr>
                <w:sz w:val="20"/>
                <w:szCs w:val="20"/>
                <w:color w:val="auto"/>
              </w:rPr>
            </w:pPr>
            <w:r>
              <w:rPr>
                <w:rFonts w:ascii="Arial" w:cs="Arial" w:eastAsia="Arial" w:hAnsi="Arial"/>
                <w:sz w:val="15"/>
                <w:szCs w:val="15"/>
                <w:b w:val="1"/>
                <w:bCs w:val="1"/>
                <w:color w:val="auto"/>
              </w:rPr>
              <w:t>Fair value as of December 31, 2021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
        </w:trPr>
        <w:tc>
          <w:tcPr>
            <w:tcW w:w="5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00" w:type="dxa"/>
            <w:vAlign w:val="bottom"/>
          </w:tcPr>
          <w:p>
            <w:pPr>
              <w:spacing w:after="0"/>
              <w:rPr>
                <w:sz w:val="16"/>
                <w:szCs w:val="16"/>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520"/>
              <w:spacing w:after="0"/>
              <w:rPr>
                <w:sz w:val="20"/>
                <w:szCs w:val="20"/>
                <w:color w:val="auto"/>
              </w:rPr>
            </w:pPr>
            <w:r>
              <w:rPr>
                <w:rFonts w:ascii="Arial" w:cs="Arial" w:eastAsia="Arial" w:hAnsi="Arial"/>
                <w:sz w:val="15"/>
                <w:szCs w:val="15"/>
                <w:b w:val="1"/>
                <w:bCs w:val="1"/>
                <w:color w:val="auto"/>
              </w:rPr>
              <w:t>Level 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Arial" w:cs="Arial" w:eastAsia="Arial" w:hAnsi="Arial"/>
                <w:sz w:val="15"/>
                <w:szCs w:val="15"/>
                <w:b w:val="1"/>
                <w:bCs w:val="1"/>
                <w:color w:val="auto"/>
              </w:rPr>
              <w:t>Total</w:t>
            </w:r>
          </w:p>
        </w:tc>
      </w:tr>
      <w:tr>
        <w:trPr>
          <w:trHeight w:val="31"/>
        </w:trPr>
        <w:tc>
          <w:tcPr>
            <w:tcW w:w="5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Asset retirement obligation</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ind w:left="140"/>
              <w:spacing w:after="0"/>
              <w:rPr>
                <w:sz w:val="20"/>
                <w:szCs w:val="20"/>
                <w:color w:val="auto"/>
              </w:rPr>
            </w:pPr>
            <w:r>
              <w:rPr>
                <w:rFonts w:ascii="Arial" w:cs="Arial" w:eastAsia="Arial" w:hAnsi="Arial"/>
                <w:sz w:val="15"/>
                <w:szCs w:val="15"/>
                <w:color w:val="auto"/>
              </w:rPr>
              <w:t>—   $</w:t>
            </w:r>
          </w:p>
        </w:tc>
        <w:tc>
          <w:tcPr>
            <w:tcW w:w="820" w:type="dxa"/>
            <w:vAlign w:val="bottom"/>
            <w:gridSpan w:val="3"/>
          </w:tcPr>
          <w:p>
            <w:pPr>
              <w:ind w:left="200"/>
              <w:spacing w:after="0"/>
              <w:rPr>
                <w:sz w:val="20"/>
                <w:szCs w:val="20"/>
                <w:color w:val="auto"/>
              </w:rPr>
            </w:pPr>
            <w:r>
              <w:rPr>
                <w:rFonts w:ascii="Arial" w:cs="Arial" w:eastAsia="Arial" w:hAnsi="Arial"/>
                <w:sz w:val="15"/>
                <w:szCs w:val="15"/>
                <w:color w:val="auto"/>
              </w:rPr>
              <w:t>—   $</w:t>
            </w:r>
          </w:p>
        </w:tc>
        <w:tc>
          <w:tcPr>
            <w:tcW w:w="1180" w:type="dxa"/>
            <w:vAlign w:val="bottom"/>
          </w:tcPr>
          <w:p>
            <w:pPr>
              <w:jc w:val="right"/>
              <w:spacing w:after="0"/>
              <w:rPr>
                <w:sz w:val="20"/>
                <w:szCs w:val="20"/>
                <w:color w:val="auto"/>
              </w:rPr>
            </w:pPr>
            <w:r>
              <w:rPr>
                <w:rFonts w:ascii="Arial" w:cs="Arial" w:eastAsia="Arial" w:hAnsi="Arial"/>
                <w:sz w:val="15"/>
                <w:szCs w:val="15"/>
                <w:color w:val="auto"/>
              </w:rPr>
              <w:t>5,738</w:t>
            </w:r>
          </w:p>
        </w:tc>
        <w:tc>
          <w:tcPr>
            <w:tcW w:w="100" w:type="dxa"/>
            <w:vAlign w:val="bottom"/>
          </w:tcPr>
          <w:p>
            <w:pPr>
              <w:spacing w:after="0"/>
              <w:rPr>
                <w:sz w:val="16"/>
                <w:szCs w:val="16"/>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5,738</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Contingent consideration on acquisition of non-controlling interest</w:t>
            </w:r>
          </w:p>
        </w:tc>
        <w:tc>
          <w:tcPr>
            <w:tcW w:w="1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4,456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4,456</w:t>
            </w:r>
          </w:p>
        </w:tc>
      </w:tr>
      <w:tr>
        <w:trPr>
          <w:trHeight w:val="193"/>
        </w:trPr>
        <w:tc>
          <w:tcPr>
            <w:tcW w:w="5000" w:type="dxa"/>
            <w:vAlign w:val="bottom"/>
          </w:tcPr>
          <w:p>
            <w:pPr>
              <w:ind w:left="140"/>
              <w:spacing w:after="0"/>
              <w:rPr>
                <w:sz w:val="20"/>
                <w:szCs w:val="20"/>
                <w:color w:val="auto"/>
              </w:rPr>
            </w:pPr>
            <w:r>
              <w:rPr>
                <w:rFonts w:ascii="Arial" w:cs="Arial" w:eastAsia="Arial" w:hAnsi="Arial"/>
                <w:sz w:val="15"/>
                <w:szCs w:val="15"/>
                <w:color w:val="auto"/>
              </w:rPr>
              <w:t>Convertible Note Payable</w:t>
            </w:r>
          </w:p>
        </w:tc>
        <w:tc>
          <w:tcPr>
            <w:tcW w:w="112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58,710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58,710</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rate swap</w:t>
            </w:r>
          </w:p>
        </w:tc>
        <w:tc>
          <w:tcPr>
            <w:tcW w:w="1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992</w:t>
            </w:r>
          </w:p>
        </w:tc>
      </w:tr>
      <w:tr>
        <w:trPr>
          <w:trHeight w:val="193"/>
        </w:trPr>
        <w:tc>
          <w:tcPr>
            <w:tcW w:w="5000" w:type="dxa"/>
            <w:vAlign w:val="bottom"/>
          </w:tcPr>
          <w:p>
            <w:pPr>
              <w:ind w:left="20"/>
              <w:spacing w:after="0"/>
              <w:rPr>
                <w:sz w:val="20"/>
                <w:szCs w:val="20"/>
                <w:color w:val="auto"/>
              </w:rPr>
            </w:pPr>
            <w:r>
              <w:rPr>
                <w:rFonts w:ascii="Arial" w:cs="Arial" w:eastAsia="Arial" w:hAnsi="Arial"/>
                <w:sz w:val="15"/>
                <w:szCs w:val="15"/>
                <w:color w:val="auto"/>
              </w:rPr>
              <w:t>Assets:</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5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Commodity swap contracts</w:t>
            </w:r>
          </w:p>
        </w:tc>
        <w:tc>
          <w:tcPr>
            <w:tcW w:w="1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w:t>
            </w:r>
          </w:p>
        </w:tc>
      </w:tr>
      <w:tr>
        <w:trPr>
          <w:trHeight w:val="31"/>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A summary of changes in the fair values of the Company’s Level 3 instruments, attributable to asset retirement obligations, for the three and nine months ended September 30, 2022 is included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Related parties are represented by the Ultimate Parent and other affiliates, subsidiaries and other entities under common control with the Ultimate Parent.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contributions and distribution from and to members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the nine months ended September 30, 2022 and 2021, the Company received contributions from its Ultimate Parent of $0 and $7,919,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made distributions to its Ultimate Parent of $0 and $3,695 for the nine months ended September 30, 2022 and 2021,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non-controlling interests to Related Parties</w:t>
      </w:r>
    </w:p>
    <w:p>
      <w:pPr>
        <w:spacing w:after="0" w:line="140"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$2,658 and $5,093 for the three and nine months ended September 30, 2022. Please see Note 13, </w:t>
      </w:r>
      <w:r>
        <w:rPr>
          <w:rFonts w:ascii="Arial" w:cs="Arial" w:eastAsia="Arial" w:hAnsi="Arial"/>
          <w:sz w:val="17"/>
          <w:szCs w:val="17"/>
          <w:i w:val="1"/>
          <w:iCs w:val="1"/>
          <w:color w:val="auto"/>
        </w:rPr>
        <w:t>Redeemable Preferred Units and Equity,</w:t>
      </w:r>
      <w:r>
        <w:rPr>
          <w:rFonts w:ascii="Arial" w:cs="Arial" w:eastAsia="Arial" w:hAnsi="Arial"/>
          <w:sz w:val="17"/>
          <w:szCs w:val="17"/>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investments from Related Parties</w:t>
      </w:r>
    </w:p>
    <w:p>
      <w:pPr>
        <w:spacing w:after="0" w:line="140" w:lineRule="exact"/>
        <w:rPr>
          <w:sz w:val="20"/>
          <w:szCs w:val="20"/>
          <w:color w:val="auto"/>
        </w:rPr>
      </w:pPr>
    </w:p>
    <w:p>
      <w:pPr>
        <w:jc w:val="both"/>
        <w:ind w:firstLine="298"/>
        <w:spacing w:after="0" w:line="315" w:lineRule="auto"/>
        <w:rPr>
          <w:sz w:val="20"/>
          <w:szCs w:val="20"/>
          <w:color w:val="auto"/>
        </w:rPr>
      </w:pPr>
      <w:r>
        <w:rPr>
          <w:rFonts w:ascii="Arial" w:cs="Arial" w:eastAsia="Arial" w:hAnsi="Arial"/>
          <w:sz w:val="14"/>
          <w:szCs w:val="14"/>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$3034 and $2,478 as its share of net income for the three months and nine months ended September 30, 2022 and increased its investment in GREP as of September 30, 2022.</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contracts with Related Parties</w:t>
      </w:r>
    </w:p>
    <w:p>
      <w:pPr>
        <w:spacing w:after="0" w:line="128"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6"/>
          <w:szCs w:val="16"/>
          <w:color w:val="auto"/>
        </w:rPr>
        <w:t>In June 2020, Fuel Station Services,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condensed consolidated statements of operations for the three and nine months ended September 30, 2022. During 2021, the Company accounted for Beacon under equity method for the period between January 1, 2021 and April 30, 2021 and consolidated Beacon for the remaining part of the year. Therefore, all environmental fees earned after May 1, 2021 are eliminated in the condensed consolidated statement of operations. For the period between January 1, 2021 and April 30, 2021, the company earned environmental processing fees of $632, net of intersegment elimination.</w:t>
      </w:r>
    </w:p>
    <w:p>
      <w:pPr>
        <w:spacing w:after="0" w:line="109"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In March 2021, Fuel Station Services, contracted with Noble Road to dispense Noble Road's RNG and to generate and market the resulting RINs created on behalf of Noble Road The term of this contract run from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the first quarter of 2022. For the three and nine months ended September 30, 2022, the Company earned environmental processing fees of $80 and $322, net of intersegment elimination, under this agreement which are included in Fuel Station Services revenues in the condensed consolidated statements of operations. For the three and nine months ended September 30, 2021, the Company earned $0, net of intersegment elimination under this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agreements with Related Parties</w:t>
      </w:r>
    </w:p>
    <w:p>
      <w:pPr>
        <w:spacing w:after="0" w:line="140"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6"/>
          <w:szCs w:val="16"/>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nine months ended September 30, 2022 and 2021, there have been no material services provided by the Company's employees to Fortistar.</w:t>
      </w:r>
    </w:p>
    <w:p>
      <w:pPr>
        <w:spacing w:after="0" w:line="132"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117"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$26 recorded as Deferred financing costs as of September 30,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63"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2780" w:type="dxa"/>
            <w:vAlign w:val="bottom"/>
            <w:gridSpan w:val="6"/>
          </w:tcPr>
          <w:p>
            <w:pPr>
              <w:ind w:left="60"/>
              <w:spacing w:after="0"/>
              <w:rPr>
                <w:sz w:val="20"/>
                <w:szCs w:val="20"/>
                <w:color w:val="auto"/>
              </w:rPr>
            </w:pPr>
            <w:r>
              <w:rPr>
                <w:rFonts w:ascii="Arial" w:cs="Arial" w:eastAsia="Arial" w:hAnsi="Arial"/>
                <w:sz w:val="17"/>
                <w:szCs w:val="17"/>
                <w:b w:val="1"/>
                <w:bCs w:val="1"/>
                <w:color w:val="auto"/>
                <w:w w:val="93"/>
              </w:rPr>
              <w:t>Three Months Ended September 30,</w:t>
            </w:r>
          </w:p>
        </w:tc>
        <w:tc>
          <w:tcPr>
            <w:tcW w:w="220" w:type="dxa"/>
            <w:vAlign w:val="bottom"/>
          </w:tcPr>
          <w:p>
            <w:pPr>
              <w:spacing w:after="0"/>
              <w:rPr>
                <w:sz w:val="18"/>
                <w:szCs w:val="18"/>
                <w:color w:val="auto"/>
              </w:rPr>
            </w:pPr>
          </w:p>
        </w:tc>
        <w:tc>
          <w:tcPr>
            <w:tcW w:w="2900" w:type="dxa"/>
            <w:vAlign w:val="bottom"/>
            <w:gridSpan w:val="4"/>
          </w:tcPr>
          <w:p>
            <w:pPr>
              <w:jc w:val="right"/>
              <w:ind w:right="237"/>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04"/>
        </w:trPr>
        <w:tc>
          <w:tcPr>
            <w:tcW w:w="32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7"/>
                <w:szCs w:val="17"/>
                <w:b w:val="1"/>
                <w:bCs w:val="1"/>
                <w:color w:val="auto"/>
              </w:rPr>
              <w:t>2021</w:t>
            </w:r>
          </w:p>
        </w:tc>
      </w:tr>
      <w:tr>
        <w:trPr>
          <w:trHeight w:val="204"/>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Staffing and management services</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w:t>
            </w:r>
          </w:p>
        </w:tc>
      </w:tr>
      <w:tr>
        <w:trPr>
          <w:trHeight w:val="211"/>
        </w:trPr>
        <w:tc>
          <w:tcPr>
            <w:tcW w:w="3260" w:type="dxa"/>
            <w:vAlign w:val="bottom"/>
          </w:tcPr>
          <w:p>
            <w:pPr>
              <w:ind w:left="20"/>
              <w:spacing w:after="0"/>
              <w:rPr>
                <w:sz w:val="20"/>
                <w:szCs w:val="20"/>
                <w:color w:val="auto"/>
              </w:rPr>
            </w:pPr>
            <w:r>
              <w:rPr>
                <w:rFonts w:ascii="Arial" w:cs="Arial" w:eastAsia="Arial" w:hAnsi="Arial"/>
                <w:sz w:val="17"/>
                <w:szCs w:val="17"/>
                <w:color w:val="auto"/>
              </w:rPr>
              <w:t>Rent - fixed compensation</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435</w:t>
            </w: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 services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3260" w:type="dxa"/>
            <w:vAlign w:val="bottom"/>
          </w:tcPr>
          <w:p>
            <w:pPr>
              <w:ind w:left="20"/>
              <w:spacing w:after="0"/>
              <w:rPr>
                <w:sz w:val="20"/>
                <w:szCs w:val="20"/>
                <w:color w:val="auto"/>
              </w:rPr>
            </w:pPr>
            <w:r>
              <w:rPr>
                <w:rFonts w:ascii="Arial" w:cs="Arial" w:eastAsia="Arial" w:hAnsi="Arial"/>
                <w:sz w:val="17"/>
                <w:szCs w:val="17"/>
                <w:color w:val="auto"/>
              </w:rPr>
              <w:t>Total</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1,382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6,489</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September 30, 2022 and December 31, 2021, the Company had Accounts payable, related party in the amounts of $489 and $166,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Reportable Segments and Geographic Information</w:t>
      </w:r>
    </w:p>
    <w:p>
      <w:pPr>
        <w:spacing w:after="0" w:line="144"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55" w:lineRule="exact"/>
        <w:rPr>
          <w:sz w:val="20"/>
          <w:szCs w:val="20"/>
          <w:color w:val="auto"/>
        </w:rPr>
      </w:pPr>
    </w:p>
    <w:p>
      <w:pPr>
        <w:ind w:left="740" w:hanging="442"/>
        <w:spacing w:after="0" w:line="213" w:lineRule="auto"/>
        <w:tabs>
          <w:tab w:leader="none" w:pos="735" w:val="left"/>
        </w:tabs>
        <w:numPr>
          <w:ilvl w:val="0"/>
          <w:numId w:val="18"/>
        </w:numPr>
        <w:rPr>
          <w:rFonts w:ascii="Arial" w:cs="Arial" w:eastAsia="Arial" w:hAnsi="Arial"/>
          <w:sz w:val="20"/>
          <w:szCs w:val="20"/>
          <w:color w:val="auto"/>
        </w:rPr>
      </w:pPr>
      <w:r>
        <w:rPr>
          <w:rFonts w:ascii="Arial" w:cs="Arial" w:eastAsia="Arial" w:hAnsi="Arial"/>
          <w:sz w:val="17"/>
          <w:szCs w:val="17"/>
          <w:b w:val="1"/>
          <w:bCs w:val="1"/>
          <w:color w:val="auto"/>
        </w:rPr>
        <w:t xml:space="preserve">RNG Fuel. </w:t>
      </w:r>
      <w:r>
        <w:rPr>
          <w:rFonts w:ascii="Arial" w:cs="Arial" w:eastAsia="Arial" w:hAnsi="Arial"/>
          <w:sz w:val="17"/>
          <w:szCs w:val="17"/>
          <w:color w:val="auto"/>
        </w:rPr>
        <w:t>The RNG Fuel segment relates to all RNG supply and dispensing activities directly related to the generation and sale of brown gas and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credits, and consists of</w:t>
      </w:r>
    </w:p>
    <w:p>
      <w:pPr>
        <w:ind w:left="1340" w:right="420" w:hanging="446"/>
        <w:spacing w:after="0" w:line="228" w:lineRule="auto"/>
        <w:tabs>
          <w:tab w:leader="none" w:pos="1337"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Development and construction – RNG facilities in which long term gas right contracts have been, or are in the process of being ratified and the construction of RNG generation facilities.</w:t>
      </w:r>
    </w:p>
    <w:p>
      <w:pPr>
        <w:spacing w:after="0" w:line="1" w:lineRule="exact"/>
        <w:rPr>
          <w:rFonts w:ascii="Arial" w:cs="Arial" w:eastAsia="Arial" w:hAnsi="Arial"/>
          <w:sz w:val="17"/>
          <w:szCs w:val="17"/>
          <w:color w:val="auto"/>
        </w:rPr>
      </w:pPr>
    </w:p>
    <w:p>
      <w:pPr>
        <w:ind w:left="1340" w:hanging="446"/>
        <w:spacing w:after="0"/>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RNG supply operating facilities – This includes the generation, extraction, and sale of RNG - plus associated RINs and LCFSs from landfills.</w:t>
      </w:r>
    </w:p>
    <w:p>
      <w:pPr>
        <w:spacing w:after="0" w:line="2" w:lineRule="exact"/>
        <w:rPr>
          <w:rFonts w:ascii="Arial" w:cs="Arial" w:eastAsia="Arial" w:hAnsi="Arial"/>
          <w:sz w:val="16"/>
          <w:szCs w:val="16"/>
          <w:color w:val="auto"/>
        </w:rPr>
      </w:pPr>
    </w:p>
    <w:p>
      <w:pPr>
        <w:jc w:val="both"/>
        <w:ind w:left="1340" w:hanging="446"/>
        <w:spacing w:after="0" w:line="233" w:lineRule="auto"/>
        <w:tabs>
          <w:tab w:leader="none" w:pos="1337" w:val="left"/>
        </w:tabs>
        <w:numPr>
          <w:ilvl w:val="1"/>
          <w:numId w:val="18"/>
        </w:numPr>
        <w:rPr>
          <w:rFonts w:ascii="Arial" w:cs="Arial" w:eastAsia="Arial" w:hAnsi="Arial"/>
          <w:sz w:val="17"/>
          <w:szCs w:val="17"/>
          <w:color w:val="auto"/>
        </w:rPr>
      </w:pPr>
      <w:r>
        <w:rPr>
          <w:rFonts w:ascii="Arial" w:cs="Arial" w:eastAsia="Arial" w:hAnsi="Arial"/>
          <w:sz w:val="17"/>
          <w:szCs w:val="17"/>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88" w:lineRule="exact"/>
        <w:rPr>
          <w:sz w:val="20"/>
          <w:szCs w:val="20"/>
          <w:color w:val="auto"/>
        </w:rPr>
      </w:pPr>
    </w:p>
    <w:p>
      <w:pPr>
        <w:jc w:val="both"/>
        <w:ind w:left="600" w:firstLine="374"/>
        <w:spacing w:after="0" w:line="309" w:lineRule="auto"/>
        <w:rPr>
          <w:sz w:val="20"/>
          <w:szCs w:val="20"/>
          <w:color w:val="auto"/>
        </w:rPr>
      </w:pPr>
      <w:r>
        <w:rPr>
          <w:rFonts w:ascii="Arial" w:cs="Arial" w:eastAsia="Arial" w:hAnsi="Arial"/>
          <w:sz w:val="14"/>
          <w:szCs w:val="14"/>
          <w:color w:val="auto"/>
        </w:rPr>
        <w:t>For the three and nine months ended September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period between January 1, 2021 and September 30, 2021 were consolidated in its condensed consolidated statement of operations. As of September 30, 2022, Central Valley, Emerald, and Sapphire are not operational. Sunoma became operational in December 2021, Noble Road in January 2022, Pine Bend in September 2022 and New River in April 2022.</w:t>
      </w:r>
    </w:p>
    <w:p>
      <w:pPr>
        <w:spacing w:after="0" w:line="74" w:lineRule="exact"/>
        <w:rPr>
          <w:sz w:val="20"/>
          <w:szCs w:val="20"/>
          <w:color w:val="auto"/>
        </w:rPr>
      </w:pPr>
    </w:p>
    <w:p>
      <w:pPr>
        <w:ind w:left="740" w:hanging="442"/>
        <w:spacing w:after="0" w:line="268" w:lineRule="auto"/>
        <w:tabs>
          <w:tab w:leader="none" w:pos="73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Fuel Station Services. </w:t>
      </w:r>
      <w:r>
        <w:rPr>
          <w:rFonts w:ascii="Arial" w:cs="Arial" w:eastAsia="Arial" w:hAnsi="Arial"/>
          <w:sz w:val="17"/>
          <w:szCs w:val="17"/>
          <w:color w:val="auto"/>
        </w:rPr>
        <w:t>Through its Fuel Station Services segment</w:t>
      </w:r>
      <w:r>
        <w:rPr>
          <w:rFonts w:ascii="Arial" w:cs="Arial" w:eastAsia="Arial" w:hAnsi="Arial"/>
          <w:sz w:val="17"/>
          <w:szCs w:val="17"/>
          <w:b w:val="1"/>
          <w:bCs w:val="1"/>
          <w:color w:val="auto"/>
        </w:rPr>
        <w:t>, t</w:t>
      </w:r>
      <w:r>
        <w:rPr>
          <w:rFonts w:ascii="Arial" w:cs="Arial" w:eastAsia="Arial" w:hAnsi="Arial"/>
          <w:sz w:val="17"/>
          <w:szCs w:val="17"/>
          <w:color w:val="auto"/>
        </w:rPr>
        <w:t>he Company provides construction and maintenance services to third-party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vehicle Fueling Stations. This segment includes:</w:t>
      </w:r>
    </w:p>
    <w:p>
      <w:pPr>
        <w:spacing w:after="0" w:line="77" w:lineRule="exact"/>
        <w:rPr>
          <w:rFonts w:ascii="Arial" w:cs="Arial" w:eastAsia="Arial" w:hAnsi="Arial"/>
          <w:sz w:val="17"/>
          <w:szCs w:val="17"/>
          <w:color w:val="auto"/>
        </w:rPr>
      </w:pPr>
    </w:p>
    <w:p>
      <w:pPr>
        <w:ind w:left="1340" w:hanging="446"/>
        <w:spacing w:after="0" w:line="244" w:lineRule="auto"/>
        <w:tabs>
          <w:tab w:leader="none" w:pos="1361" w:val="left"/>
        </w:tabs>
        <w:numPr>
          <w:ilvl w:val="1"/>
          <w:numId w:val="19"/>
        </w:numPr>
        <w:rPr>
          <w:rFonts w:ascii="Arial" w:cs="Arial" w:eastAsia="Arial" w:hAnsi="Arial"/>
          <w:sz w:val="17"/>
          <w:szCs w:val="17"/>
          <w:color w:val="auto"/>
        </w:rPr>
      </w:pPr>
      <w:r>
        <w:rPr>
          <w:rFonts w:ascii="Arial" w:cs="Arial" w:eastAsia="Arial" w:hAnsi="Arial"/>
          <w:sz w:val="17"/>
          <w:szCs w:val="17"/>
          <w:color w:val="auto"/>
        </w:rPr>
        <w:t>Service and maintenance contracts for RNG/CNG fueling sites. Includes a manufacturing division that builds Compact Fueling Systems and Defueling systems.</w:t>
      </w:r>
    </w:p>
    <w:p>
      <w:pPr>
        <w:ind w:left="1340" w:hanging="446"/>
        <w:spacing w:after="0" w:line="236" w:lineRule="auto"/>
        <w:tabs>
          <w:tab w:leader="none" w:pos="13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Third Party CNG Construction of Fueling Stations - Design/build and serve as general contractor for typically Guarantee Maximum Price or fixed priced contracts for customers typically lasting less than one year.</w:t>
      </w:r>
    </w:p>
    <w:p>
      <w:pPr>
        <w:spacing w:after="0" w:line="207" w:lineRule="exact"/>
        <w:rPr>
          <w:rFonts w:ascii="Arial" w:cs="Arial" w:eastAsia="Arial" w:hAnsi="Arial"/>
          <w:sz w:val="17"/>
          <w:szCs w:val="17"/>
          <w:color w:val="auto"/>
        </w:rPr>
      </w:pPr>
    </w:p>
    <w:p>
      <w:pPr>
        <w:ind w:left="740" w:hanging="442"/>
        <w:spacing w:after="0" w:line="359" w:lineRule="auto"/>
        <w:tabs>
          <w:tab w:leader="none" w:pos="73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Renewable Power Portfolio. </w:t>
      </w:r>
      <w:r>
        <w:rPr>
          <w:rFonts w:ascii="Arial" w:cs="Arial" w:eastAsia="Arial" w:hAnsi="Arial"/>
          <w:sz w:val="14"/>
          <w:szCs w:val="14"/>
          <w:color w:val="auto"/>
        </w:rPr>
        <w:t>The Renewable Power portfolio segment generates renewable power through methane-rich landfills and digester gas collection</w:t>
      </w:r>
      <w:r>
        <w:rPr>
          <w:rFonts w:ascii="Arial" w:cs="Arial" w:eastAsia="Arial" w:hAnsi="Arial"/>
          <w:sz w:val="14"/>
          <w:szCs w:val="14"/>
          <w:b w:val="1"/>
          <w:bCs w:val="1"/>
          <w:color w:val="auto"/>
        </w:rPr>
        <w:t xml:space="preserve"> </w:t>
      </w:r>
      <w:r>
        <w:rPr>
          <w:rFonts w:ascii="Arial" w:cs="Arial" w:eastAsia="Arial" w:hAnsi="Arial"/>
          <w:sz w:val="14"/>
          <w:szCs w:val="14"/>
          <w:color w:val="auto"/>
        </w:rPr>
        <w:t>systems which is then sold to public utilities throughout the United States. The Renewable Power portfolio operates primarily in Southern California.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6" w:lineRule="exact"/>
        <w:rPr>
          <w:sz w:val="20"/>
          <w:szCs w:val="20"/>
          <w:color w:val="auto"/>
        </w:rPr>
      </w:pPr>
    </w:p>
    <w:p>
      <w:pPr>
        <w:ind w:left="741" w:hanging="442"/>
        <w:spacing w:after="0"/>
        <w:tabs>
          <w:tab w:leader="none" w:pos="74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This segment consists of activities managed and maintained at the Company corporate level primarily including but not limited to:</w:t>
      </w:r>
    </w:p>
    <w:p>
      <w:pPr>
        <w:spacing w:after="0" w:line="8" w:lineRule="exact"/>
        <w:rPr>
          <w:rFonts w:ascii="Arial" w:cs="Arial" w:eastAsia="Arial" w:hAnsi="Arial"/>
          <w:sz w:val="16"/>
          <w:szCs w:val="16"/>
          <w:b w:val="1"/>
          <w:bCs w:val="1"/>
          <w:color w:val="auto"/>
        </w:rPr>
      </w:pPr>
    </w:p>
    <w:p>
      <w:pPr>
        <w:ind w:left="1341" w:hanging="446"/>
        <w:spacing w:after="0" w:line="228" w:lineRule="auto"/>
        <w:tabs>
          <w:tab w:leader="none" w:pos="1341" w:val="left"/>
        </w:tabs>
        <w:numPr>
          <w:ilvl w:val="1"/>
          <w:numId w:val="20"/>
        </w:numPr>
        <w:rPr>
          <w:rFonts w:ascii="Arial" w:cs="Arial" w:eastAsia="Arial" w:hAnsi="Arial"/>
          <w:sz w:val="17"/>
          <w:szCs w:val="17"/>
          <w:color w:val="auto"/>
        </w:rPr>
      </w:pPr>
      <w:r>
        <w:rPr>
          <w:rFonts w:ascii="Arial" w:cs="Arial" w:eastAsia="Arial" w:hAnsi="Arial"/>
          <w:sz w:val="17"/>
          <w:szCs w:val="17"/>
          <w:color w:val="auto"/>
        </w:rPr>
        <w:t>Executive, accounting, finance, sales activities such as: payroll, stock compensation expense, travel and other related costs.</w:t>
      </w:r>
    </w:p>
    <w:p>
      <w:pPr>
        <w:ind w:left="1341" w:hanging="446"/>
        <w:spacing w:after="0"/>
        <w:tabs>
          <w:tab w:leader="none" w:pos="1341"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Insurance, professional fees (audit, tax, legal etc.).</w:t>
      </w:r>
    </w:p>
    <w:p>
      <w:pPr>
        <w:spacing w:after="0" w:line="126" w:lineRule="exact"/>
        <w:rPr>
          <w:sz w:val="20"/>
          <w:szCs w:val="20"/>
          <w:color w:val="auto"/>
        </w:rPr>
      </w:pPr>
    </w:p>
    <w:p>
      <w:pPr>
        <w:jc w:val="both"/>
        <w:ind w:left="1" w:firstLine="298"/>
        <w:spacing w:after="0" w:line="254" w:lineRule="auto"/>
        <w:rPr>
          <w:sz w:val="20"/>
          <w:szCs w:val="20"/>
          <w:color w:val="auto"/>
        </w:rPr>
      </w:pPr>
      <w:r>
        <w:rPr>
          <w:rFonts w:ascii="Arial" w:cs="Arial" w:eastAsia="Arial" w:hAnsi="Arial"/>
          <w:sz w:val="17"/>
          <w:szCs w:val="17"/>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88" w:lineRule="exact"/>
        <w:rPr>
          <w:sz w:val="20"/>
          <w:szCs w:val="20"/>
          <w:color w:val="auto"/>
        </w:rPr>
      </w:pPr>
    </w:p>
    <w:tbl>
      <w:tblPr>
        <w:tblLayout w:type="fixed"/>
        <w:tblInd w:w="301"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88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720" w:type="dxa"/>
            <w:vAlign w:val="bottom"/>
            <w:gridSpan w:val="6"/>
          </w:tcPr>
          <w:p>
            <w:pPr>
              <w:ind w:left="160"/>
              <w:spacing w:after="0"/>
              <w:rPr>
                <w:sz w:val="20"/>
                <w:szCs w:val="20"/>
                <w:color w:val="auto"/>
              </w:rPr>
            </w:pPr>
            <w:r>
              <w:rPr>
                <w:rFonts w:ascii="Arial" w:cs="Arial" w:eastAsia="Arial" w:hAnsi="Arial"/>
                <w:sz w:val="15"/>
                <w:szCs w:val="15"/>
                <w:b w:val="1"/>
                <w:bCs w:val="1"/>
                <w:color w:val="auto"/>
                <w:w w:val="99"/>
              </w:rPr>
              <w:t>Three Months Ended September 30,</w:t>
            </w:r>
          </w:p>
        </w:tc>
        <w:tc>
          <w:tcPr>
            <w:tcW w:w="340" w:type="dxa"/>
            <w:vAlign w:val="bottom"/>
          </w:tcPr>
          <w:p>
            <w:pPr>
              <w:spacing w:after="0"/>
              <w:rPr>
                <w:sz w:val="17"/>
                <w:szCs w:val="17"/>
                <w:color w:val="auto"/>
              </w:rPr>
            </w:pPr>
          </w:p>
        </w:tc>
        <w:tc>
          <w:tcPr>
            <w:tcW w:w="1840" w:type="dxa"/>
            <w:vAlign w:val="bottom"/>
            <w:gridSpan w:val="3"/>
          </w:tcPr>
          <w:p>
            <w:pPr>
              <w:jc w:val="right"/>
              <w:ind w:right="125"/>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Pr>
          <w:p>
            <w:pPr>
              <w:spacing w:after="0"/>
              <w:rPr>
                <w:sz w:val="17"/>
                <w:szCs w:val="17"/>
                <w:color w:val="auto"/>
              </w:rPr>
            </w:pPr>
          </w:p>
        </w:tc>
      </w:tr>
      <w:tr>
        <w:trPr>
          <w:trHeight w:val="193"/>
        </w:trPr>
        <w:tc>
          <w:tcPr>
            <w:tcW w:w="37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w w:val="83"/>
              </w:rPr>
              <w:t>2021</w:t>
            </w:r>
          </w:p>
        </w:tc>
      </w:tr>
      <w:tr>
        <w:trPr>
          <w:trHeight w:val="31"/>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3"/>
        </w:trPr>
        <w:tc>
          <w:tcPr>
            <w:tcW w:w="372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920" w:type="dxa"/>
            <w:vAlign w:val="bottom"/>
          </w:tcPr>
          <w:p>
            <w:pPr>
              <w:jc w:val="right"/>
              <w:ind w:right="74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49,247</w:t>
            </w:r>
          </w:p>
        </w:tc>
        <w:tc>
          <w:tcPr>
            <w:tcW w:w="10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11,351</w:t>
            </w:r>
          </w:p>
        </w:tc>
        <w:tc>
          <w:tcPr>
            <w:tcW w:w="120" w:type="dxa"/>
            <w:vAlign w:val="bottom"/>
          </w:tcPr>
          <w:p>
            <w:pPr>
              <w:spacing w:after="0"/>
              <w:rPr>
                <w:sz w:val="16"/>
                <w:szCs w:val="16"/>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69,335</w:t>
            </w:r>
          </w:p>
        </w:tc>
        <w:tc>
          <w:tcPr>
            <w:tcW w:w="100" w:type="dxa"/>
            <w:vAlign w:val="bottom"/>
          </w:tcPr>
          <w:p>
            <w:pPr>
              <w:spacing w:after="0"/>
              <w:rPr>
                <w:sz w:val="16"/>
                <w:szCs w:val="16"/>
                <w:color w:val="auto"/>
              </w:rPr>
            </w:pPr>
          </w:p>
        </w:tc>
        <w:tc>
          <w:tcPr>
            <w:tcW w:w="600" w:type="dxa"/>
            <w:vAlign w:val="bottom"/>
          </w:tcPr>
          <w:p>
            <w:pPr>
              <w:jc w:val="right"/>
              <w:ind w:right="42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33,672</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4"/>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38,682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20,106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98,157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55,009</w:t>
            </w:r>
          </w:p>
        </w:tc>
      </w:tr>
      <w:tr>
        <w:trPr>
          <w:trHeight w:val="193"/>
        </w:trPr>
        <w:tc>
          <w:tcPr>
            <w:tcW w:w="372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23,763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18,383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56,448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35,560</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3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193"/>
        </w:trPr>
        <w:tc>
          <w:tcPr>
            <w:tcW w:w="3720" w:type="dxa"/>
            <w:vAlign w:val="bottom"/>
          </w:tcPr>
          <w:p>
            <w:pPr>
              <w:ind w:left="120"/>
              <w:spacing w:after="0"/>
              <w:rPr>
                <w:sz w:val="20"/>
                <w:szCs w:val="20"/>
                <w:color w:val="auto"/>
              </w:rPr>
            </w:pPr>
            <w:r>
              <w:rPr>
                <w:rFonts w:ascii="Arial" w:cs="Arial" w:eastAsia="Arial" w:hAnsi="Arial"/>
                <w:sz w:val="15"/>
                <w:szCs w:val="15"/>
                <w:color w:val="auto"/>
              </w:rPr>
              <w:t>Intersegment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(2,662)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(8,172)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(5,147)</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Equity Method Investment(s)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3"/>
              </w:rPr>
              <w:t>(42,158)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(47,247)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(14,181)</w:t>
            </w:r>
          </w:p>
        </w:tc>
      </w:tr>
      <w:tr>
        <w:trPr>
          <w:trHeight w:val="186"/>
        </w:trPr>
        <w:tc>
          <w:tcPr>
            <w:tcW w:w="3720" w:type="dxa"/>
            <w:vAlign w:val="bottom"/>
          </w:tcPr>
          <w:p>
            <w:pPr>
              <w:spacing w:after="0"/>
              <w:rPr>
                <w:sz w:val="16"/>
                <w:szCs w:val="16"/>
                <w:color w:val="auto"/>
              </w:rPr>
            </w:pPr>
          </w:p>
        </w:tc>
        <w:tc>
          <w:tcPr>
            <w:tcW w:w="920" w:type="dxa"/>
            <w:vAlign w:val="bottom"/>
            <w:tcBorders>
              <w:top w:val="single" w:sz="8" w:color="auto"/>
            </w:tcBorders>
          </w:tcPr>
          <w:p>
            <w:pPr>
              <w:jc w:val="right"/>
              <w:ind w:right="745"/>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66,550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47,184</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168,814</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104,968</w:t>
            </w:r>
          </w:p>
        </w:tc>
      </w:tr>
      <w:tr>
        <w:trPr>
          <w:trHeight w:val="31"/>
        </w:trPr>
        <w:tc>
          <w:tcPr>
            <w:tcW w:w="3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
        <w:spacing w:after="0"/>
        <w:rPr>
          <w:sz w:val="20"/>
          <w:szCs w:val="20"/>
          <w:color w:val="auto"/>
        </w:rPr>
      </w:pPr>
      <w:r>
        <w:rPr>
          <w:rFonts w:ascii="Arial" w:cs="Arial" w:eastAsia="Arial" w:hAnsi="Arial"/>
          <w:sz w:val="15"/>
          <w:szCs w:val="15"/>
          <w:color w:val="auto"/>
        </w:rPr>
        <w:t>____________</w:t>
      </w:r>
    </w:p>
    <w:p>
      <w:pPr>
        <w:spacing w:after="0" w:line="45" w:lineRule="exact"/>
        <w:rPr>
          <w:sz w:val="20"/>
          <w:szCs w:val="20"/>
          <w:color w:val="auto"/>
        </w:rPr>
      </w:pPr>
    </w:p>
    <w:p>
      <w:pPr>
        <w:ind w:left="141" w:hanging="141"/>
        <w:spacing w:after="0"/>
        <w:tabs>
          <w:tab w:leader="none" w:pos="141"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Other includes revenues of Fortistar Contracting LLC.</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Pr>
          <w:p>
            <w:pPr>
              <w:spacing w:after="0"/>
              <w:rPr>
                <w:sz w:val="15"/>
                <w:szCs w:val="15"/>
                <w:color w:val="auto"/>
              </w:rPr>
            </w:pPr>
          </w:p>
        </w:tc>
      </w:tr>
      <w:tr>
        <w:trPr>
          <w:trHeight w:val="216"/>
        </w:trPr>
        <w:tc>
          <w:tcPr>
            <w:tcW w:w="3140" w:type="dxa"/>
            <w:vAlign w:val="bottom"/>
          </w:tcPr>
          <w:p>
            <w:pPr>
              <w:spacing w:after="0"/>
              <w:rPr>
                <w:sz w:val="18"/>
                <w:szCs w:val="18"/>
                <w:color w:val="auto"/>
              </w:rPr>
            </w:pPr>
          </w:p>
        </w:tc>
        <w:tc>
          <w:tcPr>
            <w:tcW w:w="2760" w:type="dxa"/>
            <w:vAlign w:val="bottom"/>
            <w:gridSpan w:val="6"/>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Pr>
          <w:p>
            <w:pPr>
              <w:spacing w:after="0"/>
              <w:rPr>
                <w:sz w:val="18"/>
                <w:szCs w:val="18"/>
                <w:color w:val="auto"/>
              </w:rPr>
            </w:pPr>
          </w:p>
        </w:tc>
        <w:tc>
          <w:tcPr>
            <w:tcW w:w="1820" w:type="dxa"/>
            <w:vAlign w:val="bottom"/>
            <w:gridSpan w:val="3"/>
          </w:tcPr>
          <w:p>
            <w:pPr>
              <w:jc w:val="right"/>
              <w:ind w:right="105"/>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Pr>
          <w:p>
            <w:pPr>
              <w:spacing w:after="0"/>
              <w:rPr>
                <w:sz w:val="18"/>
                <w:szCs w:val="18"/>
                <w:color w:val="auto"/>
              </w:rPr>
            </w:pPr>
          </w:p>
        </w:tc>
      </w:tr>
      <w:tr>
        <w:trPr>
          <w:trHeight w:val="193"/>
        </w:trPr>
        <w:tc>
          <w:tcPr>
            <w:tcW w:w="314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w w:val="89"/>
              </w:rPr>
              <w:t>2021</w:t>
            </w:r>
          </w:p>
        </w:tc>
      </w:tr>
      <w:tr>
        <w:trPr>
          <w:trHeight w:val="31"/>
        </w:trPr>
        <w:tc>
          <w:tcPr>
            <w:tcW w:w="3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and Financing Expense, Net:</w:t>
            </w: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3"/>
        </w:trPr>
        <w:tc>
          <w:tcPr>
            <w:tcW w:w="314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(1,440)</w:t>
            </w:r>
          </w:p>
        </w:tc>
        <w:tc>
          <w:tcPr>
            <w:tcW w:w="10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(1,043)</w:t>
            </w:r>
          </w:p>
        </w:tc>
        <w:tc>
          <w:tcPr>
            <w:tcW w:w="120" w:type="dxa"/>
            <w:vAlign w:val="bottom"/>
          </w:tcPr>
          <w:p>
            <w:pPr>
              <w:spacing w:after="0"/>
              <w:rPr>
                <w:sz w:val="16"/>
                <w:szCs w:val="16"/>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(3,559)</w:t>
            </w:r>
          </w:p>
        </w:tc>
        <w:tc>
          <w:tcPr>
            <w:tcW w:w="100" w:type="dxa"/>
            <w:vAlign w:val="bottom"/>
          </w:tcPr>
          <w:p>
            <w:pPr>
              <w:spacing w:after="0"/>
              <w:rPr>
                <w:sz w:val="16"/>
                <w:szCs w:val="16"/>
                <w:color w:val="auto"/>
              </w:rPr>
            </w:pPr>
          </w:p>
        </w:tc>
        <w:tc>
          <w:tcPr>
            <w:tcW w:w="580" w:type="dxa"/>
            <w:vAlign w:val="bottom"/>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Pr>
          <w:p>
            <w:pPr>
              <w:ind w:left="440"/>
              <w:spacing w:after="0"/>
              <w:rPr>
                <w:sz w:val="20"/>
                <w:szCs w:val="20"/>
                <w:color w:val="auto"/>
              </w:rPr>
            </w:pPr>
            <w:r>
              <w:rPr>
                <w:rFonts w:ascii="Arial" w:cs="Arial" w:eastAsia="Arial" w:hAnsi="Arial"/>
                <w:sz w:val="15"/>
                <w:szCs w:val="15"/>
                <w:color w:val="auto"/>
                <w:w w:val="92"/>
              </w:rPr>
              <w:t>(3,113)</w:t>
            </w:r>
          </w:p>
        </w:tc>
      </w:tr>
      <w:tr>
        <w:trPr>
          <w:trHeight w:val="31"/>
        </w:trPr>
        <w:tc>
          <w:tcPr>
            <w:tcW w:w="3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3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21"/>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88"/>
              </w:rPr>
              <w:t>(2,522)</w:t>
            </w:r>
          </w:p>
        </w:tc>
      </w:tr>
      <w:tr>
        <w:trPr>
          <w:trHeight w:val="244"/>
        </w:trPr>
        <w:tc>
          <w:tcPr>
            <w:tcW w:w="3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(7,184)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2"/>
              </w:rPr>
              <w:t>(5,659)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
        <w:spacing w:after="0"/>
        <w:rPr>
          <w:sz w:val="20"/>
          <w:szCs w:val="20"/>
          <w:color w:val="auto"/>
        </w:rPr>
      </w:pPr>
      <w:r>
        <w:rPr>
          <w:rFonts w:ascii="Arial" w:cs="Arial" w:eastAsia="Arial" w:hAnsi="Arial"/>
          <w:sz w:val="15"/>
          <w:szCs w:val="15"/>
          <w:color w:val="auto"/>
        </w:rPr>
        <w:t>____________</w:t>
      </w:r>
    </w:p>
    <w:p>
      <w:pPr>
        <w:spacing w:after="0" w:line="200" w:lineRule="exact"/>
        <w:rPr>
          <w:sz w:val="20"/>
          <w:szCs w:val="20"/>
          <w:color w:val="auto"/>
        </w:rPr>
      </w:pPr>
    </w:p>
    <w:p>
      <w:pPr>
        <w:spacing w:after="0" w:line="320"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Arial" w:cs="Arial" w:eastAsia="Arial" w:hAnsi="Arial"/>
                <w:sz w:val="15"/>
                <w:szCs w:val="15"/>
                <w:b w:val="1"/>
                <w:bCs w:val="1"/>
                <w:color w:val="auto"/>
                <w:w w:val="94"/>
              </w:rPr>
              <w:t>Three Months Ended September</w:t>
            </w:r>
          </w:p>
        </w:tc>
        <w:tc>
          <w:tcPr>
            <w:tcW w:w="320" w:type="dxa"/>
            <w:vAlign w:val="bottom"/>
          </w:tcPr>
          <w:p>
            <w:pPr>
              <w:spacing w:after="0"/>
              <w:rPr>
                <w:sz w:val="15"/>
                <w:szCs w:val="15"/>
                <w:color w:val="auto"/>
              </w:rPr>
            </w:pPr>
          </w:p>
        </w:tc>
        <w:tc>
          <w:tcPr>
            <w:tcW w:w="2640" w:type="dxa"/>
            <w:vAlign w:val="bottom"/>
            <w:gridSpan w:val="4"/>
          </w:tcPr>
          <w:p>
            <w:pPr>
              <w:jc w:val="right"/>
              <w:ind w:right="765"/>
              <w:spacing w:after="0"/>
              <w:rPr>
                <w:sz w:val="20"/>
                <w:szCs w:val="20"/>
                <w:color w:val="auto"/>
              </w:rPr>
            </w:pPr>
            <w:r>
              <w:rPr>
                <w:rFonts w:ascii="Arial" w:cs="Arial" w:eastAsia="Arial" w:hAnsi="Arial"/>
                <w:sz w:val="15"/>
                <w:szCs w:val="15"/>
                <w:b w:val="1"/>
                <w:bCs w:val="1"/>
                <w:color w:val="auto"/>
              </w:rPr>
              <w:t>Nine Months Ended</w:t>
            </w:r>
          </w:p>
        </w:tc>
      </w:tr>
      <w:tr>
        <w:trPr>
          <w:trHeight w:val="193"/>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5"/>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Pr>
          <w:p>
            <w:pPr>
              <w:spacing w:after="0"/>
              <w:rPr>
                <w:sz w:val="16"/>
                <w:szCs w:val="16"/>
                <w:color w:val="auto"/>
              </w:rPr>
            </w:pPr>
          </w:p>
        </w:tc>
      </w:tr>
      <w:tr>
        <w:trPr>
          <w:trHeight w:val="31"/>
        </w:trPr>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85"/>
              <w:spacing w:after="0"/>
              <w:rPr>
                <w:sz w:val="20"/>
                <w:szCs w:val="20"/>
                <w:color w:val="auto"/>
              </w:rPr>
            </w:pPr>
            <w:r>
              <w:rPr>
                <w:rFonts w:ascii="Arial" w:cs="Arial" w:eastAsia="Arial" w:hAnsi="Arial"/>
                <w:sz w:val="15"/>
                <w:szCs w:val="15"/>
                <w:b w:val="1"/>
                <w:bCs w:val="1"/>
                <w:color w:val="auto"/>
              </w:rPr>
              <w:t>2021</w:t>
            </w:r>
          </w:p>
        </w:tc>
      </w:tr>
      <w:tr>
        <w:trPr>
          <w:trHeight w:val="31"/>
        </w:trPr>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Amortization, and Accretion:</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3"/>
        </w:trPr>
        <w:tc>
          <w:tcPr>
            <w:tcW w:w="3620" w:type="dxa"/>
            <w:vAlign w:val="bottom"/>
          </w:tcPr>
          <w:p>
            <w:pPr>
              <w:ind w:left="160"/>
              <w:spacing w:after="0"/>
              <w:rPr>
                <w:sz w:val="20"/>
                <w:szCs w:val="20"/>
                <w:color w:val="auto"/>
              </w:rPr>
            </w:pPr>
            <w:r>
              <w:rPr>
                <w:rFonts w:ascii="Arial" w:cs="Arial" w:eastAsia="Arial" w:hAnsi="Arial"/>
                <w:sz w:val="15"/>
                <w:szCs w:val="15"/>
                <w:color w:val="auto"/>
              </w:rPr>
              <w:t>Renewable Power</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1,268</w:t>
            </w:r>
          </w:p>
        </w:tc>
        <w:tc>
          <w:tcPr>
            <w:tcW w:w="10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4,283</w:t>
            </w:r>
          </w:p>
        </w:tc>
        <w:tc>
          <w:tcPr>
            <w:tcW w:w="120" w:type="dxa"/>
            <w:vAlign w:val="bottom"/>
          </w:tcPr>
          <w:p>
            <w:pPr>
              <w:spacing w:after="0"/>
              <w:rPr>
                <w:sz w:val="16"/>
                <w:szCs w:val="16"/>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3,735</w:t>
            </w:r>
          </w:p>
        </w:tc>
      </w:tr>
      <w:tr>
        <w:trPr>
          <w:trHeight w:val="31"/>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4"/>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RNG Fuel</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6,379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3,584</w:t>
            </w:r>
          </w:p>
        </w:tc>
      </w:tr>
      <w:tr>
        <w:trPr>
          <w:trHeight w:val="193"/>
        </w:trPr>
        <w:tc>
          <w:tcPr>
            <w:tcW w:w="3620" w:type="dxa"/>
            <w:vAlign w:val="bottom"/>
          </w:tcPr>
          <w:p>
            <w:pPr>
              <w:ind w:left="160"/>
              <w:spacing w:after="0"/>
              <w:rPr>
                <w:sz w:val="20"/>
                <w:szCs w:val="20"/>
                <w:color w:val="auto"/>
              </w:rPr>
            </w:pPr>
            <w:r>
              <w:rPr>
                <w:rFonts w:ascii="Arial" w:cs="Arial" w:eastAsia="Arial" w:hAnsi="Arial"/>
                <w:sz w:val="15"/>
                <w:szCs w:val="15"/>
                <w:color w:val="auto"/>
              </w:rPr>
              <w:t>Fuel Station Services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316</w:t>
            </w:r>
          </w:p>
        </w:tc>
      </w:tr>
      <w:tr>
        <w:trPr>
          <w:trHeight w:val="31"/>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3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93"/>
        </w:trPr>
        <w:tc>
          <w:tcPr>
            <w:tcW w:w="3620" w:type="dxa"/>
            <w:vAlign w:val="bottom"/>
          </w:tcPr>
          <w:p>
            <w:pPr>
              <w:ind w:left="160"/>
              <w:spacing w:after="0"/>
              <w:rPr>
                <w:sz w:val="20"/>
                <w:szCs w:val="20"/>
                <w:color w:val="auto"/>
              </w:rPr>
            </w:pPr>
            <w:r>
              <w:rPr>
                <w:rFonts w:ascii="Arial" w:cs="Arial" w:eastAsia="Arial" w:hAnsi="Arial"/>
                <w:sz w:val="15"/>
                <w:szCs w:val="15"/>
                <w:color w:val="auto"/>
              </w:rPr>
              <w:t>Equity Method Investment(s)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(1,272)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(1,059)</w:t>
            </w:r>
          </w:p>
        </w:tc>
      </w:tr>
      <w:tr>
        <w:trPr>
          <w:trHeight w:val="31"/>
        </w:trPr>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1"/>
        </w:trPr>
        <w:tc>
          <w:tcPr>
            <w:tcW w:w="3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9,816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01" w:hanging="301"/>
        <w:spacing w:after="0"/>
        <w:tabs>
          <w:tab w:leader="none" w:pos="401" w:val="left"/>
        </w:tabs>
        <w:numPr>
          <w:ilvl w:val="0"/>
          <w:numId w:val="22"/>
        </w:numPr>
        <w:rPr>
          <w:rFonts w:ascii="Arial" w:cs="Arial" w:eastAsia="Arial" w:hAnsi="Arial"/>
          <w:sz w:val="15"/>
          <w:szCs w:val="15"/>
          <w:color w:val="auto"/>
        </w:rPr>
      </w:pPr>
      <w:r>
        <w:rPr>
          <w:rFonts w:ascii="Arial" w:cs="Arial" w:eastAsia="Arial" w:hAnsi="Arial"/>
          <w:sz w:val="15"/>
          <w:szCs w:val="15"/>
          <w:color w:val="auto"/>
        </w:rPr>
        <w:t>Other includes amortization of intangible assets and depreciation expense not allocated to any segment.</w:t>
      </w:r>
    </w:p>
    <w:p>
      <w:pPr>
        <w:spacing w:after="0" w:line="200" w:lineRule="exact"/>
        <w:rPr>
          <w:rFonts w:ascii="Arial" w:cs="Arial" w:eastAsia="Arial" w:hAnsi="Arial"/>
          <w:sz w:val="15"/>
          <w:szCs w:val="15"/>
          <w:color w:val="auto"/>
        </w:rPr>
      </w:pPr>
    </w:p>
    <w:p>
      <w:pPr>
        <w:spacing w:after="0" w:line="294" w:lineRule="exact"/>
        <w:rPr>
          <w:rFonts w:ascii="Arial" w:cs="Arial" w:eastAsia="Arial" w:hAnsi="Arial"/>
          <w:sz w:val="15"/>
          <w:szCs w:val="15"/>
          <w:color w:val="auto"/>
        </w:rPr>
      </w:pPr>
    </w:p>
    <w:p>
      <w:pPr>
        <w:ind w:left="5461"/>
        <w:spacing w:after="0"/>
        <w:rPr>
          <w:rFonts w:ascii="Arial" w:cs="Arial" w:eastAsia="Arial" w:hAnsi="Arial"/>
          <w:sz w:val="15"/>
          <w:szCs w:val="15"/>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202565</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44" w:name="page45"/>
    <w:bookmarkEnd w:id="44"/>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Arial" w:cs="Arial" w:eastAsia="Arial" w:hAnsi="Arial"/>
                <w:sz w:val="15"/>
                <w:szCs w:val="15"/>
                <w:b w:val="1"/>
                <w:bCs w:val="1"/>
                <w:color w:val="auto"/>
                <w:w w:val="99"/>
              </w:rPr>
              <w:t>Three Months Ended September</w:t>
            </w: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880" w:type="dxa"/>
            <w:vAlign w:val="bottom"/>
          </w:tcPr>
          <w:p>
            <w:pPr>
              <w:spacing w:after="0"/>
              <w:rPr>
                <w:sz w:val="15"/>
                <w:szCs w:val="15"/>
                <w:color w:val="auto"/>
              </w:rPr>
            </w:pPr>
          </w:p>
        </w:tc>
      </w:tr>
      <w:tr>
        <w:trPr>
          <w:trHeight w:val="193"/>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76"/>
              </w:rPr>
              <w:t>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105"/>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Pr>
          <w:p>
            <w:pPr>
              <w:spacing w:after="0"/>
              <w:rPr>
                <w:sz w:val="16"/>
                <w:szCs w:val="16"/>
                <w:color w:val="auto"/>
              </w:rPr>
            </w:pPr>
          </w:p>
        </w:tc>
      </w:tr>
      <w:tr>
        <w:trPr>
          <w:trHeight w:val="31"/>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505"/>
              <w:spacing w:after="0"/>
              <w:rPr>
                <w:sz w:val="20"/>
                <w:szCs w:val="20"/>
                <w:color w:val="auto"/>
              </w:rPr>
            </w:pPr>
            <w:r>
              <w:rPr>
                <w:rFonts w:ascii="Arial" w:cs="Arial" w:eastAsia="Arial" w:hAnsi="Arial"/>
                <w:sz w:val="15"/>
                <w:szCs w:val="15"/>
                <w:b w:val="1"/>
                <w:bCs w:val="1"/>
                <w:color w:val="auto"/>
                <w:w w:val="83"/>
              </w:rPr>
              <w:t>2021</w:t>
            </w:r>
          </w:p>
        </w:tc>
      </w:tr>
      <w:tr>
        <w:trPr>
          <w:trHeight w:val="31"/>
        </w:trPr>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1,098</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(1,676)</w:t>
            </w:r>
          </w:p>
        </w:tc>
        <w:tc>
          <w:tcPr>
            <w:tcW w:w="10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(1,071)</w:t>
            </w:r>
          </w:p>
        </w:tc>
        <w:tc>
          <w:tcPr>
            <w:tcW w:w="120" w:type="dxa"/>
            <w:vAlign w:val="bottom"/>
          </w:tcPr>
          <w:p>
            <w:pPr>
              <w:spacing w:after="0"/>
              <w:rPr>
                <w:sz w:val="20"/>
                <w:szCs w:val="20"/>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(6,526)</w:t>
            </w:r>
          </w:p>
        </w:tc>
      </w:tr>
      <w:tr>
        <w:trPr>
          <w:trHeight w:val="242"/>
        </w:trPr>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25,779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12,743</w:t>
            </w:r>
          </w:p>
        </w:tc>
      </w:tr>
      <w:tr>
        <w:trPr>
          <w:trHeight w:val="230"/>
        </w:trPr>
        <w:tc>
          <w:tcPr>
            <w:tcW w:w="510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5,523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5,488</w:t>
            </w:r>
          </w:p>
        </w:tc>
      </w:tr>
      <w:tr>
        <w:trPr>
          <w:trHeight w:val="242"/>
        </w:trPr>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(33,329)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4,853</w:t>
            </w:r>
          </w:p>
        </w:tc>
      </w:tr>
      <w:tr>
        <w:trPr>
          <w:trHeight w:val="230"/>
        </w:trPr>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Equity Method Investment(s)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3,658</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2,392</w:t>
            </w:r>
          </w:p>
        </w:tc>
      </w:tr>
      <w:tr>
        <w:trPr>
          <w:trHeight w:val="247"/>
        </w:trPr>
        <w:tc>
          <w:tcPr>
            <w:tcW w:w="5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5,369</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18,950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Pr>
          <w:p>
            <w:pPr>
              <w:spacing w:after="0"/>
              <w:rPr>
                <w:sz w:val="16"/>
                <w:szCs w:val="16"/>
                <w:color w:val="auto"/>
              </w:rPr>
            </w:pPr>
          </w:p>
        </w:tc>
      </w:tr>
      <w:tr>
        <w:trPr>
          <w:trHeight w:val="203"/>
        </w:trPr>
        <w:tc>
          <w:tcPr>
            <w:tcW w:w="4980" w:type="dxa"/>
            <w:vAlign w:val="bottom"/>
          </w:tcPr>
          <w:p>
            <w:pPr>
              <w:spacing w:after="0"/>
              <w:rPr>
                <w:sz w:val="17"/>
                <w:szCs w:val="17"/>
                <w:color w:val="auto"/>
              </w:rPr>
            </w:pPr>
          </w:p>
        </w:tc>
        <w:tc>
          <w:tcPr>
            <w:tcW w:w="2780" w:type="dxa"/>
            <w:vAlign w:val="bottom"/>
            <w:gridSpan w:val="6"/>
          </w:tcPr>
          <w:p>
            <w:pPr>
              <w:ind w:left="200"/>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Pr>
          <w:p>
            <w:pPr>
              <w:spacing w:after="0"/>
              <w:rPr>
                <w:sz w:val="17"/>
                <w:szCs w:val="17"/>
                <w:color w:val="auto"/>
              </w:rPr>
            </w:pPr>
          </w:p>
        </w:tc>
        <w:tc>
          <w:tcPr>
            <w:tcW w:w="1840" w:type="dxa"/>
            <w:vAlign w:val="bottom"/>
            <w:gridSpan w:val="3"/>
          </w:tcPr>
          <w:p>
            <w:pPr>
              <w:jc w:val="right"/>
              <w:ind w:right="105"/>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Pr>
          <w:p>
            <w:pPr>
              <w:spacing w:after="0"/>
              <w:rPr>
                <w:sz w:val="17"/>
                <w:szCs w:val="17"/>
                <w:color w:val="auto"/>
              </w:rPr>
            </w:pPr>
          </w:p>
        </w:tc>
      </w:tr>
      <w:tr>
        <w:trPr>
          <w:trHeight w:val="193"/>
        </w:trPr>
        <w:tc>
          <w:tcPr>
            <w:tcW w:w="49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b w:val="1"/>
                <w:bCs w:val="1"/>
                <w:color w:val="auto"/>
                <w:w w:val="83"/>
              </w:rPr>
              <w:t>2021</w:t>
            </w:r>
          </w:p>
        </w:tc>
      </w:tr>
      <w:tr>
        <w:trPr>
          <w:trHeight w:val="31"/>
        </w:trPr>
        <w:tc>
          <w:tcPr>
            <w:tcW w:w="4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Purchases of Property, Plant, and Equipment:</w:t>
            </w:r>
          </w:p>
        </w:tc>
        <w:tc>
          <w:tcPr>
            <w:tcW w:w="9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3"/>
        </w:trPr>
        <w:tc>
          <w:tcPr>
            <w:tcW w:w="4980" w:type="dxa"/>
            <w:vAlign w:val="bottom"/>
          </w:tcPr>
          <w:p>
            <w:pPr>
              <w:ind w:left="140"/>
              <w:spacing w:after="0"/>
              <w:rPr>
                <w:sz w:val="20"/>
                <w:szCs w:val="20"/>
                <w:color w:val="auto"/>
              </w:rPr>
            </w:pPr>
            <w:r>
              <w:rPr>
                <w:rFonts w:ascii="Arial" w:cs="Arial" w:eastAsia="Arial" w:hAnsi="Arial"/>
                <w:sz w:val="15"/>
                <w:szCs w:val="15"/>
                <w:color w:val="auto"/>
              </w:rPr>
              <w:t>Renewable Power</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1,800</w:t>
            </w:r>
          </w:p>
        </w:tc>
        <w:tc>
          <w:tcPr>
            <w:tcW w:w="120" w:type="dxa"/>
            <w:vAlign w:val="bottom"/>
          </w:tcPr>
          <w:p>
            <w:pPr>
              <w:spacing w:after="0"/>
              <w:rPr>
                <w:sz w:val="16"/>
                <w:szCs w:val="16"/>
                <w:color w:val="auto"/>
              </w:rPr>
            </w:pPr>
          </w:p>
        </w:tc>
        <w:tc>
          <w:tcPr>
            <w:tcW w:w="580" w:type="dxa"/>
            <w:vAlign w:val="bottom"/>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Fuel Station Services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10,519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10,519</w:t>
            </w:r>
          </w:p>
        </w:tc>
      </w:tr>
      <w:tr>
        <w:trPr>
          <w:trHeight w:val="193"/>
        </w:trPr>
        <w:tc>
          <w:tcPr>
            <w:tcW w:w="4980" w:type="dxa"/>
            <w:vAlign w:val="bottom"/>
          </w:tcPr>
          <w:p>
            <w:pPr>
              <w:ind w:left="140"/>
              <w:spacing w:after="0"/>
              <w:rPr>
                <w:sz w:val="20"/>
                <w:szCs w:val="20"/>
                <w:color w:val="auto"/>
              </w:rPr>
            </w:pPr>
            <w:r>
              <w:rPr>
                <w:rFonts w:ascii="Arial" w:cs="Arial" w:eastAsia="Arial" w:hAnsi="Arial"/>
                <w:sz w:val="15"/>
                <w:szCs w:val="15"/>
                <w:color w:val="auto"/>
              </w:rPr>
              <w:t>RNG Fuel</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25,937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18,452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76,496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52,874</w:t>
            </w:r>
          </w:p>
        </w:tc>
      </w:tr>
      <w:tr>
        <w:trPr>
          <w:trHeight w:val="31"/>
        </w:trPr>
        <w:tc>
          <w:tcPr>
            <w:tcW w:w="4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29,790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28,971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84,949</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63,393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auto"/>
                <w:w w:val="98"/>
              </w:rPr>
              <w:t>December 31,</w:t>
            </w:r>
          </w:p>
        </w:tc>
      </w:tr>
      <w:tr>
        <w:trPr>
          <w:trHeight w:val="203"/>
        </w:trPr>
        <w:tc>
          <w:tcPr>
            <w:tcW w:w="8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6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42,654</w:t>
            </w: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43,728</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387,434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215,512</w:t>
            </w:r>
          </w:p>
        </w:tc>
      </w:tr>
      <w:tr>
        <w:trPr>
          <w:trHeight w:val="221"/>
        </w:trPr>
        <w:tc>
          <w:tcPr>
            <w:tcW w:w="816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56,567</w:t>
            </w:r>
          </w:p>
        </w:tc>
      </w:tr>
      <w:tr>
        <w:trPr>
          <w:trHeight w:val="227"/>
        </w:trPr>
        <w:tc>
          <w:tcPr>
            <w:tcW w:w="8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and 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17,887</w:t>
            </w:r>
          </w:p>
        </w:tc>
      </w:tr>
      <w:tr>
        <w:trPr>
          <w:trHeight w:val="193"/>
        </w:trPr>
        <w:tc>
          <w:tcPr>
            <w:tcW w:w="8160" w:type="dxa"/>
            <w:vAlign w:val="bottom"/>
          </w:tcPr>
          <w:p>
            <w:pPr>
              <w:ind w:left="120"/>
              <w:spacing w:after="0"/>
              <w:rPr>
                <w:sz w:val="20"/>
                <w:szCs w:val="20"/>
                <w:color w:val="auto"/>
              </w:rPr>
            </w:pPr>
            <w:r>
              <w:rPr>
                <w:rFonts w:ascii="Arial" w:cs="Arial" w:eastAsia="Arial" w:hAnsi="Arial"/>
                <w:sz w:val="15"/>
                <w:szCs w:val="15"/>
                <w:color w:val="auto"/>
              </w:rPr>
              <w:t>Equity Method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48,708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47,150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1"/>
        </w:trPr>
        <w:tc>
          <w:tcPr>
            <w:tcW w:w="8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656,056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380,844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Geographic Information: The Company's assets and revenue generating activities are domiciled in the United States.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13. Variable Interest Entities</w:t>
      </w:r>
    </w:p>
    <w:p>
      <w:pPr>
        <w:spacing w:after="0" w:line="132" w:lineRule="exact"/>
        <w:rPr>
          <w:sz w:val="20"/>
          <w:szCs w:val="20"/>
          <w:color w:val="auto"/>
        </w:rPr>
      </w:pPr>
    </w:p>
    <w:p>
      <w:pPr>
        <w:jc w:val="both"/>
        <w:ind w:left="100" w:firstLine="298"/>
        <w:spacing w:after="0" w:line="265"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07" w:lineRule="exact"/>
        <w:rPr>
          <w:sz w:val="20"/>
          <w:szCs w:val="20"/>
          <w:color w:val="auto"/>
        </w:rPr>
      </w:pPr>
    </w:p>
    <w:p>
      <w:pPr>
        <w:jc w:val="both"/>
        <w:ind w:left="100" w:firstLine="298"/>
        <w:spacing w:after="0" w:line="250" w:lineRule="auto"/>
        <w:rPr>
          <w:sz w:val="20"/>
          <w:szCs w:val="20"/>
          <w:color w:val="auto"/>
        </w:rPr>
      </w:pPr>
      <w:r>
        <w:rPr>
          <w:rFonts w:ascii="Arial" w:cs="Arial" w:eastAsia="Arial" w:hAnsi="Arial"/>
          <w:sz w:val="17"/>
          <w:szCs w:val="17"/>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18" w:lineRule="exact"/>
        <w:rPr>
          <w:sz w:val="20"/>
          <w:szCs w:val="20"/>
          <w:color w:val="auto"/>
        </w:rPr>
      </w:pPr>
    </w:p>
    <w:p>
      <w:pPr>
        <w:jc w:val="both"/>
        <w:ind w:left="100" w:firstLine="298"/>
        <w:spacing w:after="0" w:line="254" w:lineRule="auto"/>
        <w:rPr>
          <w:sz w:val="20"/>
          <w:szCs w:val="20"/>
          <w:color w:val="auto"/>
        </w:rPr>
      </w:pPr>
      <w:r>
        <w:rPr>
          <w:rFonts w:ascii="Arial" w:cs="Arial" w:eastAsia="Arial" w:hAnsi="Arial"/>
          <w:sz w:val="17"/>
          <w:szCs w:val="17"/>
          <w:color w:val="auto"/>
        </w:rPr>
        <w:t>As of September 30,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w:t>
      </w:r>
    </w:p>
    <w:p>
      <w:pPr>
        <w:spacing w:after="0" w:line="100" w:lineRule="exact"/>
        <w:rPr>
          <w:sz w:val="20"/>
          <w:szCs w:val="20"/>
          <w:color w:val="auto"/>
        </w:rPr>
      </w:pPr>
    </w:p>
    <w:p>
      <w:pPr>
        <w:jc w:val="both"/>
        <w:ind w:left="100" w:firstLine="298"/>
        <w:spacing w:after="0" w:line="250" w:lineRule="auto"/>
        <w:rPr>
          <w:sz w:val="20"/>
          <w:szCs w:val="20"/>
          <w:color w:val="auto"/>
        </w:rPr>
      </w:pPr>
      <w:r>
        <w:rPr>
          <w:rFonts w:ascii="Arial" w:cs="Arial" w:eastAsia="Arial" w:hAnsi="Arial"/>
          <w:sz w:val="17"/>
          <w:szCs w:val="17"/>
          <w:color w:val="auto"/>
        </w:rPr>
        <w:t>During the three months ended September 30,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condensed consolidated balance sheet as of September 30, 2022 and recorded $4,365 as Other income in its condensed consolidated statement of operations for the three and nine months ended September 30, 2022.</w:t>
      </w:r>
    </w:p>
    <w:p>
      <w:pPr>
        <w:spacing w:after="0" w:line="118" w:lineRule="exact"/>
        <w:rPr>
          <w:sz w:val="20"/>
          <w:szCs w:val="20"/>
          <w:color w:val="auto"/>
        </w:rPr>
      </w:pPr>
    </w:p>
    <w:p>
      <w:pPr>
        <w:jc w:val="both"/>
        <w:ind w:left="100" w:firstLine="298"/>
        <w:spacing w:after="0" w:line="250" w:lineRule="auto"/>
        <w:rPr>
          <w:sz w:val="20"/>
          <w:szCs w:val="20"/>
          <w:color w:val="auto"/>
        </w:rPr>
      </w:pPr>
      <w:r>
        <w:rPr>
          <w:rFonts w:ascii="Arial" w:cs="Arial" w:eastAsia="Arial" w:hAnsi="Arial"/>
          <w:sz w:val="17"/>
          <w:szCs w:val="17"/>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194945</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46" w:name="page47"/>
    <w:bookmarkEnd w:id="46"/>
    <w:p>
      <w:pPr>
        <w:spacing w:after="0" w:line="167" w:lineRule="exact"/>
        <w:rPr>
          <w:sz w:val="20"/>
          <w:szCs w:val="20"/>
          <w:color w:val="auto"/>
        </w:rPr>
      </w:pPr>
    </w:p>
    <w:p>
      <w:pPr>
        <w:ind w:firstLine="298"/>
        <w:spacing w:after="0" w:line="264" w:lineRule="auto"/>
        <w:rPr>
          <w:sz w:val="20"/>
          <w:szCs w:val="20"/>
          <w:color w:val="auto"/>
        </w:rPr>
      </w:pPr>
      <w:r>
        <w:rPr>
          <w:rFonts w:ascii="Arial" w:cs="Arial" w:eastAsia="Arial" w:hAnsi="Arial"/>
          <w:sz w:val="17"/>
          <w:szCs w:val="17"/>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92" w:lineRule="exact"/>
        <w:rPr>
          <w:sz w:val="20"/>
          <w:szCs w:val="20"/>
          <w:color w:val="auto"/>
        </w:rPr>
      </w:pPr>
    </w:p>
    <w:p>
      <w:pPr>
        <w:ind w:left="740" w:right="120" w:hanging="442"/>
        <w:spacing w:after="0" w:line="264" w:lineRule="auto"/>
        <w:tabs>
          <w:tab w:leader="none" w:pos="7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as a managing member, has the power to order the activities that significantly impact the economic performance of the four entities including establishment of strategic, operating, and capital decisions for each of these entities; and</w:t>
      </w:r>
    </w:p>
    <w:p>
      <w:pPr>
        <w:spacing w:after="0" w:line="104" w:lineRule="exact"/>
        <w:rPr>
          <w:rFonts w:ascii="Arial" w:cs="Arial" w:eastAsia="Arial" w:hAnsi="Arial"/>
          <w:sz w:val="17"/>
          <w:szCs w:val="17"/>
          <w:color w:val="auto"/>
        </w:rPr>
      </w:pPr>
    </w:p>
    <w:p>
      <w:pPr>
        <w:ind w:left="740" w:hanging="442"/>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As a primary beneficiary, the Company consolidates these entities in accordance with the variable interest entity model guidance under ASC 810, </w:t>
      </w:r>
      <w:r>
        <w:rPr>
          <w:rFonts w:ascii="Arial" w:cs="Arial" w:eastAsia="Arial" w:hAnsi="Arial"/>
          <w:sz w:val="14"/>
          <w:szCs w:val="14"/>
          <w:i w:val="1"/>
          <w:iCs w:val="1"/>
          <w:color w:val="auto"/>
        </w:rPr>
        <w:t>Consolidation</w:t>
      </w:r>
      <w:r>
        <w:rPr>
          <w:rFonts w:ascii="Arial" w:cs="Arial" w:eastAsia="Arial" w:hAnsi="Arial"/>
          <w:sz w:val="14"/>
          <w:szCs w:val="14"/>
          <w:color w:val="auto"/>
        </w:rPr>
        <w:t>.</w:t>
      </w:r>
    </w:p>
    <w:p>
      <w:pPr>
        <w:spacing w:after="0" w:line="162"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71"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04" w:lineRule="exact"/>
        <w:rPr>
          <w:sz w:val="20"/>
          <w:szCs w:val="20"/>
          <w:color w:val="auto"/>
        </w:rPr>
      </w:pPr>
    </w:p>
    <w:p>
      <w:pPr>
        <w:jc w:val="both"/>
        <w:ind w:firstLine="298"/>
        <w:spacing w:after="0" w:line="371" w:lineRule="auto"/>
        <w:rPr>
          <w:sz w:val="20"/>
          <w:szCs w:val="20"/>
          <w:color w:val="auto"/>
        </w:rPr>
      </w:pPr>
      <w:r>
        <w:rPr>
          <w:rFonts w:ascii="Arial" w:cs="Arial" w:eastAsia="Arial" w:hAnsi="Arial"/>
          <w:sz w:val="14"/>
          <w:szCs w:val="14"/>
          <w:color w:val="auto"/>
        </w:rPr>
        <w:t>The following table summarizes the major condensed consolidated balance sheet items for consolidated VIEs as of September 30, 2022 and December 31, 2021. The information below is presented on an aggregate basis based on similar risk and reward characteristics and the nature of our involvement with the VIEs, such as:</w:t>
      </w:r>
    </w:p>
    <w:p>
      <w:pPr>
        <w:spacing w:after="0" w:line="24" w:lineRule="exact"/>
        <w:rPr>
          <w:sz w:val="20"/>
          <w:szCs w:val="20"/>
          <w:color w:val="auto"/>
        </w:rPr>
      </w:pPr>
    </w:p>
    <w:p>
      <w:pPr>
        <w:ind w:left="740" w:hanging="442"/>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of the VIEs are RNG facilities and they are reported under the RNG Fuel Supply segment;</w:t>
      </w:r>
    </w:p>
    <w:p>
      <w:pPr>
        <w:spacing w:after="0" w:line="140" w:lineRule="exact"/>
        <w:rPr>
          <w:rFonts w:ascii="Arial" w:cs="Arial" w:eastAsia="Arial" w:hAnsi="Arial"/>
          <w:sz w:val="17"/>
          <w:szCs w:val="17"/>
          <w:color w:val="auto"/>
        </w:rPr>
      </w:pPr>
    </w:p>
    <w:p>
      <w:pPr>
        <w:ind w:left="740" w:hanging="442"/>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nature of our interest in these entities is primarily equity based and therefore carry similar risk and reward characteristics;</w:t>
      </w:r>
    </w:p>
    <w:p>
      <w:pPr>
        <w:spacing w:after="0" w:line="103" w:lineRule="exact"/>
        <w:rPr>
          <w:sz w:val="20"/>
          <w:szCs w:val="20"/>
          <w:color w:val="auto"/>
        </w:rPr>
      </w:pPr>
    </w:p>
    <w:p>
      <w:pPr>
        <w:ind w:right="180" w:firstLine="298"/>
        <w:spacing w:after="0" w:line="264" w:lineRule="auto"/>
        <w:rPr>
          <w:sz w:val="20"/>
          <w:szCs w:val="20"/>
          <w:color w:val="auto"/>
        </w:rPr>
      </w:pPr>
      <w:r>
        <w:rPr>
          <w:rFonts w:ascii="Arial" w:cs="Arial" w:eastAsia="Arial" w:hAnsi="Arial"/>
          <w:sz w:val="17"/>
          <w:szCs w:val="17"/>
          <w:color w:val="auto"/>
        </w:rPr>
        <w:t>The amount of assets that can only be used to settle obligations of the VIEs are parenthesized in the condensed consolidated balance sheets and are included in the asset totals listed in the table below.</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42"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As of</w:t>
            </w:r>
          </w:p>
        </w:tc>
        <w:tc>
          <w:tcPr>
            <w:tcW w:w="200" w:type="dxa"/>
            <w:vAlign w:val="bottom"/>
          </w:tcPr>
          <w:p>
            <w:pPr>
              <w:spacing w:after="0"/>
              <w:rPr>
                <w:sz w:val="16"/>
                <w:szCs w:val="16"/>
                <w:color w:val="auto"/>
              </w:rPr>
            </w:pPr>
          </w:p>
        </w:tc>
        <w:tc>
          <w:tcPr>
            <w:tcW w:w="1280" w:type="dxa"/>
            <w:vAlign w:val="bottom"/>
          </w:tcPr>
          <w:p>
            <w:pPr>
              <w:jc w:val="center"/>
              <w:ind w:right="125"/>
              <w:spacing w:after="0"/>
              <w:rPr>
                <w:sz w:val="20"/>
                <w:szCs w:val="20"/>
                <w:color w:val="auto"/>
              </w:rPr>
            </w:pPr>
            <w:r>
              <w:rPr>
                <w:rFonts w:ascii="Arial" w:cs="Arial" w:eastAsia="Arial" w:hAnsi="Arial"/>
                <w:sz w:val="15"/>
                <w:szCs w:val="15"/>
                <w:b w:val="1"/>
                <w:bCs w:val="1"/>
                <w:color w:val="auto"/>
                <w:w w:val="85"/>
              </w:rPr>
              <w:t>As of</w:t>
            </w:r>
          </w:p>
        </w:tc>
      </w:t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September 30,</w:t>
            </w:r>
          </w:p>
        </w:tc>
        <w:tc>
          <w:tcPr>
            <w:tcW w:w="200" w:type="dxa"/>
            <w:vAlign w:val="bottom"/>
          </w:tcPr>
          <w:p>
            <w:pPr>
              <w:spacing w:after="0"/>
              <w:rPr>
                <w:sz w:val="15"/>
                <w:szCs w:val="15"/>
                <w:color w:val="auto"/>
              </w:rPr>
            </w:pPr>
          </w:p>
        </w:tc>
        <w:tc>
          <w:tcPr>
            <w:tcW w:w="1280" w:type="dxa"/>
            <w:vAlign w:val="bottom"/>
          </w:tcPr>
          <w:p>
            <w:pPr>
              <w:jc w:val="center"/>
              <w:ind w:right="125"/>
              <w:spacing w:after="0"/>
              <w:rPr>
                <w:sz w:val="20"/>
                <w:szCs w:val="20"/>
                <w:color w:val="auto"/>
              </w:rPr>
            </w:pPr>
            <w:r>
              <w:rPr>
                <w:rFonts w:ascii="Arial" w:cs="Arial" w:eastAsia="Arial" w:hAnsi="Arial"/>
                <w:sz w:val="15"/>
                <w:szCs w:val="15"/>
                <w:b w:val="1"/>
                <w:bCs w:val="1"/>
                <w:color w:val="auto"/>
                <w:w w:val="90"/>
              </w:rPr>
              <w:t>December 31,</w:t>
            </w:r>
          </w:p>
        </w:tc>
      </w:tr>
      <w:tr>
        <w:trPr>
          <w:trHeight w:val="203"/>
        </w:trPr>
        <w:tc>
          <w:tcPr>
            <w:tcW w:w="8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3"/>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9"/>
              </w:rPr>
              <w:t>2021</w:t>
            </w: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10,045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1,991</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Restricted cash - current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Short term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15,411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186"/>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34,476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2,144</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50,099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27,794</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Restricted cash, non-current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2,867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1,163</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31,101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544</w:t>
            </w:r>
          </w:p>
        </w:tc>
      </w:tr>
      <w:tr>
        <w:trPr>
          <w:trHeight w:val="193"/>
        </w:trPr>
        <w:tc>
          <w:tcPr>
            <w:tcW w:w="8160" w:type="dxa"/>
            <w:vAlign w:val="bottom"/>
          </w:tcPr>
          <w:p>
            <w:pPr>
              <w:ind w:left="140"/>
              <w:spacing w:after="0"/>
              <w:rPr>
                <w:sz w:val="20"/>
                <w:szCs w:val="20"/>
                <w:color w:val="auto"/>
              </w:rPr>
            </w:pPr>
            <w:r>
              <w:rPr>
                <w:rFonts w:ascii="Arial" w:cs="Arial" w:eastAsia="Arial" w:hAnsi="Arial"/>
                <w:sz w:val="15"/>
                <w:szCs w:val="15"/>
                <w:color w:val="auto"/>
              </w:rPr>
              <w:t>Accrued capital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1,722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756</w:t>
            </w:r>
          </w:p>
        </w:tc>
      </w:tr>
      <w:tr>
        <w:trPr>
          <w:trHeight w:val="186"/>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4,276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3,022</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net of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16,199</w:t>
            </w:r>
          </w:p>
        </w:tc>
      </w:tr>
      <w:tr>
        <w:trPr>
          <w:trHeight w:val="186"/>
        </w:trPr>
        <w:tc>
          <w:tcPr>
            <w:tcW w:w="816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26,356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19,221</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34,412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10,692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Non-redeemable non-controlling interests </w:t>
            </w:r>
            <w:r>
              <w:rPr>
                <w:rFonts w:ascii="Arial" w:cs="Arial" w:eastAsia="Arial" w:hAnsi="Arial"/>
                <w:sz w:val="19"/>
                <w:szCs w:val="19"/>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w:t>
            </w:r>
          </w:p>
        </w:tc>
      </w:tr>
      <w:tr>
        <w:trPr>
          <w:trHeight w:val="186"/>
        </w:trPr>
        <w:tc>
          <w:tcPr>
            <w:tcW w:w="8160" w:type="dxa"/>
            <w:vAlign w:val="bottom"/>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61,086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11,880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31,101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left="1" w:firstLine="298"/>
        <w:spacing w:after="0" w:line="292" w:lineRule="auto"/>
        <w:tabs>
          <w:tab w:leader="none" w:pos="451"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In August 2022, the Company paid $5,845 as prepayment of its share of equity contribution in a joint venture to meet the equity requirements. As of September 30, 2022, $2,922 of the payment has been reflected as part of non-redeemable non-controlling interest in the condensed consolidated statement of changes in Redeemable non-controlling interests, redeemable preferred non-controlling interests and stockholders' equity.</w:t>
      </w:r>
    </w:p>
    <w:p>
      <w:pPr>
        <w:spacing w:after="0" w:line="200" w:lineRule="exact"/>
        <w:rPr>
          <w:rFonts w:ascii="Arial" w:cs="Arial" w:eastAsia="Arial" w:hAnsi="Arial"/>
          <w:sz w:val="18"/>
          <w:szCs w:val="18"/>
          <w:color w:val="auto"/>
          <w:vertAlign w:val="superscript"/>
        </w:rPr>
      </w:pPr>
    </w:p>
    <w:p>
      <w:pPr>
        <w:spacing w:after="0" w:line="358" w:lineRule="exact"/>
        <w:rPr>
          <w:rFonts w:ascii="Arial" w:cs="Arial" w:eastAsia="Arial" w:hAnsi="Arial"/>
          <w:sz w:val="18"/>
          <w:szCs w:val="18"/>
          <w:color w:val="auto"/>
          <w:vertAlign w:val="superscript"/>
        </w:rPr>
      </w:pPr>
    </w:p>
    <w:p>
      <w:pPr>
        <w:ind w:left="241" w:hanging="241"/>
        <w:spacing w:after="0"/>
        <w:tabs>
          <w:tab w:leader="none" w:pos="241"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Redeemable non-controlling interests, Redeemable preferred non-controlling interests and Stockholders' Equity</w:t>
      </w:r>
    </w:p>
    <w:p>
      <w:pPr>
        <w:spacing w:after="0" w:line="219" w:lineRule="exact"/>
        <w:rPr>
          <w:sz w:val="20"/>
          <w:szCs w:val="20"/>
          <w:color w:val="auto"/>
        </w:rPr>
      </w:pPr>
    </w:p>
    <w:p>
      <w:pPr>
        <w:jc w:val="both"/>
        <w:ind w:left="1" w:firstLine="298"/>
        <w:spacing w:after="0" w:line="292" w:lineRule="auto"/>
        <w:rPr>
          <w:sz w:val="20"/>
          <w:szCs w:val="20"/>
          <w:color w:val="auto"/>
        </w:rPr>
      </w:pPr>
      <w:r>
        <w:rPr>
          <w:rFonts w:ascii="Arial" w:cs="Arial" w:eastAsia="Arial" w:hAnsi="Arial"/>
          <w:sz w:val="14"/>
          <w:szCs w:val="14"/>
          <w:color w:val="auto"/>
        </w:rPr>
        <w:t xml:space="preserve">The condensed consolidated statements of change in Redeemable non-controlling interests, Redeemable preferred non-controlling interests and stockholders' equity reflect the reverse recapitalization and Business Combination as mentioned in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these condensed consolidated statements of change in redeemable preferred units and stockholders' equity were retroactively adjusted.</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Common stock</w:t>
      </w:r>
    </w:p>
    <w:p>
      <w:pPr>
        <w:spacing w:after="0" w:line="215" w:lineRule="exact"/>
        <w:rPr>
          <w:sz w:val="20"/>
          <w:szCs w:val="20"/>
          <w:color w:val="auto"/>
        </w:rPr>
      </w:pPr>
    </w:p>
    <w:p>
      <w:pPr>
        <w:jc w:val="both"/>
        <w:ind w:left="1" w:firstLine="298"/>
        <w:spacing w:after="0" w:line="235" w:lineRule="auto"/>
        <w:rPr>
          <w:sz w:val="20"/>
          <w:szCs w:val="20"/>
          <w:color w:val="auto"/>
        </w:rPr>
      </w:pPr>
      <w:r>
        <w:rPr>
          <w:rFonts w:ascii="Arial" w:cs="Arial" w:eastAsia="Arial" w:hAnsi="Arial"/>
          <w:sz w:val="17"/>
          <w:szCs w:val="17"/>
          <w:color w:val="auto"/>
        </w:rPr>
        <w:t>After giving effect to the Business Combination, there are currently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202565</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48" w:name="page49"/>
    <w:bookmarkEnd w:id="48"/>
    <w:p>
      <w:pPr>
        <w:spacing w:after="0" w:line="241"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 xml:space="preserve">As part of the Business Combination, $68,257 of Class A common stock and Additional paid-in capital was recorded, net of transaction costs of $6,569. Please see Note 3,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for additional information</w:t>
      </w:r>
      <w:r>
        <w:rPr>
          <w:rFonts w:ascii="Arial" w:cs="Arial" w:eastAsia="Arial" w:hAnsi="Arial"/>
          <w:sz w:val="17"/>
          <w:szCs w:val="17"/>
          <w:i w:val="1"/>
          <w:i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A common stock</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Class A common stock is entitled to one vote for each share of Class A common stock held of record by such holder on all matters 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99" w:lineRule="exact"/>
        <w:rPr>
          <w:sz w:val="20"/>
          <w:szCs w:val="20"/>
          <w:color w:val="auto"/>
        </w:rPr>
      </w:pPr>
    </w:p>
    <w:p>
      <w:pPr>
        <w:jc w:val="both"/>
        <w:spacing w:after="0" w:line="353" w:lineRule="auto"/>
        <w:rPr>
          <w:sz w:val="20"/>
          <w:szCs w:val="20"/>
          <w:color w:val="auto"/>
        </w:rPr>
      </w:pPr>
      <w:r>
        <w:rPr>
          <w:rFonts w:ascii="Arial" w:cs="Arial" w:eastAsia="Arial" w:hAnsi="Arial"/>
          <w:sz w:val="14"/>
          <w:szCs w:val="14"/>
          <w:i w:val="1"/>
          <w:iCs w:val="1"/>
          <w:color w:val="auto"/>
        </w:rPr>
        <w:t xml:space="preserve">Dividends. </w:t>
      </w:r>
      <w:r>
        <w:rPr>
          <w:rFonts w:ascii="Arial" w:cs="Arial" w:eastAsia="Arial" w:hAnsi="Arial"/>
          <w:sz w:val="14"/>
          <w:szCs w:val="14"/>
          <w:color w:val="auto"/>
        </w:rPr>
        <w:t>Dividends and other distributions of cash, stock or property may be declared and paid on the shares of Class A common stock and the shares of Class C</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out of the assets of the Company that are by law available therefor, at the times and in the amounts as our board in its discretion may determine.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 xml:space="preserve">Liquidation rights. </w:t>
      </w:r>
      <w:r>
        <w:rPr>
          <w:rFonts w:ascii="Arial" w:cs="Arial" w:eastAsia="Arial" w:hAnsi="Arial"/>
          <w:sz w:val="14"/>
          <w:szCs w:val="14"/>
          <w:color w:val="auto"/>
        </w:rPr>
        <w:t>In the event of any voluntary or involuntary liquidation, dissolution or winding-up of the affairs of the Company, after payment or provision for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rPr>
          <w:sz w:val="20"/>
          <w:szCs w:val="20"/>
          <w:color w:val="auto"/>
        </w:rPr>
      </w:pPr>
      <w:r>
        <w:rPr>
          <w:rFonts w:ascii="Arial" w:cs="Arial" w:eastAsia="Arial" w:hAnsi="Arial"/>
          <w:sz w:val="17"/>
          <w:szCs w:val="17"/>
          <w:i w:val="1"/>
          <w:iCs w:val="1"/>
          <w:color w:val="auto"/>
        </w:rPr>
        <w:t>Class B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Shares of Class B common stock may, together with the corresponding Class B Units, be exchanged for shares of Class A common stock.</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Class B common stock will be entitled to one vote for each share of Class B common stock held of record by such holder on all matters 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of cash or property may not be declared or paid on shares of Class B common stock.</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 xml:space="preserve">Liquidation rights. </w:t>
      </w:r>
      <w:r>
        <w:rPr>
          <w:rFonts w:ascii="Arial" w:cs="Arial" w:eastAsia="Arial" w:hAnsi="Arial"/>
          <w:sz w:val="14"/>
          <w:szCs w:val="14"/>
          <w:color w:val="auto"/>
        </w:rPr>
        <w:t>In the event of any voluntary or involuntary liquidation, dissolution or winding-up of the affairs of the Company, after payment or provision for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C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Shares of Class C common stock may be converted to shares of Class A common stock, as discussed further below</w:t>
      </w:r>
      <w:r>
        <w:rPr>
          <w:rFonts w:ascii="Arial" w:cs="Arial" w:eastAsia="Arial" w:hAnsi="Arial"/>
          <w:sz w:val="17"/>
          <w:szCs w:val="17"/>
          <w:i w:val="1"/>
          <w:iCs w:val="1"/>
          <w:color w:val="auto"/>
        </w:rPr>
        <w:t>.</w:t>
      </w:r>
    </w:p>
    <w:p>
      <w:pPr>
        <w:spacing w:after="0" w:line="227" w:lineRule="exact"/>
        <w:rPr>
          <w:sz w:val="20"/>
          <w:szCs w:val="20"/>
          <w:color w:val="auto"/>
        </w:rPr>
      </w:pPr>
    </w:p>
    <w:p>
      <w:pPr>
        <w:jc w:val="both"/>
        <w:ind w:left="600" w:hanging="302"/>
        <w:spacing w:after="0"/>
        <w:tabs>
          <w:tab w:leader="none" w:pos="637"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Voluntary Conversion. </w:t>
      </w:r>
      <w:r>
        <w:rPr>
          <w:rFonts w:ascii="Arial" w:cs="Arial" w:eastAsia="Arial" w:hAnsi="Arial"/>
          <w:sz w:val="17"/>
          <w:szCs w:val="17"/>
          <w:color w:val="auto"/>
        </w:rPr>
        <w:t>Each share of Class C common stock shall be convertible into one share of Class A common stock at the option of the holder thereof,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0" w:lineRule="exact"/>
        <w:rPr>
          <w:sz w:val="20"/>
          <w:szCs w:val="20"/>
          <w:color w:val="auto"/>
        </w:rPr>
      </w:pPr>
    </w:p>
    <w:p>
      <w:pPr>
        <w:ind w:left="300" w:hanging="2"/>
        <w:spacing w:after="0" w:line="248" w:lineRule="auto"/>
        <w:tabs>
          <w:tab w:leader="none" w:pos="594"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Automatic Conversion. </w:t>
      </w:r>
      <w:r>
        <w:rPr>
          <w:rFonts w:ascii="Arial" w:cs="Arial" w:eastAsia="Arial" w:hAnsi="Arial"/>
          <w:sz w:val="17"/>
          <w:szCs w:val="17"/>
          <w:color w:val="auto"/>
        </w:rPr>
        <w:t>Each share of Class C common stock shall automatically, without any further action, convert into one share of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upon a transfer, other than a Transfer to a qualified stockholder (as defined in the Charter).</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Class C common stock will be entitled to five votes for each share of Class C common stock held of record by such holder on all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99" w:lineRule="exact"/>
        <w:rPr>
          <w:sz w:val="20"/>
          <w:szCs w:val="20"/>
          <w:color w:val="auto"/>
        </w:rPr>
      </w:pPr>
    </w:p>
    <w:p>
      <w:pPr>
        <w:jc w:val="both"/>
        <w:spacing w:after="0" w:line="353"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Dividends and other distributions of cash, stock or property may be declared and paid on the shares of Class A common stock and the shares of Class C</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out of the assets of the Company that are by law available therefor, at the times and in the amounts as our board in its discretion may determine.</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4"/>
          <w:szCs w:val="14"/>
          <w:i w:val="1"/>
          <w:iCs w:val="1"/>
          <w:color w:val="auto"/>
        </w:rPr>
        <w:t xml:space="preserve">Liquidation rights. </w:t>
      </w:r>
      <w:r>
        <w:rPr>
          <w:rFonts w:ascii="Arial" w:cs="Arial" w:eastAsia="Arial" w:hAnsi="Arial"/>
          <w:sz w:val="14"/>
          <w:szCs w:val="14"/>
          <w:color w:val="auto"/>
        </w:rPr>
        <w:t>In the event of any voluntary or involuntary liquidation, dissolution or winding-up of the affairs of the Company, after payment or provision for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D common stock</w:t>
      </w:r>
    </w:p>
    <w:p>
      <w:pPr>
        <w:spacing w:after="0" w:line="215" w:lineRule="exact"/>
        <w:rPr>
          <w:sz w:val="20"/>
          <w:szCs w:val="20"/>
          <w:color w:val="auto"/>
        </w:rPr>
      </w:pPr>
    </w:p>
    <w:p>
      <w:pPr>
        <w:jc w:val="both"/>
        <w:spacing w:after="0" w:line="353" w:lineRule="auto"/>
        <w:rPr>
          <w:sz w:val="20"/>
          <w:szCs w:val="20"/>
          <w:color w:val="auto"/>
        </w:rPr>
      </w:pPr>
      <w:r>
        <w:rPr>
          <w:rFonts w:ascii="Arial" w:cs="Arial" w:eastAsia="Arial" w:hAnsi="Arial"/>
          <w:sz w:val="14"/>
          <w:szCs w:val="14"/>
          <w:color w:val="auto"/>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spacing w:after="0" w:line="123" w:lineRule="exact"/>
        <w:rPr>
          <w:sz w:val="20"/>
          <w:szCs w:val="20"/>
          <w:color w:val="auto"/>
        </w:rPr>
      </w:pPr>
    </w:p>
    <w:p>
      <w:pPr>
        <w:jc w:val="both"/>
        <w:ind w:firstLine="203"/>
        <w:spacing w:after="0" w:line="245" w:lineRule="auto"/>
        <w:rPr>
          <w:sz w:val="20"/>
          <w:szCs w:val="20"/>
          <w:color w:val="auto"/>
        </w:rPr>
      </w:pPr>
      <w:r>
        <w:rPr>
          <w:rFonts w:ascii="Arial" w:cs="Arial" w:eastAsia="Arial" w:hAnsi="Arial"/>
          <w:sz w:val="17"/>
          <w:szCs w:val="17"/>
          <w:i w:val="1"/>
          <w:iCs w:val="1"/>
          <w:color w:val="auto"/>
        </w:rPr>
        <w:t>Voluntary Conversion</w:t>
      </w:r>
      <w:r>
        <w:rPr>
          <w:rFonts w:ascii="Arial" w:cs="Arial" w:eastAsia="Arial" w:hAnsi="Arial"/>
          <w:sz w:val="17"/>
          <w:szCs w:val="17"/>
          <w:color w:val="auto"/>
        </w:rPr>
        <w:t>. Each share of Class D common stock shall be convertible into one share of Class B common stock at the option of the holder thereof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upon written notice to the Company;</w:t>
      </w:r>
    </w:p>
    <w:p>
      <w:pPr>
        <w:jc w:val="both"/>
        <w:ind w:firstLine="178"/>
        <w:spacing w:after="0" w:line="235" w:lineRule="auto"/>
        <w:rPr>
          <w:sz w:val="20"/>
          <w:szCs w:val="20"/>
          <w:color w:val="auto"/>
        </w:rPr>
      </w:pPr>
      <w:r>
        <w:rPr>
          <w:rFonts w:ascii="Arial" w:cs="Arial" w:eastAsia="Arial" w:hAnsi="Arial"/>
          <w:sz w:val="17"/>
          <w:szCs w:val="17"/>
          <w:i w:val="1"/>
          <w:iCs w:val="1"/>
          <w:color w:val="auto"/>
        </w:rPr>
        <w:t>Automatic Conversion</w:t>
      </w:r>
      <w:r>
        <w:rPr>
          <w:rFonts w:ascii="Arial" w:cs="Arial" w:eastAsia="Arial" w:hAnsi="Arial"/>
          <w:sz w:val="17"/>
          <w:szCs w:val="17"/>
          <w:color w:val="auto"/>
        </w:rPr>
        <w:t>. Each share of Class D common stock shall automatically, without any further action, convert into one share of Class B common stock upon a</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other than a transfer to a qualified stockholder.</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Class D common stock will be entitled to five votes for each share of Class D common stock held of record by such holder on all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of cash or property may not be declared or paid on shares of Class D common stock.</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 xml:space="preserve">Liquidation rights. </w:t>
      </w:r>
      <w:r>
        <w:rPr>
          <w:rFonts w:ascii="Arial" w:cs="Arial" w:eastAsia="Arial" w:hAnsi="Arial"/>
          <w:sz w:val="14"/>
          <w:szCs w:val="14"/>
          <w:color w:val="auto"/>
        </w:rPr>
        <w:t>In the event of any voluntary or involuntary liquidation, dissolution or winding-up of the affairs of the Company, after payment or provision for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preferred non-controlling interests</w:t>
      </w:r>
    </w:p>
    <w:p>
      <w:pPr>
        <w:spacing w:after="0" w:line="215"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On November 29, 2021, as part of an exchange agreement (“Hillman exchange”), the Company issued 300,000 Series A-1 preferred units to Hillman in return for Hillman’s non-controlling interest in four RNG project subsidiaries.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202565</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54"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During the nine months ended September 30, 2022, the Company had drawn $100,000 and issued 1,000,000 Series A preferred units.</w:t>
      </w:r>
    </w:p>
    <w:p>
      <w:pPr>
        <w:spacing w:after="0" w:line="200"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6"/>
          <w:szCs w:val="16"/>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September 30, 2022.</w:t>
      </w:r>
    </w:p>
    <w:p>
      <w:pPr>
        <w:spacing w:after="0" w:line="330"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following table summarizes the changes in the redeemable preferred non-controlling interests which represent Series A and Series A-1 preferred units outstanding at OPAL Fuels level from December 31, 2021 to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160" w:type="dxa"/>
            <w:vAlign w:val="bottom"/>
            <w:gridSpan w:val="5"/>
          </w:tcPr>
          <w:p>
            <w:pPr>
              <w:ind w:left="620"/>
              <w:spacing w:after="0"/>
              <w:rPr>
                <w:sz w:val="20"/>
                <w:szCs w:val="20"/>
                <w:color w:val="auto"/>
              </w:rPr>
            </w:pPr>
            <w:r>
              <w:rPr>
                <w:rFonts w:ascii="Arial" w:cs="Arial" w:eastAsia="Arial" w:hAnsi="Arial"/>
                <w:sz w:val="17"/>
                <w:szCs w:val="17"/>
                <w:b w:val="1"/>
                <w:bCs w:val="1"/>
                <w:color w:val="auto"/>
              </w:rPr>
              <w:t>Series A-1 preferred units</w:t>
            </w:r>
          </w:p>
        </w:tc>
        <w:tc>
          <w:tcPr>
            <w:tcW w:w="3140" w:type="dxa"/>
            <w:vAlign w:val="bottom"/>
            <w:gridSpan w:val="4"/>
          </w:tcPr>
          <w:p>
            <w:pPr>
              <w:jc w:val="right"/>
              <w:ind w:right="637"/>
              <w:spacing w:after="0"/>
              <w:rPr>
                <w:sz w:val="20"/>
                <w:szCs w:val="20"/>
                <w:color w:val="auto"/>
              </w:rPr>
            </w:pPr>
            <w:r>
              <w:rPr>
                <w:rFonts w:ascii="Arial" w:cs="Arial" w:eastAsia="Arial" w:hAnsi="Arial"/>
                <w:sz w:val="17"/>
                <w:szCs w:val="17"/>
                <w:b w:val="1"/>
                <w:bCs w:val="1"/>
                <w:color w:val="auto"/>
              </w:rPr>
              <w:t>Series A preferred units</w:t>
            </w:r>
          </w:p>
        </w:tc>
      </w:tr>
      <w:tr>
        <w:trPr>
          <w:trHeight w:val="204"/>
        </w:trPr>
        <w:tc>
          <w:tcPr>
            <w:tcW w:w="4940" w:type="dxa"/>
            <w:vAlign w:val="bottom"/>
          </w:tcPr>
          <w:p>
            <w:pPr>
              <w:spacing w:after="0"/>
              <w:rPr>
                <w:sz w:val="17"/>
                <w:szCs w:val="17"/>
                <w:color w:val="auto"/>
              </w:rPr>
            </w:pPr>
          </w:p>
        </w:tc>
        <w:tc>
          <w:tcPr>
            <w:tcW w:w="1580" w:type="dxa"/>
            <w:vAlign w:val="bottom"/>
            <w:tcBorders>
              <w:top w:val="single" w:sz="8" w:color="auto"/>
            </w:tcBorders>
            <w:gridSpan w:val="2"/>
          </w:tcPr>
          <w:p>
            <w:pPr>
              <w:ind w:left="560"/>
              <w:spacing w:after="0"/>
              <w:rPr>
                <w:sz w:val="20"/>
                <w:szCs w:val="20"/>
                <w:color w:val="auto"/>
              </w:rPr>
            </w:pPr>
            <w:r>
              <w:rPr>
                <w:rFonts w:ascii="Arial" w:cs="Arial" w:eastAsia="Arial" w:hAnsi="Arial"/>
                <w:sz w:val="17"/>
                <w:szCs w:val="17"/>
                <w:b w:val="1"/>
                <w:bCs w:val="1"/>
                <w:color w:val="auto"/>
              </w:rPr>
              <w:t>Units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7"/>
                <w:szCs w:val="17"/>
                <w:color w:val="auto"/>
              </w:rPr>
            </w:pPr>
          </w:p>
        </w:tc>
        <w:tc>
          <w:tcPr>
            <w:tcW w:w="1640" w:type="dxa"/>
            <w:vAlign w:val="bottom"/>
            <w:tcBorders>
              <w:top w:val="single" w:sz="8" w:color="auto"/>
            </w:tcBorders>
            <w:gridSpan w:val="2"/>
          </w:tcPr>
          <w:p>
            <w:pPr>
              <w:ind w:left="580"/>
              <w:spacing w:after="0"/>
              <w:rPr>
                <w:sz w:val="20"/>
                <w:szCs w:val="20"/>
                <w:color w:val="auto"/>
              </w:rPr>
            </w:pPr>
            <w:r>
              <w:rPr>
                <w:rFonts w:ascii="Arial" w:cs="Arial" w:eastAsia="Arial" w:hAnsi="Arial"/>
                <w:sz w:val="17"/>
                <w:szCs w:val="17"/>
                <w:b w:val="1"/>
                <w:bCs w:val="1"/>
                <w:color w:val="auto"/>
              </w:rPr>
              <w:t>Units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Amount</w:t>
            </w:r>
          </w:p>
        </w:tc>
      </w:tr>
      <w:tr>
        <w:trPr>
          <w:trHeight w:val="20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30,210</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940" w:type="dxa"/>
            <w:vAlign w:val="bottom"/>
          </w:tcPr>
          <w:p>
            <w:pPr>
              <w:ind w:left="60"/>
              <w:spacing w:after="0"/>
              <w:rPr>
                <w:sz w:val="20"/>
                <w:szCs w:val="20"/>
                <w:color w:val="auto"/>
              </w:rPr>
            </w:pPr>
            <w:r>
              <w:rPr>
                <w:rFonts w:ascii="Arial" w:cs="Arial" w:eastAsia="Arial" w:hAnsi="Arial"/>
                <w:sz w:val="17"/>
                <w:szCs w:val="17"/>
                <w:color w:val="auto"/>
              </w:rPr>
              <w:t>Series A units issued by OPAL Fuels</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Paid-in-kind dividends attributable to OPAL Fuels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w:t>
            </w:r>
          </w:p>
        </w:tc>
      </w:tr>
      <w:tr>
        <w:trPr>
          <w:trHeight w:val="211"/>
        </w:trPr>
        <w:tc>
          <w:tcPr>
            <w:tcW w:w="4940" w:type="dxa"/>
            <w:vAlign w:val="bottom"/>
          </w:tcPr>
          <w:p>
            <w:pPr>
              <w:ind w:left="20"/>
              <w:spacing w:after="0"/>
              <w:rPr>
                <w:sz w:val="20"/>
                <w:szCs w:val="20"/>
                <w:color w:val="auto"/>
              </w:rPr>
            </w:pPr>
            <w:r>
              <w:rPr>
                <w:rFonts w:ascii="Arial" w:cs="Arial" w:eastAsia="Arial" w:hAnsi="Arial"/>
                <w:sz w:val="17"/>
                <w:szCs w:val="17"/>
                <w:color w:val="auto"/>
                <w:w w:val="96"/>
              </w:rPr>
              <w:t>Paid-in kind dividends attributable to Class A common stockholders</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2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September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103,273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Terms of Redeemable preferred units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Series A and Series A-1 preferred units (together the “Preferred Units”) have substantially the same terms and features which are listed below:</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4"/>
          <w:szCs w:val="14"/>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0" w:lineRule="exact"/>
        <w:rPr>
          <w:sz w:val="20"/>
          <w:szCs w:val="20"/>
          <w:color w:val="auto"/>
        </w:rPr>
      </w:pPr>
    </w:p>
    <w:p>
      <w:pPr>
        <w:jc w:val="both"/>
        <w:ind w:left="1"/>
        <w:spacing w:after="0" w:line="334" w:lineRule="auto"/>
        <w:rPr>
          <w:sz w:val="20"/>
          <w:szCs w:val="20"/>
          <w:color w:val="auto"/>
        </w:rPr>
      </w:pPr>
      <w:r>
        <w:rPr>
          <w:rFonts w:ascii="Arial" w:cs="Arial" w:eastAsia="Arial" w:hAnsi="Arial"/>
          <w:sz w:val="14"/>
          <w:szCs w:val="14"/>
          <w:color w:val="auto"/>
        </w:rPr>
        <w:t>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48" w:lineRule="exact"/>
        <w:rPr>
          <w:sz w:val="20"/>
          <w:szCs w:val="20"/>
          <w:color w:val="auto"/>
        </w:rPr>
      </w:pPr>
    </w:p>
    <w:p>
      <w:pPr>
        <w:jc w:val="both"/>
        <w:ind w:left="1"/>
        <w:spacing w:after="0" w:line="247" w:lineRule="auto"/>
        <w:rPr>
          <w:sz w:val="20"/>
          <w:szCs w:val="20"/>
          <w:color w:val="auto"/>
        </w:rPr>
      </w:pPr>
      <w:r>
        <w:rPr>
          <w:rFonts w:ascii="Arial" w:cs="Arial" w:eastAsia="Arial" w:hAnsi="Arial"/>
          <w:sz w:val="17"/>
          <w:szCs w:val="17"/>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208" w:lineRule="exact"/>
        <w:rPr>
          <w:sz w:val="20"/>
          <w:szCs w:val="20"/>
          <w:color w:val="auto"/>
        </w:rPr>
      </w:pPr>
    </w:p>
    <w:p>
      <w:pPr>
        <w:ind w:left="161" w:hanging="161"/>
        <w:spacing w:after="0"/>
        <w:tabs>
          <w:tab w:leader="none" w:pos="161" w:val="left"/>
        </w:tabs>
        <w:numPr>
          <w:ilvl w:val="0"/>
          <w:numId w:val="29"/>
        </w:numPr>
        <w:rPr>
          <w:rFonts w:ascii="Arial" w:cs="Arial" w:eastAsia="Arial" w:hAnsi="Arial"/>
          <w:sz w:val="17"/>
          <w:szCs w:val="17"/>
          <w:color w:val="auto"/>
        </w:rPr>
      </w:pPr>
      <w:r>
        <w:rPr>
          <w:rFonts w:ascii="Arial" w:cs="Arial" w:eastAsia="Arial" w:hAnsi="Arial"/>
          <w:sz w:val="17"/>
          <w:szCs w:val="17"/>
          <w:color w:val="auto"/>
        </w:rPr>
        <w:t>Using 20-day volume-weighted average price (“VWAP”) of the Company's common shares.</w:t>
      </w:r>
    </w:p>
    <w:p>
      <w:pPr>
        <w:spacing w:after="0" w:line="227" w:lineRule="exact"/>
        <w:rPr>
          <w:rFonts w:ascii="Arial" w:cs="Arial" w:eastAsia="Arial" w:hAnsi="Arial"/>
          <w:sz w:val="17"/>
          <w:szCs w:val="17"/>
          <w:color w:val="auto"/>
        </w:rPr>
      </w:pPr>
    </w:p>
    <w:p>
      <w:pPr>
        <w:ind w:left="161" w:hanging="161"/>
        <w:spacing w:after="0"/>
        <w:tabs>
          <w:tab w:leader="none" w:pos="161"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Otherwise the estimated proceeds to be received by the holder of a common unit if the net assets of the Company were sold at fair market value and distributed.</w:t>
      </w:r>
    </w:p>
    <w:p>
      <w:pPr>
        <w:spacing w:after="0" w:line="26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27" w:lineRule="exact"/>
        <w:rPr>
          <w:sz w:val="20"/>
          <w:szCs w:val="20"/>
          <w:color w:val="auto"/>
        </w:rPr>
      </w:pPr>
    </w:p>
    <w:p>
      <w:pPr>
        <w:jc w:val="both"/>
        <w:ind w:left="1" w:firstLine="298"/>
        <w:spacing w:after="0" w:line="315" w:lineRule="auto"/>
        <w:rPr>
          <w:sz w:val="20"/>
          <w:szCs w:val="20"/>
          <w:color w:val="auto"/>
        </w:rPr>
      </w:pPr>
      <w:r>
        <w:rPr>
          <w:rFonts w:ascii="Arial" w:cs="Arial" w:eastAsia="Arial" w:hAnsi="Arial"/>
          <w:sz w:val="14"/>
          <w:szCs w:val="14"/>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62" w:lineRule="exact"/>
        <w:rPr>
          <w:sz w:val="20"/>
          <w:szCs w:val="20"/>
          <w:color w:val="auto"/>
        </w:rPr>
      </w:pPr>
    </w:p>
    <w:p>
      <w:pPr>
        <w:jc w:val="both"/>
        <w:ind w:left="1" w:firstLine="298"/>
        <w:spacing w:after="0" w:line="250" w:lineRule="auto"/>
        <w:rPr>
          <w:sz w:val="20"/>
          <w:szCs w:val="20"/>
          <w:color w:val="auto"/>
        </w:rPr>
      </w:pPr>
      <w:r>
        <w:rPr>
          <w:rFonts w:ascii="Arial" w:cs="Arial" w:eastAsia="Arial" w:hAnsi="Arial"/>
          <w:sz w:val="17"/>
          <w:szCs w:val="17"/>
          <w:color w:val="auto"/>
        </w:rPr>
        <w:t>Redeemable non-controlling interests have been presented as mezzanine equity in the condensed consolidated statements of change in Redeemable non-controlling interests, Redeemable preferred non-controlling interests and stockholders' equity.At each balance sheet date, the Redeemable non-controlling interests are adjusted up to their redemption value if necessary, with an offset in Stockholders' equity. As of September 30, 2022, the Company recorded $1,160,723 to adjust the carrying value to their redemption value based on a 5 day VWAP of $8.47 per share.</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15. Net Income (loss) Per Share</w:t>
      </w:r>
    </w:p>
    <w:p>
      <w:pPr>
        <w:spacing w:after="0" w:line="206" w:lineRule="exact"/>
        <w:rPr>
          <w:sz w:val="20"/>
          <w:szCs w:val="20"/>
          <w:color w:val="auto"/>
        </w:rPr>
      </w:pPr>
    </w:p>
    <w:p>
      <w:pPr>
        <w:jc w:val="both"/>
        <w:ind w:left="1" w:firstLine="298"/>
        <w:spacing w:after="0" w:line="311" w:lineRule="auto"/>
        <w:rPr>
          <w:sz w:val="20"/>
          <w:szCs w:val="20"/>
          <w:color w:val="auto"/>
        </w:rPr>
      </w:pPr>
      <w:r>
        <w:rPr>
          <w:rFonts w:ascii="Arial" w:cs="Arial" w:eastAsia="Arial" w:hAnsi="Arial"/>
          <w:sz w:val="14"/>
          <w:szCs w:val="14"/>
          <w:color w:val="auto"/>
        </w:rPr>
        <w:t>The basic loss per share of Class A common stock is computed by dividing the net loss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unaudited condensed consolidated financial statements. Therefore net loss per share information has not been presented for periods prior to Business Combination on July 21, 2022. The basic and diluted net loss per share for the three and nine months ended September 30, 2022 represent only the period from July 21, 2022 to September 30, 2022.</w:t>
      </w:r>
    </w:p>
    <w:p>
      <w:pPr>
        <w:spacing w:after="0" w:line="140" w:lineRule="exact"/>
        <w:rPr>
          <w:sz w:val="20"/>
          <w:szCs w:val="20"/>
          <w:color w:val="auto"/>
        </w:rPr>
      </w:pPr>
    </w:p>
    <w:p>
      <w:pPr>
        <w:jc w:val="both"/>
        <w:ind w:left="1" w:firstLine="298"/>
        <w:spacing w:after="0" w:line="248" w:lineRule="auto"/>
        <w:rPr>
          <w:sz w:val="20"/>
          <w:szCs w:val="20"/>
          <w:color w:val="auto"/>
        </w:rPr>
      </w:pPr>
      <w:r>
        <w:rPr>
          <w:rFonts w:ascii="Arial" w:cs="Arial" w:eastAsia="Arial" w:hAnsi="Arial"/>
          <w:sz w:val="17"/>
          <w:szCs w:val="17"/>
          <w:color w:val="auto"/>
        </w:rPr>
        <w:t>The diluted loss per share of Class A common stock for the three and nine months ended September 30, 2022 does not include Redeemable preferred non-controlling interests, Convertible Note Payable because the substantive contingency for conversion has not been met as of September 30, 2022. It does not include 9,223,261 Private Warrants and 6,223,261 Public Warrants as their strike price at $11.50 exceeded the average market price for the Company during the measurement period.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2022.</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52" w:name="page53"/>
    <w:bookmarkEnd w:id="52"/>
    <w:p>
      <w:pPr>
        <w:spacing w:after="0" w:line="167" w:lineRule="exact"/>
        <w:rPr>
          <w:sz w:val="20"/>
          <w:szCs w:val="20"/>
          <w:color w:val="auto"/>
        </w:rPr>
      </w:pPr>
    </w:p>
    <w:p>
      <w:pPr>
        <w:jc w:val="both"/>
        <w:ind w:left="1" w:firstLine="298"/>
        <w:spacing w:after="0" w:line="264" w:lineRule="auto"/>
        <w:rPr>
          <w:sz w:val="20"/>
          <w:szCs w:val="20"/>
          <w:color w:val="auto"/>
        </w:rPr>
      </w:pPr>
      <w:r>
        <w:rPr>
          <w:rFonts w:ascii="Arial" w:cs="Arial" w:eastAsia="Arial" w:hAnsi="Arial"/>
          <w:sz w:val="17"/>
          <w:szCs w:val="17"/>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92" w:lineRule="exact"/>
        <w:rPr>
          <w:sz w:val="20"/>
          <w:szCs w:val="20"/>
          <w:color w:val="auto"/>
        </w:rPr>
      </w:pPr>
    </w:p>
    <w:tbl>
      <w:tblPr>
        <w:tblLayout w:type="fixed"/>
        <w:tblInd w:w="301" w:type="dxa"/>
        <w:tblCellMar>
          <w:top w:w="0" w:type="dxa"/>
          <w:left w:w="0" w:type="dxa"/>
          <w:bottom w:w="0" w:type="dxa"/>
          <w:right w:w="0" w:type="dxa"/>
        </w:tblCellMar>
      </w:tblPr>
      <w:tr>
        <w:trPr>
          <w:trHeight w:val="212"/>
        </w:trPr>
        <w:tc>
          <w:tcPr>
            <w:tcW w:w="6680" w:type="dxa"/>
            <w:vAlign w:val="bottom"/>
            <w:gridSpan w:val="2"/>
          </w:tcPr>
          <w:p>
            <w:pPr>
              <w:spacing w:after="0"/>
              <w:rPr>
                <w:sz w:val="20"/>
                <w:szCs w:val="20"/>
                <w:color w:val="auto"/>
              </w:rPr>
            </w:pPr>
            <w:r>
              <w:rPr>
                <w:rFonts w:ascii="Arial" w:cs="Arial" w:eastAsia="Arial" w:hAnsi="Arial"/>
                <w:sz w:val="17"/>
                <w:szCs w:val="17"/>
                <w:color w:val="auto"/>
              </w:rPr>
              <w:t>The following table summarizes the calculation of basic and diluted net loss per share:</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8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92"/>
              </w:rPr>
              <w:t>Three Months Ended</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7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93"/>
              </w:rPr>
              <w:t>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4"/>
              </w:rPr>
              <w:t>September 30, 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1"/>
              </w:rPr>
              <w:t>September 30, 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Class A common stockholders</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change in fair value of the put option on the forward purchase agreement</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Diluted Net loss attributable to Class A common stockholders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of Class A common stock - basic</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25,671,390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25,671,390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Effect of the dilutive put option on a forward purchase agreement</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152,382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number of shares of Class A common stock - diluted</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25,823,772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25,823,772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Net loss per share of Class A common stock</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Diluted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(0.06)</w:t>
            </w:r>
          </w:p>
        </w:tc>
        <w:tc>
          <w:tcPr>
            <w:tcW w:w="8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(0.06)</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16. Income taxes</w:t>
      </w:r>
    </w:p>
    <w:p>
      <w:pPr>
        <w:spacing w:after="0" w:line="206" w:lineRule="exact"/>
        <w:rPr>
          <w:sz w:val="20"/>
          <w:szCs w:val="20"/>
          <w:color w:val="auto"/>
        </w:rPr>
      </w:pPr>
    </w:p>
    <w:p>
      <w:pPr>
        <w:jc w:val="both"/>
        <w:ind w:left="1"/>
        <w:spacing w:after="0" w:line="304" w:lineRule="auto"/>
        <w:rPr>
          <w:sz w:val="20"/>
          <w:szCs w:val="20"/>
          <w:color w:val="auto"/>
        </w:rPr>
      </w:pPr>
      <w:r>
        <w:rPr>
          <w:rFonts w:ascii="Arial" w:cs="Arial" w:eastAsia="Arial" w:hAnsi="Arial"/>
          <w:sz w:val="14"/>
          <w:szCs w:val="14"/>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347" w:lineRule="exact"/>
        <w:rPr>
          <w:sz w:val="20"/>
          <w:szCs w:val="20"/>
          <w:color w:val="auto"/>
        </w:rPr>
      </w:pPr>
    </w:p>
    <w:p>
      <w:pPr>
        <w:jc w:val="both"/>
        <w:ind w:left="1" w:firstLine="597"/>
        <w:spacing w:after="0" w:line="248" w:lineRule="auto"/>
        <w:rPr>
          <w:sz w:val="20"/>
          <w:szCs w:val="20"/>
          <w:color w:val="auto"/>
        </w:rPr>
      </w:pPr>
      <w:r>
        <w:rPr>
          <w:rFonts w:ascii="Arial" w:cs="Arial" w:eastAsia="Arial" w:hAnsi="Arial"/>
          <w:sz w:val="17"/>
          <w:szCs w:val="17"/>
          <w:color w:val="auto"/>
        </w:rPr>
        <w:t>For the three and nine months ended September 30, 2022, the Company recorded zero income tax expense. The effective tax rate for the three months ended September 30, 2022 was 0%. The difference between the Company’s effective tax rate for the three and nine months ended September 30, 2022 and the U.S. statutory tax rate of 21% was primarily due to a full valuation allowance recorded on the Company’s net U.S. deferred tax assets. The Company did not record a tax provision for the three and nine months ended September 30, 2021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pacing w:after="0" w:line="114" w:lineRule="exact"/>
        <w:rPr>
          <w:sz w:val="20"/>
          <w:szCs w:val="20"/>
          <w:color w:val="auto"/>
        </w:rPr>
      </w:pPr>
    </w:p>
    <w:p>
      <w:pPr>
        <w:ind w:left="1" w:right="8640" w:hanging="1"/>
        <w:spacing w:after="0" w:line="513" w:lineRule="auto"/>
        <w:tabs>
          <w:tab w:leader="none" w:pos="249"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Letters of Credit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53" w:name="page54"/>
    <w:bookmarkEnd w:id="53"/>
    <w:p>
      <w:pPr>
        <w:spacing w:after="0" w:line="167" w:lineRule="exact"/>
        <w:rPr>
          <w:sz w:val="20"/>
          <w:szCs w:val="20"/>
          <w:color w:val="auto"/>
        </w:rPr>
      </w:pPr>
    </w:p>
    <w:p>
      <w:pPr>
        <w:jc w:val="both"/>
        <w:ind w:firstLine="298"/>
        <w:spacing w:after="0" w:line="334" w:lineRule="auto"/>
        <w:rPr>
          <w:sz w:val="20"/>
          <w:szCs w:val="20"/>
          <w:color w:val="auto"/>
        </w:rPr>
      </w:pPr>
      <w:r>
        <w:rPr>
          <w:rFonts w:ascii="Arial" w:cs="Arial" w:eastAsia="Arial" w:hAnsi="Arial"/>
          <w:sz w:val="14"/>
          <w:szCs w:val="14"/>
          <w:color w:val="auto"/>
        </w:rPr>
        <w:t>As of September 30, 2022 and December 31, 2021, the Company was required to maintain nine standby letters of credit totaling $9,348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w:t>
      </w:r>
    </w:p>
    <w:p>
      <w:pPr>
        <w:spacing w:after="0" w:line="144"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92"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6"/>
          <w:szCs w:val="16"/>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32"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44"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On October 4, 2022, the Company granted 428,902 restricted stock units for certain eligible employees and board of directors under the OPAL Fuels Inc. 2022 Omnibus Equity Incentive Plan. The aggregate fair value of the grant was $3,405 based on the closing share price of $7.94 on October 3, 2022. The shares will vest in full on October 3, 2023. The amortization of the above grants will be included in the selling, general and administrative expenses in the condensed consolidated statement of operations beginning in the fourth quarter of 2022.</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October 12, 2022, the Company borrowed $12,500 under the OPAL Term Loan.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194945</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32"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6"/>
          <w:szCs w:val="16"/>
          <w:i w:val="1"/>
          <w:iCs w:val="1"/>
          <w:color w:val="auto"/>
        </w:rPr>
        <w:t xml:space="preserve">In this Management's Discussion and Analysis of Financial Condition and Results of Operations section, references to "OPAL", "we", "us", "our", and the "Company" refer to </w:t>
      </w:r>
      <w:r>
        <w:rPr>
          <w:rFonts w:ascii="Arial" w:cs="Arial" w:eastAsia="Arial" w:hAnsi="Arial"/>
          <w:sz w:val="16"/>
          <w:szCs w:val="16"/>
          <w:color w:val="auto"/>
        </w:rPr>
        <w:t>OPAL Fuels Inc.</w:t>
      </w:r>
      <w:r>
        <w:rPr>
          <w:rFonts w:ascii="Arial" w:cs="Arial" w:eastAsia="Arial" w:hAnsi="Arial"/>
          <w:sz w:val="16"/>
          <w:szCs w:val="16"/>
          <w:i w:val="1"/>
          <w:iCs w:val="1"/>
          <w:color w:val="auto"/>
        </w:rPr>
        <w:t xml:space="preserve"> and its consolidated subsidiaries. The following discussion and analysis should be read in conjunction with the Company's unaudited condensed consolidated financial statements as of September 30, 2022 and for the three and nine months ended September 30, 2022 and 2021, audited consolidated financial statements and notes thereto included in the Company's Current Report on Form 8K, which was filed with Securities and Exchange Commission (the "SEC") on July 27, 2022. In addition to historical information, this discussion and analysis includes certain forward-looking statements which reflect our current expectations. The Company's actual results may materially differ from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 w:lineRule="exact"/>
        <w:rPr>
          <w:sz w:val="20"/>
          <w:szCs w:val="20"/>
          <w:color w:val="auto"/>
        </w:rPr>
      </w:pPr>
    </w:p>
    <w:p>
      <w:pPr>
        <w:jc w:val="both"/>
        <w:ind w:firstLine="298"/>
        <w:spacing w:after="0" w:line="302" w:lineRule="auto"/>
        <w:rPr>
          <w:sz w:val="20"/>
          <w:szCs w:val="20"/>
          <w:color w:val="auto"/>
        </w:rPr>
      </w:pPr>
      <w:r>
        <w:rPr>
          <w:rFonts w:ascii="Arial" w:cs="Arial" w:eastAsia="Arial" w:hAnsi="Arial"/>
          <w:sz w:val="14"/>
          <w:szCs w:val="14"/>
          <w:color w:val="auto"/>
        </w:rPr>
        <w:t>We are a renewable energy company specializing in the capture and conversion of biogas for the (i) production of renewable natural gas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energy.We separately design, develop, construct, operate and service Fueling Stations for vehicle fleets across the country that dispense RNG and/or compressed natural gas ("CNG") to displace diesel as a fleet transportation fuel.</w:t>
      </w:r>
    </w:p>
    <w:p>
      <w:pPr>
        <w:spacing w:after="0" w:line="87" w:lineRule="exact"/>
        <w:rPr>
          <w:sz w:val="20"/>
          <w:szCs w:val="20"/>
          <w:color w:val="auto"/>
        </w:rPr>
      </w:pPr>
    </w:p>
    <w:p>
      <w:pPr>
        <w:jc w:val="both"/>
        <w:ind w:firstLine="298"/>
        <w:spacing w:after="0" w:line="247" w:lineRule="auto"/>
        <w:rPr>
          <w:sz w:val="20"/>
          <w:szCs w:val="20"/>
          <w:color w:val="auto"/>
        </w:rPr>
      </w:pPr>
      <w:r>
        <w:rPr>
          <w:rFonts w:ascii="Arial" w:cs="Arial" w:eastAsia="Arial" w:hAnsi="Arial"/>
          <w:sz w:val="17"/>
          <w:szCs w:val="17"/>
          <w:color w:val="auto"/>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 ("Business Combination Agreement").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25,171,390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developments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Construction Update</w:t>
      </w:r>
    </w:p>
    <w:p>
      <w:pPr>
        <w:spacing w:after="0" w:line="206" w:lineRule="exact"/>
        <w:rPr>
          <w:sz w:val="20"/>
          <w:szCs w:val="20"/>
          <w:color w:val="auto"/>
        </w:rPr>
      </w:pPr>
    </w:p>
    <w:p>
      <w:pPr>
        <w:jc w:val="both"/>
        <w:ind w:left="600" w:hanging="302"/>
        <w:spacing w:after="0" w:line="239" w:lineRule="auto"/>
        <w:tabs>
          <w:tab w:leader="none" w:pos="5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has begun construction on a renewable power to RNG conversion project in the Northeast bringing to seven the number of RNG facilities under construction as of September 30, 2022, with anticipated aggregate nameplate capacity of 4.2 million MMBtu of landfill biogas and 0.6 million MMBtu of dairy biogas.</w:t>
      </w:r>
    </w:p>
    <w:p>
      <w:pPr>
        <w:spacing w:after="0" w:line="199" w:lineRule="exact"/>
        <w:rPr>
          <w:rFonts w:ascii="Arial" w:cs="Arial" w:eastAsia="Arial" w:hAnsi="Arial"/>
          <w:sz w:val="17"/>
          <w:szCs w:val="17"/>
          <w:color w:val="auto"/>
        </w:rPr>
      </w:pPr>
    </w:p>
    <w:p>
      <w:pPr>
        <w:ind w:left="600" w:hanging="302"/>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Received RIN certification for New River in October and anticipate receiving RIN certification for Pine Bend by end of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ind w:left="600" w:hanging="302"/>
        <w:spacing w:after="0" w:line="248"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19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Construction is progressing at two Central Valley California dairy RNG projects with commercial operations anticipated in 2024.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Update</w:t>
      </w:r>
    </w:p>
    <w:p>
      <w:pPr>
        <w:spacing w:after="0" w:line="219" w:lineRule="exact"/>
        <w:rPr>
          <w:sz w:val="20"/>
          <w:szCs w:val="20"/>
          <w:color w:val="auto"/>
        </w:rPr>
      </w:pPr>
    </w:p>
    <w:p>
      <w:pPr>
        <w:ind w:left="600" w:hanging="302"/>
        <w:spacing w:after="0" w:line="279" w:lineRule="auto"/>
        <w:tabs>
          <w:tab w:leader="none" w:pos="5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Company's Advanced Development Pipeline comprises 16 projects representing 7.4 million MMBtu of feedstock biogas per year consisting of 6.2 million MMBtu of landfill biogas, 0.5 million MMBtu dairy biogas, and 0.7 million MMBtu of food waste and wastewater biogas.</w:t>
      </w:r>
    </w:p>
    <w:p>
      <w:pPr>
        <w:spacing w:after="0" w:line="168" w:lineRule="exact"/>
        <w:rPr>
          <w:rFonts w:ascii="Arial" w:cs="Arial" w:eastAsia="Arial" w:hAnsi="Arial"/>
          <w:sz w:val="16"/>
          <w:szCs w:val="16"/>
          <w:color w:val="auto"/>
        </w:rPr>
      </w:pPr>
    </w:p>
    <w:p>
      <w:pPr>
        <w:ind w:left="600" w:hanging="302"/>
        <w:spacing w:after="0" w:line="236"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is evaluating nine of our existing renewable power projects comprising 3.2 million MMBtu per year of landfill biogas in light of the incentives in the Inflation Reduction Act.</w:t>
      </w:r>
    </w:p>
    <w:p>
      <w:pPr>
        <w:spacing w:after="0" w:line="199"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Company's total number of RNG dispensing stations grew from 69 at December 31, 2021, to 123 at September 30, 2022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COVID-19</w:t>
      </w:r>
    </w:p>
    <w:p>
      <w:pPr>
        <w:spacing w:after="0" w:line="140"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the date of this report, the COVID-19 pandemic has had a relatively minimal economic impact on our results of operations.</w:t>
      </w:r>
    </w:p>
    <w:p>
      <w:pPr>
        <w:spacing w:after="0" w:line="128"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The duration and future economic severity of the COVID-19 remains uncertain, and our results of operations and financial condition could potentially face material adverse effect(s) in the future due to COVID-19.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Accounting Policies</w:t>
      </w:r>
    </w:p>
    <w:p>
      <w:pPr>
        <w:spacing w:after="0" w:line="339"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187"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6"/>
          <w:szCs w:val="16"/>
          <w:color w:val="auto"/>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should be read in conjunction with the consolidated financial statements and notes thereto included in the Company’s Current Report on 8-K, which was filed with </w:t>
      </w:r>
      <w:r>
        <w:rPr>
          <w:rFonts w:ascii="Arial" w:cs="Arial" w:eastAsia="Arial" w:hAnsi="Arial"/>
          <w:sz w:val="16"/>
          <w:szCs w:val="16"/>
          <w:i w:val="1"/>
          <w:iCs w:val="1"/>
          <w:color w:val="auto"/>
        </w:rPr>
        <w:t>SEC</w:t>
      </w:r>
      <w:r>
        <w:rPr>
          <w:rFonts w:ascii="Arial" w:cs="Arial" w:eastAsia="Arial" w:hAnsi="Arial"/>
          <w:sz w:val="16"/>
          <w:szCs w:val="16"/>
          <w:color w:val="auto"/>
        </w:rPr>
        <w:t xml:space="preserve"> on July 27, 2022.</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351" w:lineRule="exact"/>
        <w:rPr>
          <w:sz w:val="20"/>
          <w:szCs w:val="20"/>
          <w:color w:val="auto"/>
        </w:rPr>
      </w:pPr>
    </w:p>
    <w:p>
      <w:pPr>
        <w:jc w:val="both"/>
        <w:ind w:firstLine="597"/>
        <w:spacing w:after="0" w:line="238"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forward purchase agreement, interest rate swaps and commodity swap contracts.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and Trends Influencing our Results of Operations</w:t>
      </w:r>
    </w:p>
    <w:p>
      <w:pPr>
        <w:spacing w:after="0" w:line="13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 elsewhere in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Demand for RNG</w:t>
      </w:r>
    </w:p>
    <w:p>
      <w:pPr>
        <w:spacing w:after="0" w:line="202" w:lineRule="exact"/>
        <w:rPr>
          <w:sz w:val="20"/>
          <w:szCs w:val="20"/>
          <w:color w:val="auto"/>
        </w:rPr>
      </w:pPr>
    </w:p>
    <w:p>
      <w:pPr>
        <w:jc w:val="both"/>
        <w:ind w:firstLine="298"/>
        <w:spacing w:after="0" w:line="305" w:lineRule="auto"/>
        <w:rPr>
          <w:sz w:val="20"/>
          <w:szCs w:val="20"/>
          <w:color w:val="auto"/>
        </w:rPr>
      </w:pPr>
      <w:r>
        <w:rPr>
          <w:rFonts w:ascii="Arial" w:cs="Arial" w:eastAsia="Arial" w:hAnsi="Arial"/>
          <w:sz w:val="14"/>
          <w:szCs w:val="14"/>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254" w:lineRule="exact"/>
        <w:rPr>
          <w:sz w:val="20"/>
          <w:szCs w:val="20"/>
          <w:color w:val="auto"/>
        </w:rPr>
      </w:pPr>
    </w:p>
    <w:p>
      <w:pPr>
        <w:jc w:val="both"/>
        <w:ind w:firstLine="298"/>
        <w:spacing w:after="0" w:line="213" w:lineRule="exact"/>
        <w:rPr>
          <w:sz w:val="20"/>
          <w:szCs w:val="20"/>
          <w:color w:val="auto"/>
        </w:rPr>
      </w:pPr>
      <w:r>
        <w:rPr>
          <w:rFonts w:ascii="Arial" w:cs="Arial" w:eastAsia="Arial" w:hAnsi="Arial"/>
          <w:sz w:val="17"/>
          <w:szCs w:val="17"/>
          <w:color w:val="auto"/>
        </w:rPr>
        <w:t>Commercial transportation, including heavy-duty trucking, generates approximately 30% emissions of overall CO</w:t>
      </w:r>
      <w:r>
        <w:rPr>
          <w:rFonts w:ascii="MS PGothic" w:cs="MS PGothic" w:eastAsia="MS PGothic" w:hAnsi="MS PGothic"/>
          <w:sz w:val="17"/>
          <w:szCs w:val="17"/>
          <w:color w:val="auto"/>
        </w:rPr>
        <w:t>₂</w:t>
      </w:r>
      <w:r>
        <w:rPr>
          <w:rFonts w:ascii="Arial" w:cs="Arial" w:eastAsia="Arial" w:hAnsi="Arial"/>
          <w:sz w:val="17"/>
          <w:szCs w:val="17"/>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We are also exposed to the commodity prices of natural gas and diesel, which serve as alternative fuel for RNG and therefore impact the demand for RNG.</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Renewable Power Markets</w:t>
      </w:r>
    </w:p>
    <w:p>
      <w:pPr>
        <w:spacing w:after="0" w:line="128" w:lineRule="exact"/>
        <w:rPr>
          <w:sz w:val="20"/>
          <w:szCs w:val="20"/>
          <w:color w:val="auto"/>
        </w:rPr>
      </w:pPr>
    </w:p>
    <w:p>
      <w:pPr>
        <w:jc w:val="both"/>
        <w:ind w:firstLine="298"/>
        <w:spacing w:after="0" w:line="309" w:lineRule="auto"/>
        <w:rPr>
          <w:sz w:val="20"/>
          <w:szCs w:val="20"/>
          <w:color w:val="auto"/>
        </w:rPr>
      </w:pPr>
      <w:r>
        <w:rPr>
          <w:rFonts w:ascii="Arial" w:cs="Arial" w:eastAsia="Arial" w:hAnsi="Arial"/>
          <w:sz w:val="14"/>
          <w:szCs w:val="14"/>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Our Results of Operations</w:t>
      </w:r>
    </w:p>
    <w:p>
      <w:pPr>
        <w:spacing w:after="0" w:line="144" w:lineRule="exact"/>
        <w:rPr>
          <w:sz w:val="20"/>
          <w:szCs w:val="20"/>
          <w:color w:val="auto"/>
        </w:rPr>
      </w:pPr>
    </w:p>
    <w:p>
      <w:pPr>
        <w:jc w:val="both"/>
        <w:ind w:firstLine="298"/>
        <w:spacing w:after="0" w:line="244" w:lineRule="auto"/>
        <w:rPr>
          <w:sz w:val="20"/>
          <w:szCs w:val="20"/>
          <w:color w:val="auto"/>
        </w:rPr>
      </w:pPr>
      <w:r>
        <w:rPr>
          <w:rFonts w:ascii="Arial" w:cs="Arial" w:eastAsia="Arial" w:hAnsi="Arial"/>
          <w:sz w:val="17"/>
          <w:szCs w:val="17"/>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2" w:lineRule="exact"/>
        <w:rPr>
          <w:sz w:val="20"/>
          <w:szCs w:val="20"/>
          <w:color w:val="auto"/>
        </w:rPr>
      </w:pPr>
    </w:p>
    <w:p>
      <w:pPr>
        <w:ind w:left="740" w:hanging="442"/>
        <w:spacing w:after="0" w:line="235" w:lineRule="auto"/>
        <w:tabs>
          <w:tab w:leader="none" w:pos="73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RNG Fuel. </w:t>
      </w:r>
      <w:r>
        <w:rPr>
          <w:rFonts w:ascii="Arial" w:cs="Arial" w:eastAsia="Arial" w:hAnsi="Arial"/>
          <w:sz w:val="17"/>
          <w:szCs w:val="17"/>
          <w:color w:val="auto"/>
        </w:rPr>
        <w:t>The RNG Fuel segment includes RNG supply and dispensing activities as well as the associated generation and sale of commodity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and environmental credits, and consists of</w:t>
      </w:r>
    </w:p>
    <w:p>
      <w:pPr>
        <w:spacing w:after="0" w:line="212" w:lineRule="exact"/>
        <w:rPr>
          <w:rFonts w:ascii="Arial" w:cs="Arial" w:eastAsia="Arial" w:hAnsi="Arial"/>
          <w:sz w:val="17"/>
          <w:szCs w:val="17"/>
          <w:color w:val="auto"/>
        </w:rPr>
      </w:pPr>
    </w:p>
    <w:p>
      <w:pPr>
        <w:ind w:left="1340" w:right="320" w:hanging="446"/>
        <w:spacing w:after="0" w:line="252" w:lineRule="auto"/>
        <w:tabs>
          <w:tab w:leader="none" w:pos="13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RNG Production Facilities – the design, development, construction, maintenance and operation of facilities that convert raw biogas into pipeline quality natural gas</w:t>
      </w:r>
    </w:p>
    <w:p>
      <w:pPr>
        <w:ind w:left="1340" w:hanging="446"/>
        <w:spacing w:after="0"/>
        <w:tabs>
          <w:tab w:leader="none" w:pos="13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Included here are the Company's interests in both operating and construction projects.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1340" w:hanging="446"/>
        <w:spacing w:after="0" w:line="295" w:lineRule="auto"/>
        <w:tabs>
          <w:tab w:leader="none" w:pos="1349" w:val="left"/>
        </w:tabs>
        <w:numPr>
          <w:ilvl w:val="1"/>
          <w:numId w:val="35"/>
        </w:numPr>
        <w:rPr>
          <w:rFonts w:ascii="Arial" w:cs="Arial" w:eastAsia="Arial" w:hAnsi="Arial"/>
          <w:sz w:val="16"/>
          <w:szCs w:val="16"/>
          <w:color w:val="auto"/>
        </w:rPr>
      </w:pPr>
      <w:r>
        <w:rPr>
          <w:rFonts w:ascii="Arial" w:cs="Arial" w:eastAsia="Arial" w:hAnsi="Arial"/>
          <w:sz w:val="16"/>
          <w:szCs w:val="16"/>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52" w:lineRule="exact"/>
        <w:rPr>
          <w:rFonts w:ascii="Arial" w:cs="Arial" w:eastAsia="Arial" w:hAnsi="Arial"/>
          <w:sz w:val="16"/>
          <w:szCs w:val="16"/>
          <w:color w:val="auto"/>
        </w:rPr>
      </w:pPr>
    </w:p>
    <w:p>
      <w:pPr>
        <w:ind w:left="740" w:hanging="442"/>
        <w:spacing w:after="0" w:line="253" w:lineRule="auto"/>
        <w:tabs>
          <w:tab w:leader="none" w:pos="736"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Fuel Station Services. </w:t>
      </w:r>
      <w:r>
        <w:rPr>
          <w:rFonts w:ascii="Arial" w:cs="Arial" w:eastAsia="Arial" w:hAnsi="Arial"/>
          <w:sz w:val="17"/>
          <w:szCs w:val="17"/>
          <w:color w:val="auto"/>
        </w:rPr>
        <w:t>Through its Fuel Station Services segment</w:t>
      </w:r>
      <w:r>
        <w:rPr>
          <w:rFonts w:ascii="Arial" w:cs="Arial" w:eastAsia="Arial" w:hAnsi="Arial"/>
          <w:sz w:val="17"/>
          <w:szCs w:val="17"/>
          <w:b w:val="1"/>
          <w:bCs w:val="1"/>
          <w:color w:val="auto"/>
        </w:rPr>
        <w:t>, t</w:t>
      </w:r>
      <w:r>
        <w:rPr>
          <w:rFonts w:ascii="Arial" w:cs="Arial" w:eastAsia="Arial" w:hAnsi="Arial"/>
          <w:sz w:val="17"/>
          <w:szCs w:val="17"/>
          <w:color w:val="auto"/>
        </w:rPr>
        <w:t>he Company provides construction and maintenance services to third-party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Fueling Stations. This segment includes:</w:t>
      </w:r>
    </w:p>
    <w:p>
      <w:pPr>
        <w:spacing w:after="0" w:line="188" w:lineRule="exact"/>
        <w:rPr>
          <w:rFonts w:ascii="Arial" w:cs="Arial" w:eastAsia="Arial" w:hAnsi="Arial"/>
          <w:sz w:val="17"/>
          <w:szCs w:val="17"/>
          <w:color w:val="auto"/>
        </w:rPr>
      </w:pPr>
    </w:p>
    <w:p>
      <w:pPr>
        <w:ind w:left="1340" w:hanging="446"/>
        <w:spacing w:after="0"/>
        <w:tabs>
          <w:tab w:leader="none" w:pos="13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Service and maintenance contracts for RNG/CNG Fueling Stations.</w:t>
      </w:r>
    </w:p>
    <w:p>
      <w:pPr>
        <w:spacing w:after="0" w:line="4" w:lineRule="exact"/>
        <w:rPr>
          <w:rFonts w:ascii="Arial" w:cs="Arial" w:eastAsia="Arial" w:hAnsi="Arial"/>
          <w:sz w:val="17"/>
          <w:szCs w:val="17"/>
          <w:color w:val="auto"/>
        </w:rPr>
      </w:pPr>
    </w:p>
    <w:p>
      <w:pPr>
        <w:ind w:left="1340" w:hanging="446"/>
        <w:spacing w:after="0"/>
        <w:tabs>
          <w:tab w:leader="none" w:pos="13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Manufacturing division that builds Compact Fueling Systems and Defueling systems.</w:t>
      </w:r>
    </w:p>
    <w:p>
      <w:pPr>
        <w:spacing w:after="0" w:line="2" w:lineRule="exact"/>
        <w:rPr>
          <w:rFonts w:ascii="Arial" w:cs="Arial" w:eastAsia="Arial" w:hAnsi="Arial"/>
          <w:sz w:val="17"/>
          <w:szCs w:val="17"/>
          <w:color w:val="auto"/>
        </w:rPr>
      </w:pPr>
    </w:p>
    <w:p>
      <w:pPr>
        <w:ind w:left="1340" w:right="460" w:hanging="446"/>
        <w:spacing w:after="0" w:line="236" w:lineRule="auto"/>
        <w:tabs>
          <w:tab w:leader="none" w:pos="13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95" w:lineRule="exact"/>
        <w:rPr>
          <w:rFonts w:ascii="Arial" w:cs="Arial" w:eastAsia="Arial" w:hAnsi="Arial"/>
          <w:sz w:val="17"/>
          <w:szCs w:val="17"/>
          <w:color w:val="auto"/>
        </w:rPr>
      </w:pPr>
    </w:p>
    <w:p>
      <w:pPr>
        <w:ind w:left="740" w:hanging="442"/>
        <w:spacing w:after="0" w:line="377" w:lineRule="auto"/>
        <w:tabs>
          <w:tab w:leader="none" w:pos="736"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 xml:space="preserve">Renewable Power Portfolio. </w:t>
      </w:r>
      <w:r>
        <w:rPr>
          <w:rFonts w:ascii="Arial" w:cs="Arial" w:eastAsia="Arial" w:hAnsi="Arial"/>
          <w:sz w:val="14"/>
          <w:szCs w:val="14"/>
          <w:color w:val="auto"/>
        </w:rPr>
        <w:t>The Renewable Power portfolio segment generates renewable power through combustion of biogas from landfills and digester</w:t>
      </w:r>
      <w:r>
        <w:rPr>
          <w:rFonts w:ascii="Arial" w:cs="Arial" w:eastAsia="Arial" w:hAnsi="Arial"/>
          <w:sz w:val="14"/>
          <w:szCs w:val="14"/>
          <w:b w:val="1"/>
          <w:bCs w:val="1"/>
          <w:color w:val="auto"/>
        </w:rPr>
        <w:t xml:space="preserve"> </w:t>
      </w:r>
      <w:r>
        <w:rPr>
          <w:rFonts w:ascii="Arial" w:cs="Arial" w:eastAsia="Arial" w:hAnsi="Arial"/>
          <w:sz w:val="14"/>
          <w:szCs w:val="14"/>
          <w:color w:val="auto"/>
        </w:rPr>
        <w:t>gas collection systems which is then sold to public utilities throughout the United States. The Renewable portfolio operates primarily in Southern California.</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costs of sales associated with each revenue category are as follows:</w:t>
      </w:r>
    </w:p>
    <w:p>
      <w:pPr>
        <w:spacing w:after="0" w:line="136" w:lineRule="exact"/>
        <w:rPr>
          <w:sz w:val="20"/>
          <w:szCs w:val="20"/>
          <w:color w:val="auto"/>
        </w:rPr>
      </w:pPr>
    </w:p>
    <w:p>
      <w:pPr>
        <w:ind w:left="740" w:hanging="442"/>
        <w:spacing w:after="0" w:line="268" w:lineRule="auto"/>
        <w:tabs>
          <w:tab w:leader="none" w:pos="736"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RNG Fuel. </w:t>
      </w:r>
      <w:r>
        <w:rPr>
          <w:rFonts w:ascii="Arial" w:cs="Arial" w:eastAsia="Arial" w:hAnsi="Arial"/>
          <w:sz w:val="17"/>
          <w:szCs w:val="17"/>
          <w:color w:val="auto"/>
        </w:rPr>
        <w:t>Includes royalty payments to biogas site owners for the biogas we use; service provider costs; salaries and other indirect expenses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production process, utilities, transportation, storage, and insurance; and depreciation of production facilities.</w:t>
      </w:r>
    </w:p>
    <w:p>
      <w:pPr>
        <w:spacing w:after="0" w:line="85" w:lineRule="exact"/>
        <w:rPr>
          <w:rFonts w:ascii="Arial" w:cs="Arial" w:eastAsia="Arial" w:hAnsi="Arial"/>
          <w:sz w:val="17"/>
          <w:szCs w:val="17"/>
          <w:color w:val="auto"/>
        </w:rPr>
      </w:pPr>
    </w:p>
    <w:p>
      <w:pPr>
        <w:ind w:left="740" w:hanging="442"/>
        <w:spacing w:after="0"/>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Fuel Station Services. </w:t>
      </w:r>
      <w:r>
        <w:rPr>
          <w:rFonts w:ascii="Arial" w:cs="Arial" w:eastAsia="Arial" w:hAnsi="Arial"/>
          <w:sz w:val="17"/>
          <w:szCs w:val="17"/>
          <w:color w:val="auto"/>
        </w:rPr>
        <w:t>Includes equipment supplier costs; service provider costs; and salaries and other indirect expenses.</w:t>
      </w:r>
    </w:p>
    <w:p>
      <w:pPr>
        <w:spacing w:after="0" w:line="140" w:lineRule="exact"/>
        <w:rPr>
          <w:rFonts w:ascii="Arial" w:cs="Arial" w:eastAsia="Arial" w:hAnsi="Arial"/>
          <w:sz w:val="17"/>
          <w:szCs w:val="17"/>
          <w:color w:val="auto"/>
        </w:rPr>
      </w:pPr>
    </w:p>
    <w:p>
      <w:pPr>
        <w:ind w:left="740" w:hanging="442"/>
        <w:spacing w:after="0" w:line="268" w:lineRule="auto"/>
        <w:tabs>
          <w:tab w:leader="none" w:pos="736"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Renewable Power. </w:t>
      </w:r>
      <w:r>
        <w:rPr>
          <w:rFonts w:ascii="Arial" w:cs="Arial" w:eastAsia="Arial" w:hAnsi="Arial"/>
          <w:sz w:val="17"/>
          <w:szCs w:val="17"/>
          <w:color w:val="auto"/>
        </w:rPr>
        <w:t>Includes land usage costs; service provider costs; salaries and other indirect expenses related to the production process; utilities;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of production facilities.</w:t>
      </w:r>
    </w:p>
    <w:p>
      <w:pPr>
        <w:spacing w:after="0" w:line="102" w:lineRule="exact"/>
        <w:rPr>
          <w:sz w:val="20"/>
          <w:szCs w:val="20"/>
          <w:color w:val="auto"/>
        </w:rPr>
      </w:pPr>
    </w:p>
    <w:p>
      <w:pPr>
        <w:ind w:left="140"/>
        <w:spacing w:after="0" w:line="264" w:lineRule="auto"/>
        <w:rPr>
          <w:sz w:val="20"/>
          <w:szCs w:val="20"/>
          <w:color w:val="auto"/>
        </w:rPr>
      </w:pPr>
      <w:r>
        <w:rPr>
          <w:rFonts w:ascii="Arial" w:cs="Arial" w:eastAsia="Arial" w:hAnsi="Arial"/>
          <w:sz w:val="17"/>
          <w:szCs w:val="17"/>
          <w:color w:val="auto"/>
        </w:rPr>
        <w:t>Selling, general, and administrative expense consists of costs involving corporate overhead functions, including the cost of services provided to us by an affiliate, and marketing costs.</w:t>
      </w:r>
    </w:p>
    <w:p>
      <w:pPr>
        <w:spacing w:after="0" w:line="9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 and nine months ended September 30, 2022 and 2021: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data</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operational data achieved for the three and nine months ended September 30, 2022 and 2021:</w:t>
      </w:r>
    </w:p>
    <w:p>
      <w:pPr>
        <w:spacing w:after="0" w:line="200" w:lineRule="exact"/>
        <w:rPr>
          <w:sz w:val="20"/>
          <w:szCs w:val="20"/>
          <w:color w:val="auto"/>
        </w:rPr>
      </w:pPr>
    </w:p>
    <w:p>
      <w:pPr>
        <w:spacing w:after="0" w:line="338"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4660" w:type="dxa"/>
            <w:vAlign w:val="bottom"/>
            <w:shd w:val="clear" w:color="auto" w:fill="CCEEFF"/>
          </w:tcPr>
          <w:p>
            <w:pPr>
              <w:spacing w:after="0"/>
              <w:rPr>
                <w:sz w:val="18"/>
                <w:szCs w:val="18"/>
                <w:color w:val="auto"/>
              </w:rPr>
            </w:pPr>
          </w:p>
        </w:tc>
        <w:tc>
          <w:tcPr>
            <w:tcW w:w="3160" w:type="dxa"/>
            <w:vAlign w:val="bottom"/>
            <w:gridSpan w:val="5"/>
            <w:shd w:val="clear" w:color="auto" w:fill="CCEEFF"/>
          </w:tcPr>
          <w:p>
            <w:pPr>
              <w:ind w:left="240"/>
              <w:spacing w:after="0"/>
              <w:rPr>
                <w:sz w:val="20"/>
                <w:szCs w:val="20"/>
                <w:color w:val="auto"/>
              </w:rPr>
            </w:pPr>
            <w:r>
              <w:rPr>
                <w:rFonts w:ascii="Arial" w:cs="Arial" w:eastAsia="Arial" w:hAnsi="Arial"/>
                <w:sz w:val="17"/>
                <w:szCs w:val="17"/>
                <w:b w:val="1"/>
                <w:bCs w:val="1"/>
                <w:color w:val="auto"/>
              </w:rPr>
              <w:t>Three Months Ended September 30,</w:t>
            </w:r>
          </w:p>
        </w:tc>
        <w:tc>
          <w:tcPr>
            <w:tcW w:w="3020" w:type="dxa"/>
            <w:vAlign w:val="bottom"/>
            <w:gridSpan w:val="3"/>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97"/>
              </w:rPr>
              <w:t>Nine Months Ended September 30,</w:t>
            </w:r>
          </w:p>
        </w:tc>
      </w:tr>
      <w:tr>
        <w:trPr>
          <w:trHeight w:val="204"/>
        </w:trPr>
        <w:tc>
          <w:tcPr>
            <w:tcW w:w="46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r>
      <w:tr>
        <w:trPr>
          <w:trHeight w:val="229"/>
        </w:trPr>
        <w:tc>
          <w:tcPr>
            <w:tcW w:w="4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1"/>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RNG Fuel volume produced (Million MMBtus)</w:t>
            </w:r>
          </w:p>
        </w:tc>
        <w:tc>
          <w:tcPr>
            <w:tcW w:w="50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RNG Fuel volume sold (Million GGEs)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2"/>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Total volume delivered (Million GGEs)</w:t>
            </w:r>
          </w:p>
        </w:tc>
        <w:tc>
          <w:tcPr>
            <w:tcW w:w="500" w:type="dxa"/>
            <w:vAlign w:val="bottom"/>
          </w:tcPr>
          <w:p>
            <w:pPr>
              <w:jc w:val="right"/>
              <w:spacing w:after="0"/>
              <w:rPr>
                <w:sz w:val="20"/>
                <w:szCs w:val="20"/>
                <w:color w:val="auto"/>
              </w:rPr>
            </w:pPr>
            <w:r>
              <w:rPr>
                <w:rFonts w:ascii="Arial" w:cs="Arial" w:eastAsia="Arial" w:hAnsi="Arial"/>
                <w:sz w:val="17"/>
                <w:szCs w:val="17"/>
                <w:color w:val="auto"/>
              </w:rPr>
              <w:t>30.7</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82.6</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68.8</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RNG projects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setting forth the RNG projects in operation and construction in our portfolio: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tbl>
      <w:tblPr>
        <w:tblLayout w:type="fixed"/>
        <w:tblInd w:w="1" w:type="dxa"/>
        <w:tblCellMar>
          <w:top w:w="0" w:type="dxa"/>
          <w:left w:w="0" w:type="dxa"/>
          <w:bottom w:w="0" w:type="dxa"/>
          <w:right w:w="0" w:type="dxa"/>
        </w:tblCellMar>
      </w:tblPr>
      <w:tr>
        <w:trPr>
          <w:trHeight w:val="195"/>
        </w:trPr>
        <w:tc>
          <w:tcPr>
            <w:tcW w:w="448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Design capacity (MMbtus per</w:t>
            </w:r>
          </w:p>
        </w:tc>
        <w:tc>
          <w:tcPr>
            <w:tcW w:w="2320" w:type="dxa"/>
            <w:vAlign w:val="bottom"/>
            <w:shd w:val="clear" w:color="auto" w:fill="CCEEFF"/>
          </w:tcPr>
          <w:p>
            <w:pPr>
              <w:spacing w:after="0"/>
              <w:rPr>
                <w:sz w:val="16"/>
                <w:szCs w:val="16"/>
                <w:color w:val="auto"/>
              </w:rPr>
            </w:pPr>
          </w:p>
        </w:tc>
        <w:tc>
          <w:tcPr>
            <w:tcW w:w="2200" w:type="dxa"/>
            <w:vAlign w:val="bottom"/>
            <w:vMerge w:val="restart"/>
            <w:shd w:val="clear" w:color="auto" w:fill="CCEEFF"/>
          </w:tcPr>
          <w:p>
            <w:pPr>
              <w:ind w:left="600"/>
              <w:spacing w:after="0"/>
              <w:rPr>
                <w:sz w:val="20"/>
                <w:szCs w:val="20"/>
                <w:color w:val="auto"/>
              </w:rPr>
            </w:pPr>
            <w:r>
              <w:rPr>
                <w:rFonts w:ascii="Arial" w:cs="Arial" w:eastAsia="Arial" w:hAnsi="Arial"/>
                <w:sz w:val="17"/>
                <w:szCs w:val="17"/>
                <w:b w:val="1"/>
                <w:bCs w:val="1"/>
                <w:color w:val="auto"/>
              </w:rPr>
              <w:t xml:space="preserve">Ownership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757"/>
              <w:spacing w:after="0" w:line="224" w:lineRule="exact"/>
              <w:rPr>
                <w:sz w:val="20"/>
                <w:szCs w:val="20"/>
                <w:color w:val="auto"/>
              </w:rPr>
            </w:pPr>
            <w:r>
              <w:rPr>
                <w:rFonts w:ascii="Arial" w:cs="Arial" w:eastAsia="Arial" w:hAnsi="Arial"/>
                <w:sz w:val="17"/>
                <w:szCs w:val="17"/>
                <w:b w:val="1"/>
                <w:bCs w:val="1"/>
                <w:color w:val="auto"/>
                <w:w w:val="83"/>
              </w:rPr>
              <w:t xml:space="preserve">year) </w:t>
            </w:r>
            <w:r>
              <w:rPr>
                <w:rFonts w:ascii="Arial" w:cs="Arial" w:eastAsia="Arial" w:hAnsi="Arial"/>
                <w:sz w:val="21"/>
                <w:szCs w:val="21"/>
                <w:b w:val="1"/>
                <w:bCs w:val="1"/>
                <w:color w:val="auto"/>
                <w:w w:val="83"/>
                <w:vertAlign w:val="superscript"/>
              </w:rPr>
              <w:t>(1)</w:t>
            </w:r>
          </w:p>
        </w:tc>
        <w:tc>
          <w:tcPr>
            <w:tcW w:w="84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Source of bio gas</w:t>
            </w:r>
          </w:p>
        </w:tc>
        <w:tc>
          <w:tcPr>
            <w:tcW w:w="2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line="191" w:lineRule="exact"/>
              <w:rPr>
                <w:sz w:val="20"/>
                <w:szCs w:val="20"/>
                <w:color w:val="auto"/>
              </w:rPr>
            </w:pPr>
            <w:r>
              <w:rPr>
                <w:rFonts w:ascii="Arial" w:cs="Arial" w:eastAsia="Arial" w:hAnsi="Arial"/>
                <w:sz w:val="17"/>
                <w:szCs w:val="17"/>
                <w:b w:val="1"/>
                <w:bCs w:val="1"/>
                <w:color w:val="auto"/>
              </w:rPr>
              <w:t>RNG projects in operation:</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Greentree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Imperial</w:t>
            </w:r>
          </w:p>
        </w:tc>
        <w:tc>
          <w:tcPr>
            <w:tcW w:w="840" w:type="dxa"/>
            <w:vAlign w:val="bottom"/>
          </w:tcPr>
          <w:p>
            <w:pPr>
              <w:jc w:val="right"/>
              <w:spacing w:after="0"/>
              <w:rPr>
                <w:sz w:val="20"/>
                <w:szCs w:val="20"/>
                <w:color w:val="auto"/>
              </w:rPr>
            </w:pPr>
            <w:r>
              <w:rPr>
                <w:rFonts w:ascii="Arial" w:cs="Arial" w:eastAsia="Arial" w:hAnsi="Arial"/>
                <w:sz w:val="17"/>
                <w:szCs w:val="17"/>
                <w:color w:val="auto"/>
              </w:rPr>
              <w:t>900,000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River</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Noble Road</w:t>
            </w:r>
          </w:p>
        </w:tc>
        <w:tc>
          <w:tcPr>
            <w:tcW w:w="840" w:type="dxa"/>
            <w:vAlign w:val="bottom"/>
          </w:tcPr>
          <w:p>
            <w:pPr>
              <w:jc w:val="right"/>
              <w:spacing w:after="0"/>
              <w:rPr>
                <w:sz w:val="20"/>
                <w:szCs w:val="20"/>
                <w:color w:val="auto"/>
              </w:rPr>
            </w:pPr>
            <w:r>
              <w:rPr>
                <w:rFonts w:ascii="Arial" w:cs="Arial" w:eastAsia="Arial" w:hAnsi="Arial"/>
                <w:sz w:val="17"/>
                <w:szCs w:val="17"/>
                <w:color w:val="auto"/>
              </w:rPr>
              <w:t>800,000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Pine Bend</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Sunoma</w:t>
            </w:r>
          </w:p>
        </w:tc>
        <w:tc>
          <w:tcPr>
            <w:tcW w:w="840" w:type="dxa"/>
            <w:vAlign w:val="bottom"/>
          </w:tcPr>
          <w:p>
            <w:pPr>
              <w:jc w:val="right"/>
              <w:spacing w:after="0"/>
              <w:rPr>
                <w:sz w:val="20"/>
                <w:szCs w:val="20"/>
                <w:color w:val="auto"/>
              </w:rPr>
            </w:pPr>
            <w:r>
              <w:rPr>
                <w:rFonts w:ascii="Arial" w:cs="Arial" w:eastAsia="Arial" w:hAnsi="Arial"/>
                <w:sz w:val="17"/>
                <w:szCs w:val="17"/>
                <w:color w:val="auto"/>
              </w:rPr>
              <w:t>200,000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5"/>
              </w:rPr>
              <w:t>Dairy</w:t>
            </w:r>
          </w:p>
        </w:tc>
        <w:tc>
          <w:tcPr>
            <w:tcW w:w="2200" w:type="dxa"/>
            <w:vAlign w:val="bottom"/>
          </w:tcPr>
          <w:p>
            <w:pPr>
              <w:jc w:val="center"/>
              <w:spacing w:after="0"/>
              <w:rPr>
                <w:sz w:val="20"/>
                <w:szCs w:val="20"/>
                <w:color w:val="auto"/>
              </w:rPr>
            </w:pPr>
            <w:r>
              <w:rPr>
                <w:rFonts w:ascii="Arial" w:cs="Arial" w:eastAsia="Arial" w:hAnsi="Arial"/>
                <w:sz w:val="17"/>
                <w:szCs w:val="17"/>
                <w:color w:val="auto"/>
                <w:w w:val="88"/>
              </w:rPr>
              <w:t>90%</w:t>
            </w:r>
          </w:p>
        </w:tc>
        <w:tc>
          <w:tcPr>
            <w:tcW w:w="0" w:type="dxa"/>
            <w:vAlign w:val="bottom"/>
          </w:tcPr>
          <w:p>
            <w:pPr>
              <w:spacing w:after="0"/>
              <w:rPr>
                <w:sz w:val="1"/>
                <w:szCs w:val="1"/>
                <w:color w:val="auto"/>
              </w:rPr>
            </w:pPr>
          </w:p>
        </w:tc>
      </w:tr>
      <w:tr>
        <w:trPr>
          <w:trHeight w:val="20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Sub total</w:t>
            </w:r>
          </w:p>
        </w:tc>
        <w:tc>
          <w:tcPr>
            <w:tcW w:w="1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4,175,000</w:t>
            </w:r>
          </w:p>
        </w:tc>
        <w:tc>
          <w:tcPr>
            <w:tcW w:w="23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RNG projects in construction:</w:t>
            </w:r>
          </w:p>
        </w:tc>
        <w:tc>
          <w:tcPr>
            <w:tcW w:w="8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Biotown</w:t>
            </w:r>
          </w:p>
        </w:tc>
        <w:tc>
          <w:tcPr>
            <w:tcW w:w="840" w:type="dxa"/>
            <w:vAlign w:val="bottom"/>
          </w:tcPr>
          <w:p>
            <w:pPr>
              <w:jc w:val="right"/>
              <w:spacing w:after="0"/>
              <w:rPr>
                <w:sz w:val="20"/>
                <w:szCs w:val="20"/>
                <w:color w:val="auto"/>
              </w:rPr>
            </w:pPr>
            <w:r>
              <w:rPr>
                <w:rFonts w:ascii="Arial" w:cs="Arial" w:eastAsia="Arial" w:hAnsi="Arial"/>
                <w:sz w:val="17"/>
                <w:szCs w:val="17"/>
                <w:color w:val="auto"/>
              </w:rPr>
              <w:t>375,000</w:t>
            </w:r>
          </w:p>
        </w:tc>
        <w:tc>
          <w:tcPr>
            <w:tcW w:w="2320" w:type="dxa"/>
            <w:vAlign w:val="bottom"/>
          </w:tcPr>
          <w:p>
            <w:pPr>
              <w:jc w:val="center"/>
              <w:spacing w:after="0"/>
              <w:rPr>
                <w:sz w:val="20"/>
                <w:szCs w:val="20"/>
                <w:color w:val="auto"/>
              </w:rPr>
            </w:pPr>
            <w:r>
              <w:rPr>
                <w:rFonts w:ascii="Arial" w:cs="Arial" w:eastAsia="Arial" w:hAnsi="Arial"/>
                <w:sz w:val="17"/>
                <w:szCs w:val="17"/>
                <w:color w:val="auto"/>
                <w:w w:val="95"/>
              </w:rPr>
              <w:t>Dairy</w:t>
            </w:r>
          </w:p>
        </w:tc>
        <w:tc>
          <w:tcPr>
            <w:tcW w:w="2200" w:type="dxa"/>
            <w:vAlign w:val="bottom"/>
          </w:tcPr>
          <w:p>
            <w:pPr>
              <w:jc w:val="center"/>
              <w:spacing w:after="0"/>
              <w:rPr>
                <w:sz w:val="20"/>
                <w:szCs w:val="20"/>
                <w:color w:val="auto"/>
              </w:rPr>
            </w:pPr>
            <w:r>
              <w:rPr>
                <w:rFonts w:ascii="Arial" w:cs="Arial" w:eastAsia="Arial" w:hAnsi="Arial"/>
                <w:sz w:val="17"/>
                <w:szCs w:val="17"/>
                <w:color w:val="auto"/>
                <w:w w:val="88"/>
              </w:rPr>
              <w:t>10%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Prince William</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Hilltop</w:t>
            </w:r>
          </w:p>
        </w:tc>
        <w:tc>
          <w:tcPr>
            <w:tcW w:w="840" w:type="dxa"/>
            <w:vAlign w:val="bottom"/>
          </w:tcPr>
          <w:p>
            <w:pPr>
              <w:jc w:val="right"/>
              <w:spacing w:after="0"/>
              <w:rPr>
                <w:sz w:val="20"/>
                <w:szCs w:val="20"/>
                <w:color w:val="auto"/>
              </w:rPr>
            </w:pPr>
            <w:r>
              <w:rPr>
                <w:rFonts w:ascii="Arial" w:cs="Arial" w:eastAsia="Arial" w:hAnsi="Arial"/>
                <w:sz w:val="17"/>
                <w:szCs w:val="17"/>
                <w:color w:val="auto"/>
              </w:rPr>
              <w:t>250,000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5"/>
              </w:rPr>
              <w:t>Dairy</w:t>
            </w:r>
          </w:p>
        </w:tc>
        <w:tc>
          <w:tcPr>
            <w:tcW w:w="220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Vander Schaaf</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Dairy</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Emerald</w:t>
            </w:r>
          </w:p>
        </w:tc>
        <w:tc>
          <w:tcPr>
            <w:tcW w:w="840" w:type="dxa"/>
            <w:vAlign w:val="bottom"/>
          </w:tcPr>
          <w:p>
            <w:pPr>
              <w:jc w:val="right"/>
              <w:spacing w:after="0"/>
              <w:rPr>
                <w:sz w:val="20"/>
                <w:szCs w:val="20"/>
                <w:color w:val="auto"/>
              </w:rPr>
            </w:pPr>
            <w:r>
              <w:rPr>
                <w:rFonts w:ascii="Arial" w:cs="Arial" w:eastAsia="Arial" w:hAnsi="Arial"/>
                <w:sz w:val="17"/>
                <w:szCs w:val="17"/>
                <w:color w:val="auto"/>
              </w:rPr>
              <w:t>2,100,000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Sapphire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1,300,000</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New England</w:t>
            </w:r>
          </w:p>
        </w:tc>
        <w:tc>
          <w:tcPr>
            <w:tcW w:w="840" w:type="dxa"/>
            <w:vAlign w:val="bottom"/>
          </w:tcPr>
          <w:p>
            <w:pPr>
              <w:jc w:val="right"/>
              <w:spacing w:after="0"/>
              <w:rPr>
                <w:sz w:val="20"/>
                <w:szCs w:val="20"/>
                <w:color w:val="auto"/>
              </w:rPr>
            </w:pPr>
            <w:r>
              <w:rPr>
                <w:rFonts w:ascii="Arial" w:cs="Arial" w:eastAsia="Arial" w:hAnsi="Arial"/>
                <w:sz w:val="17"/>
                <w:szCs w:val="17"/>
                <w:color w:val="auto"/>
              </w:rPr>
              <w:t>250,000</w:t>
            </w:r>
          </w:p>
        </w:tc>
        <w:tc>
          <w:tcPr>
            <w:tcW w:w="2320" w:type="dxa"/>
            <w:vAlign w:val="bottom"/>
          </w:tcPr>
          <w:p>
            <w:pPr>
              <w:jc w:val="center"/>
              <w:spacing w:after="0"/>
              <w:rPr>
                <w:sz w:val="20"/>
                <w:szCs w:val="20"/>
                <w:color w:val="auto"/>
              </w:rPr>
            </w:pPr>
            <w:r>
              <w:rPr>
                <w:rFonts w:ascii="Arial" w:cs="Arial" w:eastAsia="Arial" w:hAnsi="Arial"/>
                <w:sz w:val="17"/>
                <w:szCs w:val="17"/>
                <w:color w:val="auto"/>
                <w:w w:val="96"/>
              </w:rPr>
              <w:t>LFG</w:t>
            </w:r>
          </w:p>
        </w:tc>
        <w:tc>
          <w:tcPr>
            <w:tcW w:w="220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Sub total</w:t>
            </w:r>
          </w:p>
        </w:tc>
        <w:tc>
          <w:tcPr>
            <w:tcW w:w="1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6,125,000</w:t>
            </w:r>
          </w:p>
        </w:tc>
        <w:tc>
          <w:tcPr>
            <w:tcW w:w="23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10,300,000</w:t>
            </w:r>
          </w:p>
        </w:tc>
        <w:tc>
          <w:tcPr>
            <w:tcW w:w="23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 w:hanging="1"/>
        <w:spacing w:after="0" w:line="237" w:lineRule="auto"/>
        <w:tabs>
          <w:tab w:leader="none" w:pos="167" w:val="left"/>
        </w:tabs>
        <w:numPr>
          <w:ilvl w:val="0"/>
          <w:numId w:val="37"/>
        </w:numPr>
        <w:rPr>
          <w:rFonts w:ascii="Arial" w:cs="Arial" w:eastAsia="Arial" w:hAnsi="Arial"/>
          <w:sz w:val="20"/>
          <w:szCs w:val="20"/>
          <w:b w:val="1"/>
          <w:bCs w:val="1"/>
          <w:color w:val="auto"/>
          <w:vertAlign w:val="superscript"/>
        </w:rPr>
      </w:pPr>
      <w:r>
        <w:rPr>
          <w:rFonts w:ascii="Arial" w:cs="Arial" w:eastAsia="Arial" w:hAnsi="Arial"/>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87" w:lineRule="exact"/>
        <w:rPr>
          <w:rFonts w:ascii="Arial" w:cs="Arial" w:eastAsia="Arial" w:hAnsi="Arial"/>
          <w:sz w:val="20"/>
          <w:szCs w:val="20"/>
          <w:b w:val="1"/>
          <w:bCs w:val="1"/>
          <w:color w:val="auto"/>
          <w:vertAlign w:val="superscript"/>
        </w:rPr>
      </w:pPr>
    </w:p>
    <w:p>
      <w:pPr>
        <w:ind w:left="1" w:hanging="1"/>
        <w:spacing w:after="0" w:line="303" w:lineRule="auto"/>
        <w:tabs>
          <w:tab w:leader="none" w:pos="15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Renewable Power Projects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7"/>
          <w:szCs w:val="17"/>
          <w:color w:val="auto"/>
        </w:rPr>
        <w:t>Below is a table setting forth the Renewable Power projects in operation in our portfolio: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075" w:right="339" w:bottom="1440" w:gutter="0" w:footer="0" w:header="0"/>
        </w:sectPr>
      </w:pPr>
    </w:p>
    <w:bookmarkStart w:id="59" w:name="page60"/>
    <w:bookmarkEnd w:id="59"/>
    <w:tbl>
      <w:tblPr>
        <w:tblLayout w:type="fixed"/>
        <w:tblInd w:w="1" w:type="dxa"/>
        <w:tblCellMar>
          <w:top w:w="0" w:type="dxa"/>
          <w:left w:w="0" w:type="dxa"/>
          <w:bottom w:w="0" w:type="dxa"/>
          <w:right w:w="0" w:type="dxa"/>
        </w:tblCellMar>
      </w:tblPr>
      <w:tr>
        <w:trPr>
          <w:trHeight w:val="195"/>
        </w:trPr>
        <w:tc>
          <w:tcPr>
            <w:tcW w:w="366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Nameplate capacity (MW per</w:t>
            </w:r>
          </w:p>
        </w:tc>
        <w:tc>
          <w:tcPr>
            <w:tcW w:w="22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224"/>
        </w:trPr>
        <w:tc>
          <w:tcPr>
            <w:tcW w:w="366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557"/>
              <w:spacing w:after="0" w:line="224" w:lineRule="exact"/>
              <w:rPr>
                <w:sz w:val="20"/>
                <w:szCs w:val="20"/>
                <w:color w:val="auto"/>
              </w:rPr>
            </w:pPr>
            <w:r>
              <w:rPr>
                <w:rFonts w:ascii="Arial" w:cs="Arial" w:eastAsia="Arial" w:hAnsi="Arial"/>
                <w:sz w:val="17"/>
                <w:szCs w:val="17"/>
                <w:b w:val="1"/>
                <w:bCs w:val="1"/>
                <w:color w:val="auto"/>
                <w:w w:val="85"/>
              </w:rPr>
              <w:t xml:space="preserve">hour) </w:t>
            </w:r>
            <w:r>
              <w:rPr>
                <w:rFonts w:ascii="Arial" w:cs="Arial" w:eastAsia="Arial" w:hAnsi="Arial"/>
                <w:sz w:val="21"/>
                <w:szCs w:val="21"/>
                <w:b w:val="1"/>
                <w:bCs w:val="1"/>
                <w:color w:val="auto"/>
                <w:w w:val="85"/>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RNG conversion candidate</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Stage of RNG conversion</w:t>
            </w:r>
          </w:p>
        </w:tc>
      </w:tr>
      <w:tr>
        <w:trPr>
          <w:trHeight w:val="229"/>
        </w:trPr>
        <w:tc>
          <w:tcPr>
            <w:tcW w:w="3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In Development</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California 2</w:t>
            </w:r>
          </w:p>
        </w:tc>
        <w:tc>
          <w:tcPr>
            <w:tcW w:w="640" w:type="dxa"/>
            <w:vAlign w:val="bottom"/>
          </w:tcPr>
          <w:p>
            <w:pPr>
              <w:jc w:val="right"/>
              <w:spacing w:after="0"/>
              <w:rPr>
                <w:sz w:val="20"/>
                <w:szCs w:val="20"/>
                <w:color w:val="auto"/>
              </w:rPr>
            </w:pPr>
            <w:r>
              <w:rPr>
                <w:rFonts w:ascii="Arial" w:cs="Arial" w:eastAsia="Arial" w:hAnsi="Arial"/>
                <w:sz w:val="17"/>
                <w:szCs w:val="17"/>
                <w:color w:val="auto"/>
              </w:rPr>
              <w:t>6.1</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California 4</w:t>
            </w: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California 6</w:t>
            </w:r>
          </w:p>
        </w:tc>
        <w:tc>
          <w:tcPr>
            <w:tcW w:w="640" w:type="dxa"/>
            <w:vAlign w:val="bottom"/>
          </w:tcPr>
          <w:p>
            <w:pPr>
              <w:jc w:val="right"/>
              <w:spacing w:after="0"/>
              <w:rPr>
                <w:sz w:val="20"/>
                <w:szCs w:val="20"/>
                <w:color w:val="auto"/>
              </w:rPr>
            </w:pPr>
            <w:r>
              <w:rPr>
                <w:rFonts w:ascii="Arial" w:cs="Arial" w:eastAsia="Arial" w:hAnsi="Arial"/>
                <w:sz w:val="17"/>
                <w:szCs w:val="17"/>
                <w:color w:val="auto"/>
              </w:rPr>
              <w:t>1.6</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California 8</w:t>
            </w:r>
          </w:p>
        </w:tc>
        <w:tc>
          <w:tcPr>
            <w:tcW w:w="640" w:type="dxa"/>
            <w:vAlign w:val="bottom"/>
          </w:tcPr>
          <w:p>
            <w:pPr>
              <w:jc w:val="right"/>
              <w:spacing w:after="0"/>
              <w:rPr>
                <w:sz w:val="20"/>
                <w:szCs w:val="20"/>
                <w:color w:val="auto"/>
              </w:rPr>
            </w:pPr>
            <w:r>
              <w:rPr>
                <w:rFonts w:ascii="Arial" w:cs="Arial" w:eastAsia="Arial" w:hAnsi="Arial"/>
                <w:sz w:val="17"/>
                <w:szCs w:val="17"/>
                <w:color w:val="auto"/>
              </w:rPr>
              <w:t>6.5</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Florida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New England</w:t>
            </w:r>
          </w:p>
        </w:tc>
        <w:tc>
          <w:tcPr>
            <w:tcW w:w="640" w:type="dxa"/>
            <w:vAlign w:val="bottom"/>
          </w:tcPr>
          <w:p>
            <w:pPr>
              <w:jc w:val="right"/>
              <w:spacing w:after="0"/>
              <w:rPr>
                <w:sz w:val="20"/>
                <w:szCs w:val="20"/>
                <w:color w:val="auto"/>
              </w:rPr>
            </w:pPr>
            <w:r>
              <w:rPr>
                <w:rFonts w:ascii="Arial" w:cs="Arial" w:eastAsia="Arial" w:hAnsi="Arial"/>
                <w:sz w:val="17"/>
                <w:szCs w:val="17"/>
                <w:color w:val="auto"/>
              </w:rPr>
              <w:t>5.3</w:t>
            </w:r>
          </w:p>
        </w:tc>
        <w:tc>
          <w:tcPr>
            <w:tcW w:w="228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tcPr>
          <w:p>
            <w:pPr>
              <w:jc w:val="center"/>
              <w:spacing w:after="0"/>
              <w:rPr>
                <w:sz w:val="20"/>
                <w:szCs w:val="20"/>
                <w:color w:val="auto"/>
              </w:rPr>
            </w:pPr>
            <w:r>
              <w:rPr>
                <w:rFonts w:ascii="Arial" w:cs="Arial" w:eastAsia="Arial" w:hAnsi="Arial"/>
                <w:sz w:val="17"/>
                <w:szCs w:val="17"/>
                <w:color w:val="auto"/>
                <w:w w:val="90"/>
              </w:rPr>
              <w:t>In Construction</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Massachusetts 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Michigan 1E</w:t>
            </w:r>
            <w:r>
              <w:rPr>
                <w:rFonts w:ascii="Arial" w:cs="Arial" w:eastAsia="Arial" w:hAnsi="Arial"/>
                <w:sz w:val="21"/>
                <w:szCs w:val="21"/>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7"/>
                <w:szCs w:val="17"/>
                <w:color w:val="auto"/>
              </w:rPr>
              <w:t>28.9</w:t>
            </w:r>
          </w:p>
        </w:tc>
        <w:tc>
          <w:tcPr>
            <w:tcW w:w="228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tcPr>
          <w:p>
            <w:pPr>
              <w:jc w:val="center"/>
              <w:spacing w:after="0"/>
              <w:rPr>
                <w:sz w:val="20"/>
                <w:szCs w:val="20"/>
                <w:color w:val="auto"/>
              </w:rPr>
            </w:pPr>
            <w:r>
              <w:rPr>
                <w:rFonts w:ascii="Arial" w:cs="Arial" w:eastAsia="Arial" w:hAnsi="Arial"/>
                <w:sz w:val="17"/>
                <w:szCs w:val="17"/>
                <w:color w:val="auto"/>
                <w:w w:val="90"/>
              </w:rPr>
              <w:t>In Construction</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Michigan 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In Development</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New York</w:t>
            </w:r>
          </w:p>
        </w:tc>
        <w:tc>
          <w:tcPr>
            <w:tcW w:w="640" w:type="dxa"/>
            <w:vAlign w:val="bottom"/>
          </w:tcPr>
          <w:p>
            <w:pPr>
              <w:jc w:val="right"/>
              <w:spacing w:after="0"/>
              <w:rPr>
                <w:sz w:val="20"/>
                <w:szCs w:val="20"/>
                <w:color w:val="auto"/>
              </w:rPr>
            </w:pPr>
            <w:r>
              <w:rPr>
                <w:rFonts w:ascii="Arial" w:cs="Arial" w:eastAsia="Arial" w:hAnsi="Arial"/>
                <w:sz w:val="17"/>
                <w:szCs w:val="17"/>
                <w:color w:val="auto"/>
              </w:rPr>
              <w:t>5.9</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North Carolina 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In Development</w:t>
            </w:r>
          </w:p>
        </w:tc>
      </w:tr>
      <w:tr>
        <w:trPr>
          <w:trHeight w:val="21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Pennsylvania</w:t>
            </w:r>
          </w:p>
        </w:tc>
        <w:tc>
          <w:tcPr>
            <w:tcW w:w="640" w:type="dxa"/>
            <w:vAlign w:val="bottom"/>
          </w:tcPr>
          <w:p>
            <w:pPr>
              <w:jc w:val="right"/>
              <w:spacing w:after="0"/>
              <w:rPr>
                <w:sz w:val="20"/>
                <w:szCs w:val="20"/>
                <w:color w:val="auto"/>
              </w:rPr>
            </w:pPr>
            <w:r>
              <w:rPr>
                <w:rFonts w:ascii="Arial" w:cs="Arial" w:eastAsia="Arial" w:hAnsi="Arial"/>
                <w:sz w:val="17"/>
                <w:szCs w:val="17"/>
                <w:color w:val="auto"/>
              </w:rPr>
              <w:t>8.0</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22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526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Prince William 1E </w:t>
            </w:r>
            <w:r>
              <w:rPr>
                <w:rFonts w:ascii="Arial" w:cs="Arial" w:eastAsia="Arial" w:hAnsi="Arial"/>
                <w:sz w:val="21"/>
                <w:szCs w:val="21"/>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In Development</w:t>
            </w:r>
          </w:p>
        </w:tc>
      </w:tr>
      <w:tr>
        <w:trPr>
          <w:trHeight w:val="211"/>
        </w:trPr>
        <w:tc>
          <w:tcPr>
            <w:tcW w:w="526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 xml:space="preserve">Prince William 2E </w:t>
            </w:r>
            <w:r>
              <w:rPr>
                <w:rFonts w:ascii="Arial" w:cs="Arial" w:eastAsia="Arial" w:hAnsi="Arial"/>
                <w:sz w:val="21"/>
                <w:szCs w:val="21"/>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7"/>
                <w:szCs w:val="17"/>
                <w:color w:val="auto"/>
              </w:rPr>
              <w:t>4.8</w:t>
            </w:r>
          </w:p>
        </w:tc>
        <w:tc>
          <w:tcPr>
            <w:tcW w:w="228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tcPr>
          <w:p>
            <w:pPr>
              <w:jc w:val="center"/>
              <w:spacing w:after="0"/>
              <w:rPr>
                <w:sz w:val="20"/>
                <w:szCs w:val="20"/>
                <w:color w:val="auto"/>
              </w:rPr>
            </w:pPr>
            <w:r>
              <w:rPr>
                <w:rFonts w:ascii="Arial" w:cs="Arial" w:eastAsia="Arial" w:hAnsi="Arial"/>
                <w:sz w:val="17"/>
                <w:szCs w:val="17"/>
                <w:color w:val="auto"/>
                <w:w w:val="90"/>
              </w:rPr>
              <w:t>In Development</w:t>
            </w:r>
          </w:p>
        </w:tc>
      </w:tr>
      <w:tr>
        <w:trPr>
          <w:trHeight w:val="211"/>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Virginia - Richmond</w:t>
            </w:r>
          </w:p>
        </w:tc>
        <w:tc>
          <w:tcPr>
            <w:tcW w:w="1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In Development</w:t>
            </w:r>
          </w:p>
        </w:tc>
      </w:tr>
      <w:tr>
        <w:trPr>
          <w:trHeight w:val="204"/>
        </w:trPr>
        <w:tc>
          <w:tcPr>
            <w:tcW w:w="52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7"/>
                <w:szCs w:val="17"/>
                <w:color w:val="auto"/>
              </w:rPr>
              <w:t>123.9</w:t>
            </w:r>
          </w:p>
        </w:tc>
        <w:tc>
          <w:tcPr>
            <w:tcW w:w="22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73" w:lineRule="exact"/>
        <w:rPr>
          <w:sz w:val="20"/>
          <w:szCs w:val="20"/>
          <w:color w:val="auto"/>
        </w:rPr>
      </w:pPr>
    </w:p>
    <w:p>
      <w:pPr>
        <w:ind w:left="1" w:hanging="1"/>
        <w:spacing w:after="0" w:line="237" w:lineRule="auto"/>
        <w:tabs>
          <w:tab w:leader="none" w:pos="170" w:val="left"/>
        </w:tabs>
        <w:numPr>
          <w:ilvl w:val="0"/>
          <w:numId w:val="38"/>
        </w:numPr>
        <w:rPr>
          <w:rFonts w:ascii="Arial" w:cs="Arial" w:eastAsia="Arial" w:hAnsi="Arial"/>
          <w:sz w:val="20"/>
          <w:szCs w:val="20"/>
          <w:color w:val="auto"/>
          <w:vertAlign w:val="superscript"/>
        </w:rPr>
      </w:pPr>
      <w:r>
        <w:rPr>
          <w:rFonts w:ascii="Arial" w:cs="Arial" w:eastAsia="Arial" w:hAnsi="Arial"/>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87" w:lineRule="exact"/>
        <w:rPr>
          <w:rFonts w:ascii="Arial" w:cs="Arial" w:eastAsia="Arial" w:hAnsi="Arial"/>
          <w:sz w:val="20"/>
          <w:szCs w:val="20"/>
          <w:color w:val="auto"/>
          <w:vertAlign w:val="superscript"/>
        </w:rPr>
      </w:pPr>
    </w:p>
    <w:p>
      <w:pPr>
        <w:ind w:left="1" w:hanging="1"/>
        <w:spacing w:after="0" w:line="303" w:lineRule="auto"/>
        <w:tabs>
          <w:tab w:leader="none" w:pos="15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32" w:lineRule="exact"/>
        <w:rPr>
          <w:rFonts w:ascii="Arial" w:cs="Arial" w:eastAsia="Arial" w:hAnsi="Arial"/>
          <w:sz w:val="18"/>
          <w:szCs w:val="18"/>
          <w:color w:val="auto"/>
          <w:vertAlign w:val="superscript"/>
        </w:rPr>
      </w:pPr>
    </w:p>
    <w:p>
      <w:pPr>
        <w:ind w:left="1" w:hanging="1"/>
        <w:spacing w:after="0" w:line="267" w:lineRule="auto"/>
        <w:tabs>
          <w:tab w:leader="none" w:pos="15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 w:lineRule="exact"/>
        <w:rPr>
          <w:rFonts w:ascii="Arial" w:cs="Arial" w:eastAsia="Arial" w:hAnsi="Arial"/>
          <w:sz w:val="18"/>
          <w:szCs w:val="18"/>
          <w:color w:val="auto"/>
          <w:vertAlign w:val="superscript"/>
        </w:rPr>
      </w:pPr>
    </w:p>
    <w:p>
      <w:pPr>
        <w:ind w:left="1" w:hanging="1"/>
        <w:spacing w:after="0" w:line="265" w:lineRule="auto"/>
        <w:tabs>
          <w:tab w:leader="none" w:pos="15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075"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Comparison of the Three and Nine Months Ended September 30, 2022, and 2021</w:t>
      </w:r>
    </w:p>
    <w:p>
      <w:pPr>
        <w:spacing w:after="0" w:line="140" w:lineRule="exact"/>
        <w:rPr>
          <w:sz w:val="20"/>
          <w:szCs w:val="20"/>
          <w:color w:val="auto"/>
        </w:rPr>
      </w:pPr>
    </w:p>
    <w:p>
      <w:pPr>
        <w:ind w:firstLine="298"/>
        <w:spacing w:after="0" w:line="264" w:lineRule="auto"/>
        <w:rPr>
          <w:sz w:val="20"/>
          <w:szCs w:val="20"/>
          <w:color w:val="auto"/>
        </w:rPr>
      </w:pPr>
      <w:r>
        <w:rPr>
          <w:rFonts w:ascii="Arial" w:cs="Arial" w:eastAsia="Arial" w:hAnsi="Arial"/>
          <w:sz w:val="17"/>
          <w:szCs w:val="17"/>
          <w:color w:val="auto"/>
        </w:rPr>
        <w:t>The following table presents the period-over-period change for each line item in the Company's statement of operations for the three and nine months ended September 30, 2022 and 2021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center"/>
              <w:ind w:right="120"/>
              <w:spacing w:after="0"/>
              <w:rPr>
                <w:sz w:val="20"/>
                <w:szCs w:val="20"/>
                <w:color w:val="auto"/>
              </w:rPr>
            </w:pPr>
            <w:r>
              <w:rPr>
                <w:rFonts w:ascii="Arial" w:cs="Arial" w:eastAsia="Arial" w:hAnsi="Arial"/>
                <w:sz w:val="15"/>
                <w:szCs w:val="15"/>
                <w:b w:val="1"/>
                <w:bCs w:val="1"/>
                <w:color w:val="auto"/>
                <w:w w:val="91"/>
              </w:rPr>
              <w:t>Nine Months Ended September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ind w:left="34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8"/>
                <w:szCs w:val="18"/>
                <w:color w:val="auto"/>
              </w:rPr>
            </w:pPr>
          </w:p>
        </w:tc>
        <w:tc>
          <w:tcPr>
            <w:tcW w:w="800" w:type="dxa"/>
            <w:vAlign w:val="bottom"/>
          </w:tcPr>
          <w:p>
            <w:pPr>
              <w:jc w:val="right"/>
              <w:ind w:right="38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365"/>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30,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425"/>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940" w:type="dxa"/>
            <w:vAlign w:val="bottom"/>
          </w:tcPr>
          <w:p>
            <w:pPr>
              <w:jc w:val="right"/>
              <w:ind w:right="34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RNG fuel</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32,381</w:t>
            </w:r>
          </w:p>
        </w:tc>
        <w:tc>
          <w:tcPr>
            <w:tcW w:w="120" w:type="dxa"/>
            <w:vAlign w:val="bottom"/>
          </w:tcPr>
          <w:p>
            <w:pPr>
              <w:spacing w:after="0"/>
              <w:rPr>
                <w:sz w:val="20"/>
                <w:szCs w:val="20"/>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17,892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14,489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81 %</w:t>
            </w:r>
          </w:p>
        </w:tc>
        <w:tc>
          <w:tcPr>
            <w:tcW w:w="12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83,196</w:t>
            </w:r>
          </w:p>
        </w:tc>
        <w:tc>
          <w:tcPr>
            <w:tcW w:w="100" w:type="dxa"/>
            <w:vAlign w:val="bottom"/>
          </w:tcPr>
          <w:p>
            <w:pPr>
              <w:spacing w:after="0"/>
              <w:rPr>
                <w:sz w:val="20"/>
                <w:szCs w:val="20"/>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37,066</w:t>
            </w:r>
          </w:p>
        </w:tc>
        <w:tc>
          <w:tcPr>
            <w:tcW w:w="1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46,130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124 %</w:t>
            </w:r>
          </w:p>
        </w:tc>
        <w:tc>
          <w:tcPr>
            <w:tcW w:w="0" w:type="dxa"/>
            <w:vAlign w:val="bottom"/>
          </w:tcPr>
          <w:p>
            <w:pPr>
              <w:spacing w:after="0"/>
              <w:rPr>
                <w:sz w:val="1"/>
                <w:szCs w:val="1"/>
                <w:color w:val="auto"/>
              </w:rPr>
            </w:pPr>
          </w:p>
        </w:tc>
      </w:tr>
      <w:tr>
        <w:trPr>
          <w:trHeight w:val="242"/>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Fuel station services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55,524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19,964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Renewable Power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30,094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32,342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(2,248)</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2"/>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47,184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104,968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Cost of sales - RNG fuel</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20,959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11,973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8,986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51,843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23,053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28,790</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125 %</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Cost of sales - Fuel station services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15,458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5,428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49,643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29,775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19,868</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67 %</w:t>
            </w: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Cost of sales - Renewable power</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7,645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15,751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7,922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7,829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34,561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19,107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15,454</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81 %</w:t>
            </w: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94"/>
              </w:rPr>
              <w:t>Depreciation, amortization, and accretion</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3,258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3,144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186"/>
        </w:trPr>
        <w:tc>
          <w:tcPr>
            <w:tcW w:w="2620" w:type="dxa"/>
            <w:vAlign w:val="bottom"/>
            <w:gridSpan w:val="2"/>
          </w:tcPr>
          <w:p>
            <w:pPr>
              <w:ind w:left="140"/>
              <w:spacing w:after="0"/>
              <w:rPr>
                <w:sz w:val="20"/>
                <w:szCs w:val="20"/>
                <w:color w:val="auto"/>
              </w:rPr>
            </w:pPr>
            <w:r>
              <w:rPr>
                <w:rFonts w:ascii="Arial" w:cs="Arial" w:eastAsia="Arial" w:hAnsi="Arial"/>
                <w:sz w:val="15"/>
                <w:szCs w:val="15"/>
                <w:color w:val="auto"/>
              </w:rPr>
              <w:t>Total expenses</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68,499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44,030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24,469</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56 %</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169,456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102,559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66,897</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Operating (loss) income</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(5,103)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(3,051)</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Interest and financing expense, net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(1,525)</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8"/>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Change in fair value of derivative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(1,908)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(1,881)</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(6967)%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(1,570)</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(15700)%</w:t>
            </w:r>
          </w:p>
        </w:tc>
        <w:tc>
          <w:tcPr>
            <w:tcW w:w="0" w:type="dxa"/>
            <w:vAlign w:val="bottom"/>
          </w:tcPr>
          <w:p>
            <w:pPr>
              <w:spacing w:after="0"/>
              <w:rPr>
                <w:sz w:val="1"/>
                <w:szCs w:val="1"/>
                <w:color w:val="auto"/>
              </w:rPr>
            </w:pPr>
          </w:p>
        </w:tc>
      </w:tr>
      <w:tr>
        <w:trPr>
          <w:trHeight w:val="198"/>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instruments, net</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Other income</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78"/>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Income (loss) from equity method</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3,694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3,694</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2,392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1,266</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53 %</w:t>
            </w:r>
          </w:p>
        </w:tc>
        <w:tc>
          <w:tcPr>
            <w:tcW w:w="0" w:type="dxa"/>
            <w:vAlign w:val="bottom"/>
          </w:tcPr>
          <w:p>
            <w:pPr>
              <w:spacing w:after="0"/>
              <w:rPr>
                <w:sz w:val="1"/>
                <w:szCs w:val="1"/>
                <w:color w:val="auto"/>
              </w:rPr>
            </w:pPr>
          </w:p>
        </w:tc>
      </w:tr>
      <w:tr>
        <w:trPr>
          <w:trHeight w:val="198"/>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investments</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Gain on acquisition of equity method</w:t>
            </w:r>
          </w:p>
        </w:tc>
        <w:tc>
          <w:tcPr>
            <w:tcW w:w="2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 %</w:t>
            </w:r>
          </w:p>
        </w:tc>
        <w:tc>
          <w:tcPr>
            <w:tcW w:w="2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(19,818)</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investment</w:t>
            </w:r>
          </w:p>
        </w:tc>
        <w:tc>
          <w:tcPr>
            <w:tcW w:w="2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Net (loss) income before provision for</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5,369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773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4,596</w:t>
            </w:r>
          </w:p>
        </w:tc>
        <w:tc>
          <w:tcPr>
            <w:tcW w:w="100" w:type="dxa"/>
            <w:vAlign w:val="bottom"/>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595 %</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18,950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(18,390)</w:t>
            </w:r>
          </w:p>
        </w:tc>
        <w:tc>
          <w:tcPr>
            <w:tcW w:w="120" w:type="dxa"/>
            <w:vAlign w:val="bottom"/>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income taxes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6"/>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Net (loss) income</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5,369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4,596</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595 %</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18,950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(18,390)</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5"/>
                <w:szCs w:val="15"/>
                <w:color w:val="auto"/>
              </w:rPr>
              <w:t>Net income (loss) attributable to</w:t>
            </w: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4,161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4,161</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(2,584)</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9"/>
              </w:rPr>
              <w:t>redeemable non-controlling interests</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tcPr>
          <w:p>
            <w:pPr>
              <w:ind w:left="20"/>
              <w:spacing w:after="0"/>
              <w:rPr>
                <w:sz w:val="20"/>
                <w:szCs w:val="20"/>
                <w:color w:val="auto"/>
              </w:rPr>
            </w:pPr>
            <w:r>
              <w:rPr>
                <w:rFonts w:ascii="Arial" w:cs="Arial" w:eastAsia="Arial" w:hAnsi="Arial"/>
                <w:sz w:val="15"/>
                <w:szCs w:val="15"/>
                <w:color w:val="auto"/>
                <w:w w:val="98"/>
              </w:rPr>
              <w:t>Net loss attributable to non-redeemable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(410)</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99 %</w:t>
            </w:r>
          </w:p>
        </w:tc>
        <w:tc>
          <w:tcPr>
            <w:tcW w:w="0" w:type="dxa"/>
            <w:vAlign w:val="bottom"/>
          </w:tcPr>
          <w:p>
            <w:pPr>
              <w:spacing w:after="0"/>
              <w:rPr>
                <w:sz w:val="1"/>
                <w:szCs w:val="1"/>
                <w:color w:val="auto"/>
              </w:rPr>
            </w:pPr>
          </w:p>
        </w:tc>
      </w:tr>
      <w:tr>
        <w:trPr>
          <w:trHeight w:val="198"/>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non-controlling interests</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Paid-in-kind preferred dividends</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Net income attributable to OPAL Fuels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19,364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(19,364)</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62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Net loss attributable to Common</w:t>
            </w:r>
          </w:p>
        </w:tc>
        <w:tc>
          <w:tcPr>
            <w:tcW w:w="2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stockholders</w:t>
            </w: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RNG Fuel</w:t>
      </w:r>
    </w:p>
    <w:p>
      <w:pPr>
        <w:spacing w:after="0" w:line="202" w:lineRule="exact"/>
        <w:rPr>
          <w:sz w:val="20"/>
          <w:szCs w:val="20"/>
          <w:color w:val="auto"/>
        </w:rPr>
      </w:pPr>
    </w:p>
    <w:p>
      <w:pPr>
        <w:jc w:val="both"/>
        <w:ind w:firstLine="298"/>
        <w:spacing w:after="0" w:line="371" w:lineRule="auto"/>
        <w:rPr>
          <w:sz w:val="20"/>
          <w:szCs w:val="20"/>
          <w:color w:val="auto"/>
        </w:rPr>
      </w:pPr>
      <w:r>
        <w:rPr>
          <w:rFonts w:ascii="Arial" w:cs="Arial" w:eastAsia="Arial" w:hAnsi="Arial"/>
          <w:sz w:val="14"/>
          <w:szCs w:val="14"/>
          <w:color w:val="auto"/>
        </w:rPr>
        <w:t>Revenue from RNG Fuel increased by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111" w:lineRule="exact"/>
        <w:rPr>
          <w:sz w:val="20"/>
          <w:szCs w:val="20"/>
          <w:color w:val="auto"/>
        </w:rPr>
      </w:pPr>
    </w:p>
    <w:p>
      <w:pPr>
        <w:jc w:val="both"/>
        <w:ind w:firstLine="298"/>
        <w:spacing w:after="0" w:line="236" w:lineRule="auto"/>
        <w:rPr>
          <w:sz w:val="20"/>
          <w:szCs w:val="20"/>
          <w:color w:val="auto"/>
        </w:rPr>
      </w:pPr>
      <w:r>
        <w:rPr>
          <w:rFonts w:ascii="Arial" w:cs="Arial" w:eastAsia="Arial" w:hAnsi="Arial"/>
          <w:sz w:val="17"/>
          <w:szCs w:val="17"/>
          <w:color w:val="auto"/>
        </w:rPr>
        <w:t>Revenue from RNG Fuel increased by $46.1 million, or 124%, for the nine months ended September 30, 2022 compared to the nine months ended September 30, 2021. $28.0 million of this increase was attributable primarily to the impact of nine months of Beacon revenues in 2022 versus only five months in 2021. Additionally, revenues increased by $12.0 million from the sale of environmental credits, $3.8 million due to higher brown gas sales and $3.2 million in fuel dispensing primarily due to increased volumes.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Fuel Station Services</w:t>
      </w:r>
    </w:p>
    <w:p>
      <w:pPr>
        <w:spacing w:after="0" w:line="128"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Revenue from Fuel Station Services increased by $4.8 million, or 26%, for the three months ended September 30, 2022 compared to the three months ended September 30, 2021. This change was primarily attributable to an increase of $4.3 million in construction revenue from additional fuel station projects and an increase of $0.5 million from incremental service volumes from the addition of four new fueling service sites.</w:t>
      </w:r>
    </w:p>
    <w:p>
      <w:pPr>
        <w:spacing w:after="0" w:line="113"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Revenue from Fuel Station Services increased by $20.0 million, or 56%, for the nine months ended September 30, 2022 compared to the nine months ended September 30, 2021. This was primarily attributable to an increase of $18.8 million from fuel station construction projects which were delayed into 2022, coupled with an incremental $1.9 million as we built new fuel stations during the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Renewable Power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Revenue from Renewable Power remained flat for the three months ended September 30, 2022 compared to the three months ended September 30, 2021.</w:t>
      </w:r>
    </w:p>
    <w:p>
      <w:pPr>
        <w:spacing w:after="0" w:line="162"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Revenue from Renewable Power decreased by $2.2 million, or 7%, for the nine months ended September 30, 2022 compared to the nine months ended September 30, 2021. This change was attributable primarily to a decrease of $4.0 million from the reduction in energy capacity at one of our electricity generation facilities offset by positive mark to market change in commodity swaps of $2.0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RNG Fuel</w:t>
      </w:r>
    </w:p>
    <w:p>
      <w:pPr>
        <w:spacing w:after="0" w:line="140"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Cost of sales from RNG Fuel increased by $9.0 million, or 75%, for the three months ended September 30, 2022 compared to the three months ended September 30, 2021. This change was attributable primarily due to increase in costs of $3.4 million from new RNG facilities including but not limited to Emerald, Sunoma, New River and Sapphire. Additionally, there was an increase of $2.6 million due to increased royalty expense from increased RIN sales, $0.6 million write down charges relating to our brown gas inventory to its net realizable value due to decrease in prices and unplanned repairs at one of our RNG facilities.</w:t>
      </w:r>
    </w:p>
    <w:p>
      <w:pPr>
        <w:spacing w:after="0" w:line="71"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6"/>
          <w:szCs w:val="16"/>
          <w:color w:val="auto"/>
        </w:rPr>
        <w:t>Cost of sales from RNG Fuel increased by $28.8 million, or 125%, for the nine months ended September 30, 2022 compared to the nine months ended September 30, 2021. This change was attributable primarily to the introduction of Beacon’s cost of sales upon consolidation in May 2021 resulting in an increase of $12.9 million, a $1.9 million increase in development costs for building new RNG facilities, $2.9 million increase from new RNG facilities such as Sunoma and New River, $10.3 million increase relating to increased dispensing fees from an increased volume of environmental credits generated, $0.6 million write down charges relating to our brown gas inventory to its net realizable value due to decrease in prices and $1.8 million due to unplanned repairs. Additionally, there were savings of $0.8 million from deconsolidation of Pine Bend and Noble Road as of December 31, 2021.</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Fuel Station Services</w:t>
      </w:r>
    </w:p>
    <w:p>
      <w:pPr>
        <w:spacing w:after="0" w:line="128"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Cost of sales from Fuel Station Services increased by $5.4 million, or 35%, for the three months ended September 30, 2022 compared to the three months ended September 30, 2021. This change was primarily attributable to an increase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$5.0 million from construction of additional projects and an increase of $0.4 million increase in service from higher volumes.</w:t>
      </w:r>
    </w:p>
    <w:p>
      <w:pPr>
        <w:spacing w:after="0" w:line="128"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Cost of sales from Fuel Station Services increased by $19.9 million, or 67%, for the nine months ended September 30, 2022 compared to the nine months ended September 30, 2021. This change was attributable primarily to an increase in costs of $18.2 million for third-party construction projects due to delays into 2022 and an increase of $1.7 million in service from higher volumes dispensed.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Renewable Power</w:t>
      </w:r>
    </w:p>
    <w:p>
      <w:pPr>
        <w:spacing w:after="0" w:line="140"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6"/>
          <w:szCs w:val="16"/>
          <w:color w:val="auto"/>
        </w:rPr>
        <w:t>Cost of sales from Renewable Power increased by $1.6 million, or 26%, for the three months ended September 30, 2022 compared to the three months ended September 30, 2021. The increase was primarily attributable to a $0.7 million in major maintenance at two of our facilities due to timing and a $0.3 million increase in unplanned maintenance, workers compensation expense of $0.1 million and increase of $0.2 million routine maintenance.</w:t>
      </w:r>
    </w:p>
    <w:p>
      <w:pPr>
        <w:spacing w:after="0" w:line="96"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Cost of sales from Renewable Power marginally decreased by $0.4 million, or 1%, for the nine months ended September 30, 2022 compared to the nine months ended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5" w:lineRule="exact"/>
        <w:rPr>
          <w:sz w:val="20"/>
          <w:szCs w:val="20"/>
          <w:color w:val="auto"/>
        </w:rPr>
      </w:pPr>
    </w:p>
    <w:p>
      <w:pPr>
        <w:jc w:val="both"/>
        <w:ind w:firstLine="298"/>
        <w:spacing w:after="0" w:line="247" w:lineRule="auto"/>
        <w:rPr>
          <w:sz w:val="20"/>
          <w:szCs w:val="20"/>
          <w:color w:val="auto"/>
        </w:rPr>
      </w:pPr>
      <w:r>
        <w:rPr>
          <w:rFonts w:ascii="Arial" w:cs="Arial" w:eastAsia="Arial" w:hAnsi="Arial"/>
          <w:sz w:val="16"/>
          <w:szCs w:val="16"/>
          <w:color w:val="auto"/>
        </w:rPr>
        <w:t>Selling, general, and administrative expenses increased by a total of $7.8 million, or 99%, for the three months ended September 30, 2022 compared to the three months ended September 30, 2021. This change was attributable primarily to an increase in insurance expense of $5.0 million related to a directors and officers tail policy for Arclight's former directors and new directors and officers policy for the Company's current management, higher employee headcount and related compensation and benefit expenses of $1.3 million to support our organic growth, an increase of $0.6 million in professional fees and audit fees relating becoming a publicly traded company, an increase of $0.7 million in IT- related expenses as we invested to improve our technology platforms and $0.2 million related to filing a registration statement for the resale of Class A common stock on behalf of certain of our equity holders.</w:t>
      </w:r>
    </w:p>
    <w:p>
      <w:pPr>
        <w:spacing w:after="0" w:line="194"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6"/>
          <w:szCs w:val="16"/>
          <w:color w:val="auto"/>
        </w:rPr>
        <w:t>Selling, general, and administrative expenses increased by a total of $15.5 million, or 81%, for the nine months ended September 30, 2022 compared to the nine months ended September 30, 2021. This change was attributable primarily to higher insurance expense of $5.1 million relating to the insurance policies for Arclight’s former directors and the Company’s current management, higher employee headcount and related compensation and benefit expenses of $6.6 million to support our organic growth year-over-year, a $2.6 million increase in professional fees related to audit, tax, legal and consulting fees, a $2.5 million increase in IT-related expenses and $0.2 million related to filing of the registration statement.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amortization, and accretion</w:t>
      </w:r>
    </w:p>
    <w:p>
      <w:pPr>
        <w:spacing w:after="0" w:line="128" w:lineRule="exact"/>
        <w:rPr>
          <w:sz w:val="20"/>
          <w:szCs w:val="20"/>
          <w:color w:val="auto"/>
        </w:rPr>
      </w:pPr>
    </w:p>
    <w:p>
      <w:pPr>
        <w:jc w:val="both"/>
        <w:ind w:firstLine="298"/>
        <w:spacing w:after="0" w:line="371" w:lineRule="auto"/>
        <w:rPr>
          <w:sz w:val="20"/>
          <w:szCs w:val="20"/>
          <w:color w:val="auto"/>
        </w:rPr>
      </w:pPr>
      <w:r>
        <w:rPr>
          <w:rFonts w:ascii="Arial" w:cs="Arial" w:eastAsia="Arial" w:hAnsi="Arial"/>
          <w:sz w:val="14"/>
          <w:szCs w:val="14"/>
          <w:color w:val="auto"/>
        </w:rPr>
        <w:t>Depreciation, amortization, and accretion increased by a total of $0.6 million, or 25%, for the three months ended September 30, 2022 compared to the three months ended September 30, 2021. This change was primarily due to increase in depreciation from the Sunoma and New River RNG facilities coming online.</w:t>
      </w:r>
    </w:p>
    <w:p>
      <w:pPr>
        <w:spacing w:after="0" w:line="37" w:lineRule="exact"/>
        <w:rPr>
          <w:sz w:val="20"/>
          <w:szCs w:val="20"/>
          <w:color w:val="auto"/>
        </w:rPr>
      </w:pPr>
    </w:p>
    <w:p>
      <w:pPr>
        <w:jc w:val="both"/>
        <w:ind w:firstLine="298"/>
        <w:spacing w:after="0" w:line="249" w:lineRule="auto"/>
        <w:rPr>
          <w:sz w:val="20"/>
          <w:szCs w:val="20"/>
          <w:color w:val="auto"/>
        </w:rPr>
      </w:pPr>
      <w:r>
        <w:rPr>
          <w:rFonts w:ascii="Arial" w:cs="Arial" w:eastAsia="Arial" w:hAnsi="Arial"/>
          <w:sz w:val="17"/>
          <w:szCs w:val="17"/>
          <w:color w:val="auto"/>
        </w:rPr>
        <w:t>Depreciation, amortization, and accretion increased by a total of $3.1 million, or 47%, for the nine months ended September 30, 2022 compared to the nine months ended September 30, 2021. This change was attributable primarily to the introduction of Beacon’s property, plant and equipment balances upon consolidation in 2021 increasing our depreciation expense by $0.8 million, a $0.4 million increase from new downstream dispensing sites becoming operational, a $1.0 million increase from one additional RNG facility becoming operational during the fourth quarter of 2021 and $0.8 million increase due to accelerated depreciation on two facilities in our Renewable Power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financing expense, net</w:t>
      </w:r>
    </w:p>
    <w:p>
      <w:pPr>
        <w:spacing w:after="0" w:line="140" w:lineRule="exact"/>
        <w:rPr>
          <w:sz w:val="20"/>
          <w:szCs w:val="20"/>
          <w:color w:val="auto"/>
        </w:rPr>
      </w:pPr>
    </w:p>
    <w:p>
      <w:pPr>
        <w:jc w:val="both"/>
        <w:ind w:firstLine="298"/>
        <w:spacing w:after="0" w:line="315" w:lineRule="auto"/>
        <w:rPr>
          <w:sz w:val="20"/>
          <w:szCs w:val="20"/>
          <w:color w:val="auto"/>
        </w:rPr>
      </w:pPr>
      <w:r>
        <w:rPr>
          <w:rFonts w:ascii="Arial" w:cs="Arial" w:eastAsia="Arial" w:hAnsi="Arial"/>
          <w:sz w:val="14"/>
          <w:szCs w:val="14"/>
          <w:color w:val="auto"/>
        </w:rPr>
        <w:t>Interest and financing expenses, net, decreased by $1.6 million, or 67%, for the three months ended September 30, 2022 compared to the three months ended September 30, 2021. This change was primarily due to an increase in interest income of $0.4 million due to interest earned on the short term investments (cash received from completion of Business Combination), a $0.7 million saving on interest on Convertible Note Payable as 50% of the debt was converted to equity on July 21, 2022 and change in fair value of Convertible note of $2.9 million. This was offset by an increase in outstanding debt from the OPAL Term Loan resulting in an increase in an interest expense of $1.1 million (including $0.4 million of amortization of deferred financing costs), a $0.2 million increase in commitment fees on our OPAL Term Loan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3" w:name="page64"/>
    <w:bookmarkEnd w:id="63"/>
    <w:p>
      <w:pPr>
        <w:ind w:left="1" w:hanging="1"/>
        <w:spacing w:after="0" w:line="264" w:lineRule="auto"/>
        <w:tabs>
          <w:tab w:leader="none" w:pos="1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facility and a $0.7 million increase from the Sunoma Loan as the interest expense was expensed for the three months ended September 30, 2022 whereas the interest was capitalized in the same prior-year period because the construction was completed during the first quarter of 2022.</w:t>
      </w:r>
    </w:p>
    <w:p>
      <w:pPr>
        <w:spacing w:after="0" w:line="92" w:lineRule="exact"/>
        <w:rPr>
          <w:sz w:val="20"/>
          <w:szCs w:val="20"/>
          <w:color w:val="auto"/>
        </w:rPr>
      </w:pPr>
    </w:p>
    <w:p>
      <w:pPr>
        <w:jc w:val="both"/>
        <w:ind w:left="1" w:firstLine="298"/>
        <w:spacing w:after="0" w:line="266" w:lineRule="auto"/>
        <w:rPr>
          <w:sz w:val="20"/>
          <w:szCs w:val="20"/>
          <w:color w:val="auto"/>
        </w:rPr>
      </w:pPr>
      <w:r>
        <w:rPr>
          <w:rFonts w:ascii="Arial" w:cs="Arial" w:eastAsia="Arial" w:hAnsi="Arial"/>
          <w:sz w:val="16"/>
          <w:szCs w:val="16"/>
          <w:color w:val="auto"/>
        </w:rPr>
        <w:t>Interest and financing expenses, net increased by $1.5 million, or 27%, for the nine months ended September 30, 2022 compared to the nine months ended September 30, 2021. The increase is primarily attributable to the increase in outstanding debt versus the prior period. the $1.5 million increase was driven by a $1.2 million increase interest on Senior Secured Credit Facility, $2.9 million increase in interest on the OPAL Term Loan, $0.8 million increase in amortization of deferred financing costs, $1.3 million increase in Sunoma Loan( interest on Sunoma Loan was capitalized in 2021), partially offset by $2.4 million decrease on Convertible payable which includes a decrease of $2.9 million in change in fair market value, increase in interest income of $1.3 million from the Note receivable and short term investments and $0.5 million savings in interest on the Trustar revolver facility since it was repaid in October 2021.</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Change in fair value of derivatives, net</w:t>
      </w:r>
    </w:p>
    <w:p>
      <w:pPr>
        <w:spacing w:after="0" w:line="140" w:lineRule="exact"/>
        <w:rPr>
          <w:sz w:val="20"/>
          <w:szCs w:val="20"/>
          <w:color w:val="auto"/>
        </w:rPr>
      </w:pPr>
    </w:p>
    <w:p>
      <w:pPr>
        <w:jc w:val="both"/>
        <w:ind w:left="1" w:firstLine="298"/>
        <w:spacing w:after="0" w:line="334" w:lineRule="auto"/>
        <w:rPr>
          <w:sz w:val="20"/>
          <w:szCs w:val="20"/>
          <w:color w:val="auto"/>
        </w:rPr>
      </w:pPr>
      <w:r>
        <w:rPr>
          <w:rFonts w:ascii="Arial" w:cs="Arial" w:eastAsia="Arial" w:hAnsi="Arial"/>
          <w:sz w:val="14"/>
          <w:szCs w:val="14"/>
          <w:color w:val="auto"/>
        </w:rPr>
        <w:t>Change in fair value of derivatives, net increased by $1.9 million, or 6967%, for the three months ended September 30, 2022 compared to the three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61" w:lineRule="exact"/>
        <w:rPr>
          <w:sz w:val="20"/>
          <w:szCs w:val="20"/>
          <w:color w:val="auto"/>
        </w:rPr>
      </w:pPr>
    </w:p>
    <w:p>
      <w:pPr>
        <w:jc w:val="both"/>
        <w:ind w:left="1" w:firstLine="298"/>
        <w:spacing w:after="0" w:line="334" w:lineRule="auto"/>
        <w:rPr>
          <w:sz w:val="20"/>
          <w:szCs w:val="20"/>
          <w:color w:val="auto"/>
        </w:rPr>
      </w:pPr>
      <w:r>
        <w:rPr>
          <w:rFonts w:ascii="Arial" w:cs="Arial" w:eastAsia="Arial" w:hAnsi="Arial"/>
          <w:sz w:val="14"/>
          <w:szCs w:val="14"/>
          <w:color w:val="auto"/>
        </w:rPr>
        <w:t>Change in fair value of derivatives, net increased by $1.6 million, or 15700%, for the nine months ended September 30, 2022 compared to the nine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Other income</w:t>
      </w:r>
    </w:p>
    <w:p>
      <w:pPr>
        <w:spacing w:after="0" w:line="140" w:lineRule="exact"/>
        <w:rPr>
          <w:sz w:val="20"/>
          <w:szCs w:val="20"/>
          <w:color w:val="auto"/>
        </w:rPr>
      </w:pPr>
    </w:p>
    <w:p>
      <w:pPr>
        <w:jc w:val="both"/>
        <w:ind w:left="1" w:firstLine="298"/>
        <w:spacing w:after="0" w:line="250" w:lineRule="auto"/>
        <w:rPr>
          <w:sz w:val="20"/>
          <w:szCs w:val="20"/>
          <w:color w:val="auto"/>
        </w:rPr>
      </w:pPr>
      <w:r>
        <w:rPr>
          <w:rFonts w:ascii="Arial" w:cs="Arial" w:eastAsia="Arial" w:hAnsi="Arial"/>
          <w:sz w:val="17"/>
          <w:szCs w:val="17"/>
          <w:color w:val="auto"/>
        </w:rPr>
        <w:t>Other income increased by $6.3 million, or 100%, for the three and nine months ended September 30, 2022 compared to the three and nine months ended September 30, 2021. This change is primarily related $4.4 million recognized on reversal of a contingent payment to a non-controlling interest of one of our VIEs we consolidated in our financial statements as the applicable criteria for payment are no longer met as of September 30, 2022 and $1.9 million gain recognized on repayment of Note receivable.</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Income from equity method investments</w:t>
      </w:r>
    </w:p>
    <w:p>
      <w:pPr>
        <w:spacing w:after="0" w:line="140" w:lineRule="exact"/>
        <w:rPr>
          <w:sz w:val="20"/>
          <w:szCs w:val="20"/>
          <w:color w:val="auto"/>
        </w:rPr>
      </w:pPr>
    </w:p>
    <w:p>
      <w:pPr>
        <w:jc w:val="both"/>
        <w:ind w:left="1" w:firstLine="298"/>
        <w:spacing w:after="0" w:line="277" w:lineRule="auto"/>
        <w:rPr>
          <w:sz w:val="20"/>
          <w:szCs w:val="20"/>
          <w:color w:val="auto"/>
        </w:rPr>
      </w:pPr>
      <w:r>
        <w:rPr>
          <w:rFonts w:ascii="Arial" w:cs="Arial" w:eastAsia="Arial" w:hAnsi="Arial"/>
          <w:sz w:val="16"/>
          <w:szCs w:val="16"/>
          <w:color w:val="auto"/>
        </w:rPr>
        <w:t>Net income attributable to equity method investments increased by $3.7 million, or 100%, for the three months ended September 30, 2022, compared to the three months ended September 30, 2021. This change was attributable primarily to an increase of $0.7 million from equity method investments in the Pine Bend, Noble Road and GREP. For the three months ended September 30, 2021, there was no income from equity method investments.</w:t>
      </w:r>
    </w:p>
    <w:p>
      <w:pPr>
        <w:spacing w:after="0" w:line="84" w:lineRule="exact"/>
        <w:rPr>
          <w:sz w:val="20"/>
          <w:szCs w:val="20"/>
          <w:color w:val="auto"/>
        </w:rPr>
      </w:pPr>
    </w:p>
    <w:p>
      <w:pPr>
        <w:jc w:val="both"/>
        <w:ind w:left="1" w:firstLine="298"/>
        <w:spacing w:after="0" w:line="250" w:lineRule="auto"/>
        <w:rPr>
          <w:sz w:val="20"/>
          <w:szCs w:val="20"/>
          <w:color w:val="auto"/>
        </w:rPr>
      </w:pPr>
      <w:r>
        <w:rPr>
          <w:rFonts w:ascii="Arial" w:cs="Arial" w:eastAsia="Arial" w:hAnsi="Arial"/>
          <w:sz w:val="17"/>
          <w:szCs w:val="17"/>
          <w:color w:val="auto"/>
        </w:rPr>
        <w:t>Net income attributable to equity method investments increased by $1.3 million, or 53%, for the nine ended September 30, 2022 compared to the nine ended September 30, 2021. This change was attributable primarily to the increase in net income from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Gain on acquisition of equity method investment</w:t>
      </w:r>
    </w:p>
    <w:p>
      <w:pPr>
        <w:spacing w:after="0" w:line="140"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There was no gain on equity method investment for the three months ended September 30, 2022 and 2021.</w:t>
      </w:r>
    </w:p>
    <w:p>
      <w:pPr>
        <w:spacing w:after="0" w:line="140" w:lineRule="exact"/>
        <w:rPr>
          <w:sz w:val="20"/>
          <w:szCs w:val="20"/>
          <w:color w:val="auto"/>
        </w:rPr>
      </w:pPr>
    </w:p>
    <w:p>
      <w:pPr>
        <w:jc w:val="both"/>
        <w:ind w:left="1" w:firstLine="298"/>
        <w:spacing w:after="0" w:line="295" w:lineRule="auto"/>
        <w:rPr>
          <w:sz w:val="20"/>
          <w:szCs w:val="20"/>
          <w:color w:val="auto"/>
        </w:rPr>
      </w:pPr>
      <w:r>
        <w:rPr>
          <w:rFonts w:ascii="Arial" w:cs="Arial" w:eastAsia="Arial" w:hAnsi="Arial"/>
          <w:sz w:val="16"/>
          <w:szCs w:val="16"/>
          <w:color w:val="auto"/>
        </w:rPr>
        <w:t>The gain on acquisition of equity method investment decreased by $19.8 million, or 100%, for the nine ended September 30, 2022 compared to the nine months ended September 30, 2021. This change was attributable primarily to our step acquisition of the remaining interest in Beacon in May 2021.</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Net loss attributable to redeemable non-controlling interests</w:t>
      </w:r>
    </w:p>
    <w:p>
      <w:pPr>
        <w:spacing w:after="0" w:line="140" w:lineRule="exact"/>
        <w:rPr>
          <w:sz w:val="20"/>
          <w:szCs w:val="20"/>
          <w:color w:val="auto"/>
        </w:rPr>
      </w:pPr>
    </w:p>
    <w:p>
      <w:pPr>
        <w:jc w:val="both"/>
        <w:ind w:left="1" w:firstLine="597"/>
        <w:spacing w:after="0" w:line="254" w:lineRule="auto"/>
        <w:rPr>
          <w:sz w:val="20"/>
          <w:szCs w:val="20"/>
          <w:color w:val="auto"/>
        </w:rPr>
      </w:pPr>
      <w:r>
        <w:rPr>
          <w:rFonts w:ascii="Arial" w:cs="Arial" w:eastAsia="Arial" w:hAnsi="Arial"/>
          <w:sz w:val="17"/>
          <w:szCs w:val="17"/>
          <w:color w:val="auto"/>
        </w:rPr>
        <w:t>Net loss attributable to redeemable non-controlling interests for the three and nine months ended September 30, 2022 is $4.2 million and $2.6 million, respectively. The net loss for the three and nine months ended September 30, 2022 reflects the portion of earnings belonging to OPAL Fuels equity holders prior to Business Combination for the period January 1, 2022 till July 21,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685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1010"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Net loss attributable to non-redeemable non-controlling interests</w:t>
      </w:r>
    </w:p>
    <w:p>
      <w:pPr>
        <w:spacing w:after="0" w:line="128"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Net loss attributable to non-redeemable non-controlling interests for the three months ended September 30, 2022 increased by $0.1 million or 50%, compared to the three months ended September 30, 2021. This reflects the joint venture partners' loss in those entities we sold a portion of our membership interests in certain RNG facilities which are consolidated in our financial statements. These entities for the three months ended September 30, 2022, were Sunoma, Emerald, Sapphire and Central Valley. The entities accounted for as non-redeemable non-controlling interests for the three months ended September 30, 2021 were Pine Bend, Noble Road, Sunoma and Central Valley.</w:t>
      </w:r>
    </w:p>
    <w:p>
      <w:pPr>
        <w:spacing w:after="0" w:line="117"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Net loss attributable to non-redeemable non-controlling interests for the nine months ended September 30, 2022 increased by $0.4 million or 99%, compared to nine months ended September 30, 2021. This reflects the joint venture partners' loss in those entities we sold a portion of our membership interests in certain RNG facilities which are consolidated in our financial statements. These entities for the nine months ended September 30, 2022, were Sunoma, Emerald, Sapphire and Central Valley. The entities accounted for as non-redeemable non-controlling interests for the nine months ended September 30, 2021 were Pine Bend, Noble Road, Sunoma and Central Valley.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Paid-in-kind preferred dividends</w:t>
      </w:r>
    </w:p>
    <w:p>
      <w:pPr>
        <w:spacing w:after="0" w:line="128" w:lineRule="exact"/>
        <w:rPr>
          <w:sz w:val="20"/>
          <w:szCs w:val="20"/>
          <w:color w:val="auto"/>
        </w:rPr>
      </w:pPr>
    </w:p>
    <w:p>
      <w:pPr>
        <w:jc w:val="both"/>
        <w:ind w:firstLine="298"/>
        <w:spacing w:after="0" w:line="321" w:lineRule="auto"/>
        <w:rPr>
          <w:sz w:val="20"/>
          <w:szCs w:val="20"/>
          <w:color w:val="auto"/>
        </w:rPr>
      </w:pPr>
      <w:r>
        <w:rPr>
          <w:rFonts w:ascii="Arial" w:cs="Arial" w:eastAsia="Arial" w:hAnsi="Arial"/>
          <w:sz w:val="14"/>
          <w:szCs w:val="14"/>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71"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Redeemable preferred non-controlling interests carry an interest of 8% dividend payable quarterly either in cash or paid-in-kind for the first eight quarters at the option of the Company. The Company recorded the dividend payable of $2.7 million and $5.1 million for the three and nine months ended September 30, 2022, respectively as to be paid-in-kind.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was no paid-in-kind preferred dividend for the three and nine months ended September 30,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28" w:lineRule="exact"/>
        <w:rPr>
          <w:sz w:val="20"/>
          <w:szCs w:val="20"/>
          <w:color w:val="auto"/>
        </w:rPr>
      </w:pPr>
    </w:p>
    <w:p>
      <w:pPr>
        <w:jc w:val="both"/>
        <w:ind w:left="140" w:firstLine="298"/>
        <w:spacing w:after="0" w:line="265" w:lineRule="auto"/>
        <w:rPr>
          <w:sz w:val="20"/>
          <w:szCs w:val="20"/>
          <w:color w:val="auto"/>
        </w:rPr>
      </w:pPr>
      <w:r>
        <w:rPr>
          <w:rFonts w:ascii="Arial" w:cs="Arial" w:eastAsia="Arial" w:hAnsi="Arial"/>
          <w:sz w:val="16"/>
          <w:szCs w:val="16"/>
          <w:color w:val="auto"/>
        </w:rPr>
        <w:t xml:space="preserve">As of September 30, 2022, our liquidity consisted of cash and cash equivalents including restricted cash of $71.4 million and $146.9 million. Additionally, we entered into a Senior Secured Credit Facility which provides an approximately two year delayed term loan facility (the </w:t>
      </w:r>
      <w:r>
        <w:rPr>
          <w:rFonts w:ascii="Arial" w:cs="Arial" w:eastAsia="Arial" w:hAnsi="Arial"/>
          <w:sz w:val="16"/>
          <w:szCs w:val="16"/>
          <w:b w:val="1"/>
          <w:bCs w:val="1"/>
          <w:i w:val="1"/>
          <w:iCs w:val="1"/>
          <w:color w:val="auto"/>
        </w:rPr>
        <w:t>"DDTL Facility"</w:t>
      </w:r>
      <w:r>
        <w:rPr>
          <w:rFonts w:ascii="Arial" w:cs="Arial" w:eastAsia="Arial" w:hAnsi="Arial"/>
          <w:sz w:val="16"/>
          <w:szCs w:val="16"/>
          <w:color w:val="auto"/>
        </w:rPr>
        <w:t xml:space="preserve">) of up to a maximum aggregate principal amount of $100.0 million and Debt Service Reserve facility (the </w:t>
      </w:r>
      <w:r>
        <w:rPr>
          <w:rFonts w:ascii="Arial" w:cs="Arial" w:eastAsia="Arial" w:hAnsi="Arial"/>
          <w:sz w:val="16"/>
          <w:szCs w:val="16"/>
          <w:b w:val="1"/>
          <w:bCs w:val="1"/>
          <w:i w:val="1"/>
          <w:iCs w:val="1"/>
          <w:color w:val="auto"/>
        </w:rPr>
        <w:t>"DSR Facility"</w:t>
      </w:r>
      <w:r>
        <w:rPr>
          <w:rFonts w:ascii="Arial" w:cs="Arial" w:eastAsia="Arial" w:hAnsi="Arial"/>
          <w:sz w:val="16"/>
          <w:szCs w:val="16"/>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We have recently drawn $25.0 million under the OPAL Term Loan. Additionally, we have entered into an amendment to the OPAL Term Loan which extended commitment available date to March 2023 for the remaining $10.0 million.</w:t>
      </w:r>
    </w:p>
    <w:p>
      <w:pPr>
        <w:spacing w:after="0" w:line="107" w:lineRule="exact"/>
        <w:rPr>
          <w:sz w:val="20"/>
          <w:szCs w:val="20"/>
          <w:color w:val="auto"/>
        </w:rPr>
      </w:pPr>
    </w:p>
    <w:p>
      <w:pPr>
        <w:jc w:val="both"/>
        <w:ind w:left="140" w:firstLine="298"/>
        <w:spacing w:after="0" w:line="250" w:lineRule="auto"/>
        <w:rPr>
          <w:sz w:val="20"/>
          <w:szCs w:val="20"/>
          <w:color w:val="auto"/>
        </w:rPr>
      </w:pPr>
      <w:r>
        <w:rPr>
          <w:rFonts w:ascii="Arial" w:cs="Arial" w:eastAsia="Arial" w:hAnsi="Arial"/>
          <w:sz w:val="17"/>
          <w:szCs w:val="17"/>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329" w:lineRule="exact"/>
        <w:rPr>
          <w:sz w:val="20"/>
          <w:szCs w:val="20"/>
          <w:color w:val="auto"/>
        </w:rPr>
      </w:pPr>
    </w:p>
    <w:p>
      <w:pPr>
        <w:jc w:val="both"/>
        <w:ind w:left="140" w:firstLine="298"/>
        <w:spacing w:after="0" w:line="311" w:lineRule="auto"/>
        <w:rPr>
          <w:sz w:val="20"/>
          <w:szCs w:val="20"/>
          <w:color w:val="auto"/>
        </w:rPr>
      </w:pPr>
      <w:r>
        <w:rPr>
          <w:rFonts w:ascii="Arial" w:cs="Arial" w:eastAsia="Arial" w:hAnsi="Arial"/>
          <w:sz w:val="14"/>
          <w:szCs w:val="14"/>
          <w:color w:val="auto"/>
        </w:rPr>
        <w:t>In connection with the Business Combination, holders of Arclight’s Class A ordinary shares representing an aggregate redemption amount of $274,186,522 exercised their right to redeem their shares for cash. In addition, for the nine months ended September 30, 2022, we received revenue of approximately $168.8 million, which is lower than the revenue we expected to receive toward the full year numbers previously disclosed as part of the unaudited prospective financial information our management prepared and provided to the ArcLight board of directors in connection with the evaluation of the Business Combination (the "Prior Projections"). This has resulted primarily from lower than anticipated levels of gas collection at certain operating facilities, delays in completion of construction of certain RNG facilities, (which are now in commercial operation) and delays in commencement of construction of Fueling Stations. While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65" w:name="page66"/>
    <w:bookmarkEnd w:id="65"/>
    <w:p>
      <w:pPr>
        <w:jc w:val="both"/>
        <w:ind w:left="140"/>
        <w:spacing w:after="0" w:line="249" w:lineRule="auto"/>
        <w:rPr>
          <w:sz w:val="20"/>
          <w:szCs w:val="20"/>
          <w:color w:val="auto"/>
        </w:rPr>
      </w:pPr>
      <w:r>
        <w:rPr>
          <w:rFonts w:ascii="Arial" w:cs="Arial" w:eastAsia="Arial" w:hAnsi="Arial"/>
          <w:sz w:val="17"/>
          <w:szCs w:val="17"/>
          <w:color w:val="auto"/>
        </w:rPr>
        <w:t>second half of 2022 has shown improvement to date and we expect revenue to be higher than that in the first half of the year, we currently anticipate that our full year revenue for 2022 will be lower than anticipated in the Prior Projections as a result of these factors. We are continuing to evaluate our business plan but we expect that the factors described above that we experienced during the nine months ended September 30, 2022 will continue during 2023. In this regard, we remind investors that we have not updated the Prior Projections. Certain of the assumptions underlying the Prior Projections are no longer correct and, as a result, investors should not rely on the Prior Projections.</w:t>
      </w:r>
    </w:p>
    <w:p>
      <w:pPr>
        <w:spacing w:after="0" w:line="204" w:lineRule="exact"/>
        <w:rPr>
          <w:sz w:val="20"/>
          <w:szCs w:val="20"/>
          <w:color w:val="auto"/>
        </w:rPr>
      </w:pPr>
    </w:p>
    <w:p>
      <w:pPr>
        <w:jc w:val="both"/>
        <w:ind w:firstLine="298"/>
        <w:spacing w:after="0" w:line="311" w:lineRule="auto"/>
        <w:rPr>
          <w:sz w:val="20"/>
          <w:szCs w:val="20"/>
          <w:color w:val="auto"/>
        </w:rPr>
      </w:pPr>
      <w:r>
        <w:rPr>
          <w:rFonts w:ascii="Arial" w:cs="Arial" w:eastAsia="Arial" w:hAnsi="Arial"/>
          <w:sz w:val="14"/>
          <w:szCs w:val="14"/>
          <w:color w:val="auto"/>
        </w:rPr>
        <w:t>Notwithstanding these developments, we continue to expect that our currently available cash on hand, together with expected cash flows from operations, available credit under existing debt facilities, as well as other sources of capital we expect to be accessible, will be sufficient to meet our existing commitments and anticipated capital expenditures associated with our growth plan for a period of at least twelve months from the date of this report.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“Risk Factors” and “Cautionary Statement Regarding Forward-Looking Statements.”</w:t>
      </w:r>
    </w:p>
    <w:p>
      <w:pPr>
        <w:spacing w:after="0" w:line="78" w:lineRule="exact"/>
        <w:rPr>
          <w:sz w:val="20"/>
          <w:szCs w:val="20"/>
          <w:color w:val="auto"/>
        </w:rPr>
      </w:pPr>
    </w:p>
    <w:p>
      <w:pPr>
        <w:jc w:val="both"/>
        <w:ind w:left="140" w:firstLine="298"/>
        <w:spacing w:after="0" w:line="249" w:lineRule="auto"/>
        <w:rPr>
          <w:sz w:val="20"/>
          <w:szCs w:val="20"/>
          <w:color w:val="auto"/>
        </w:rPr>
      </w:pPr>
      <w:r>
        <w:rPr>
          <w:rFonts w:ascii="Arial" w:cs="Arial" w:eastAsia="Arial" w:hAnsi="Arial"/>
          <w:sz w:val="17"/>
          <w:szCs w:val="17"/>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05"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As of September 30, 2022, we had total indebtedness excluding deferred financing costs of $220.0 million in principal amount which primarily consists of $77.7 million under Senior Secured Credit Facility, $28.0 million under the Convertible Note Payable, $91.2 million under the OPAL Term Loan, $0.1 million under the Municipality loan and $23.0 million under Sunoma Loan.</w:t>
      </w:r>
    </w:p>
    <w:p>
      <w:pPr>
        <w:spacing w:after="0" w:line="113"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04" w:lineRule="exact"/>
        <w:rPr>
          <w:sz w:val="20"/>
          <w:szCs w:val="20"/>
          <w:color w:val="auto"/>
        </w:rPr>
      </w:pPr>
    </w:p>
    <w:p>
      <w:pPr>
        <w:jc w:val="both"/>
        <w:ind w:firstLine="298"/>
        <w:spacing w:after="0" w:line="264" w:lineRule="auto"/>
        <w:rPr>
          <w:sz w:val="20"/>
          <w:szCs w:val="20"/>
          <w:color w:val="auto"/>
        </w:rPr>
      </w:pPr>
      <w:r>
        <w:rPr>
          <w:rFonts w:ascii="Arial" w:cs="Arial" w:eastAsia="Arial" w:hAnsi="Arial"/>
          <w:sz w:val="17"/>
          <w:szCs w:val="17"/>
          <w:color w:val="auto"/>
        </w:rPr>
        <w:t>We intend to make payments under our various debt instruments when due and pursue opportunities for earlier repayment and/or refinancing if and when these opportunities arise.</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See Note 8.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our condensed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Cash Flows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6"/>
        </w:trPr>
        <w:tc>
          <w:tcPr>
            <w:tcW w:w="8160" w:type="dxa"/>
            <w:vAlign w:val="bottom"/>
            <w:gridSpan w:val="2"/>
          </w:tcPr>
          <w:p>
            <w:pPr>
              <w:ind w:left="300"/>
              <w:spacing w:after="0"/>
              <w:rPr>
                <w:sz w:val="20"/>
                <w:szCs w:val="20"/>
                <w:color w:val="auto"/>
              </w:rPr>
            </w:pPr>
            <w:r>
              <w:rPr>
                <w:rFonts w:ascii="Arial" w:cs="Arial" w:eastAsia="Arial" w:hAnsi="Arial"/>
                <w:sz w:val="17"/>
                <w:szCs w:val="17"/>
                <w:color w:val="auto"/>
                <w:w w:val="91"/>
              </w:rPr>
              <w:t>The following table presents the Company's cash flows for the nine months ended September 30, 2022 and 2021: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right"/>
              <w:ind w:right="177"/>
              <w:spacing w:after="0"/>
              <w:rPr>
                <w:sz w:val="20"/>
                <w:szCs w:val="20"/>
                <w:color w:val="auto"/>
              </w:rPr>
            </w:pPr>
            <w:r>
              <w:rPr>
                <w:rFonts w:ascii="Arial" w:cs="Arial" w:eastAsia="Arial" w:hAnsi="Arial"/>
                <w:sz w:val="17"/>
                <w:szCs w:val="17"/>
                <w:b w:val="1"/>
                <w:bCs w:val="1"/>
                <w:color w:val="auto"/>
                <w:w w:val="90"/>
              </w:rPr>
              <w:t>Three Months Ended September 30,</w:t>
            </w:r>
          </w:p>
        </w:tc>
      </w:tr>
      <w:tr>
        <w:trPr>
          <w:trHeight w:val="25"/>
        </w:trPr>
        <w:tc>
          <w:tcPr>
            <w:tcW w:w="81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2021</w:t>
            </w:r>
          </w:p>
        </w:tc>
      </w:tr>
      <w:tr>
        <w:trPr>
          <w:trHeight w:val="235"/>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from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477"/>
              <w:spacing w:after="0"/>
              <w:rPr>
                <w:sz w:val="20"/>
                <w:szCs w:val="20"/>
                <w:color w:val="auto"/>
              </w:rPr>
            </w:pPr>
            <w:r>
              <w:rPr>
                <w:rFonts w:ascii="Arial" w:cs="Arial" w:eastAsia="Arial" w:hAnsi="Arial"/>
                <w:sz w:val="17"/>
                <w:szCs w:val="17"/>
                <w:color w:val="auto"/>
                <w:w w:val="88"/>
              </w:rPr>
              <w:t>28,897</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(218,930)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left="457"/>
              <w:spacing w:after="0"/>
              <w:rPr>
                <w:sz w:val="20"/>
                <w:szCs w:val="20"/>
                <w:color w:val="auto"/>
              </w:rPr>
            </w:pPr>
            <w:r>
              <w:rPr>
                <w:rFonts w:ascii="Arial" w:cs="Arial" w:eastAsia="Arial" w:hAnsi="Arial"/>
                <w:sz w:val="17"/>
                <w:szCs w:val="17"/>
                <w:color w:val="auto"/>
                <w:w w:val="88"/>
              </w:rPr>
              <w:t>(69,763)</w:t>
            </w:r>
          </w:p>
        </w:tc>
      </w:tr>
      <w:tr>
        <w:trPr>
          <w:trHeight w:val="23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from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270,525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7"/>
                <w:szCs w:val="17"/>
                <w:color w:val="auto"/>
                <w:w w:val="88"/>
              </w:rPr>
              <w:t>52,729</w:t>
            </w: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Net increase in cash, restricted 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29,306</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497"/>
              <w:spacing w:after="0"/>
              <w:rPr>
                <w:sz w:val="20"/>
                <w:szCs w:val="20"/>
                <w:color w:val="auto"/>
              </w:rPr>
            </w:pPr>
            <w:r>
              <w:rPr>
                <w:rFonts w:ascii="Arial" w:cs="Arial" w:eastAsia="Arial" w:hAnsi="Arial"/>
                <w:sz w:val="17"/>
                <w:szCs w:val="17"/>
                <w:color w:val="auto"/>
                <w:w w:val="84"/>
              </w:rPr>
              <w:t>11,863</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40" w:lineRule="exact"/>
        <w:rPr>
          <w:sz w:val="20"/>
          <w:szCs w:val="20"/>
          <w:color w:val="auto"/>
        </w:rPr>
      </w:pPr>
    </w:p>
    <w:p>
      <w:pPr>
        <w:jc w:val="both"/>
        <w:ind w:firstLine="298"/>
        <w:spacing w:after="0" w:line="254" w:lineRule="auto"/>
        <w:rPr>
          <w:sz w:val="20"/>
          <w:szCs w:val="20"/>
          <w:color w:val="auto"/>
        </w:rPr>
      </w:pPr>
      <w:r>
        <w:rPr>
          <w:rFonts w:ascii="Arial" w:cs="Arial" w:eastAsia="Arial" w:hAnsi="Arial"/>
          <w:sz w:val="17"/>
          <w:szCs w:val="17"/>
          <w:color w:val="auto"/>
        </w:rPr>
        <w:t>Net cash used in operating activities for the nine months ended September 30, 2022 was $22.3 million, a decrease of $51.2 million compared to net cash provided of $28.9 million for the nine months ended September 30, 2021. The decrease in cash provided by operating activities was primarily attributable to an increase in net operating losses year over year and negative working capital changes.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40" w:lineRule="exact"/>
        <w:rPr>
          <w:sz w:val="20"/>
          <w:szCs w:val="20"/>
          <w:color w:val="auto"/>
        </w:rPr>
      </w:pPr>
    </w:p>
    <w:p>
      <w:pPr>
        <w:jc w:val="both"/>
        <w:ind w:firstLine="298"/>
        <w:spacing w:after="0" w:line="271" w:lineRule="auto"/>
        <w:rPr>
          <w:sz w:val="20"/>
          <w:szCs w:val="20"/>
          <w:color w:val="auto"/>
        </w:rPr>
      </w:pPr>
      <w:r>
        <w:rPr>
          <w:rFonts w:ascii="Arial" w:cs="Arial" w:eastAsia="Arial" w:hAnsi="Arial"/>
          <w:sz w:val="16"/>
          <w:szCs w:val="16"/>
          <w:color w:val="auto"/>
        </w:rPr>
        <w:t>Net cash used in investing activities for the nine months ended September 30, 2022 was $218.9 million, an increase of $149.2 million thousand compared to the $69.8 million used in investing activities for the six months ended September 30, 2021. This was primarily driven by cash invested in short term investments of $146.9 million (cash received from Business Combination) , payments made for the construction of various RNG generation and dispensing facilities of $84.9 million offset by proceeds from repayment of Note receivable of $10.9 million and distribution from equity method investment of $2.1 million.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140" w:lineRule="exact"/>
        <w:rPr>
          <w:sz w:val="20"/>
          <w:szCs w:val="20"/>
          <w:color w:val="auto"/>
        </w:rPr>
      </w:pPr>
    </w:p>
    <w:p>
      <w:pPr>
        <w:jc w:val="both"/>
        <w:ind w:firstLine="298"/>
        <w:spacing w:after="0" w:line="315" w:lineRule="auto"/>
        <w:rPr>
          <w:sz w:val="20"/>
          <w:szCs w:val="20"/>
          <w:color w:val="auto"/>
        </w:rPr>
      </w:pPr>
      <w:r>
        <w:rPr>
          <w:rFonts w:ascii="Arial" w:cs="Arial" w:eastAsia="Arial" w:hAnsi="Arial"/>
          <w:sz w:val="14"/>
          <w:szCs w:val="14"/>
          <w:color w:val="auto"/>
        </w:rPr>
        <w:t>Net cash provided from financing activities for the nine months ended September 30, 2022 was $270.5 million, an increase of $217.8 million compared to the $52.7 million provided from financing activities for the nine months ended September 30, 2021. This was primarily driven by proceeds received from consummation of Business Combination of $138.9 million, issuance of redeemable preferred non-controlling interests for total proceeds of $100.0 million, proceeds from OPAL Term Loan of $27.5 million, proceeds from Sunoma Loan$4.6 million, capital contribution from a joint venture $23.2 million offset by debt repayments of $3.7 million and $11.3 million on the Senior Secured Credit Facility and the OPAL Term Loan, respectively, and $8.5 million paid as financing costs.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 and other cash commitments</w:t>
      </w:r>
    </w:p>
    <w:p>
      <w:pPr>
        <w:spacing w:after="0" w:line="140" w:lineRule="exact"/>
        <w:rPr>
          <w:sz w:val="20"/>
          <w:szCs w:val="20"/>
          <w:color w:val="auto"/>
        </w:rPr>
      </w:pPr>
    </w:p>
    <w:p>
      <w:pPr>
        <w:jc w:val="both"/>
        <w:ind w:firstLine="298"/>
        <w:spacing w:after="0" w:line="248" w:lineRule="auto"/>
        <w:rPr>
          <w:sz w:val="20"/>
          <w:szCs w:val="20"/>
          <w:color w:val="auto"/>
        </w:rPr>
      </w:pPr>
      <w:r>
        <w:rPr>
          <w:rFonts w:ascii="Arial" w:cs="Arial" w:eastAsia="Arial" w:hAnsi="Arial"/>
          <w:sz w:val="17"/>
          <w:szCs w:val="17"/>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06" w:lineRule="exact"/>
        <w:rPr>
          <w:sz w:val="20"/>
          <w:szCs w:val="20"/>
          <w:color w:val="auto"/>
        </w:rPr>
      </w:pPr>
    </w:p>
    <w:p>
      <w:pPr>
        <w:jc w:val="both"/>
        <w:ind w:firstLine="298"/>
        <w:spacing w:after="0" w:line="334" w:lineRule="auto"/>
        <w:rPr>
          <w:sz w:val="20"/>
          <w:szCs w:val="20"/>
          <w:color w:val="auto"/>
        </w:rPr>
      </w:pPr>
      <w:r>
        <w:rPr>
          <w:rFonts w:ascii="Arial" w:cs="Arial" w:eastAsia="Arial" w:hAnsi="Arial"/>
          <w:sz w:val="14"/>
          <w:szCs w:val="14"/>
          <w:color w:val="auto"/>
        </w:rPr>
        <w:t>As of September 30, 2022, we have budgeted for $412,342 thousand in capital expenditures for the next 12 months, of which $220,184 thousand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Arial" w:cs="Arial" w:eastAsia="Arial" w:hAnsi="Arial"/>
          <w:sz w:val="14"/>
          <w:szCs w:val="14"/>
          <w:b w:val="1"/>
          <w:bCs w:val="1"/>
          <w:color w:val="auto"/>
        </w:rPr>
        <w:t>.</w:t>
      </w:r>
    </w:p>
    <w:p>
      <w:pPr>
        <w:spacing w:after="0" w:line="61" w:lineRule="exact"/>
        <w:rPr>
          <w:sz w:val="20"/>
          <w:szCs w:val="20"/>
          <w:color w:val="auto"/>
        </w:rPr>
      </w:pPr>
    </w:p>
    <w:p>
      <w:pPr>
        <w:jc w:val="both"/>
        <w:ind w:firstLine="298"/>
        <w:spacing w:after="0" w:line="295" w:lineRule="auto"/>
        <w:rPr>
          <w:sz w:val="20"/>
          <w:szCs w:val="20"/>
          <w:color w:val="auto"/>
        </w:rPr>
      </w:pPr>
      <w:r>
        <w:rPr>
          <w:rFonts w:ascii="Arial" w:cs="Arial" w:eastAsia="Arial" w:hAnsi="Arial"/>
          <w:sz w:val="16"/>
          <w:szCs w:val="16"/>
          <w:color w:val="auto"/>
        </w:rPr>
        <w:t xml:space="preserve">In addition to the above, we also have lease commitments on our vehicle fleets and office leases and quarterly amortization payment obligations under various debt facilities. Please see Note 8.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our condensed consolidated financial statements for additional information.</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We plan to fund these expenditures primarily through cash on hand, cash generated from operations, and cash from the Business Combination and PIPE Investment.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required to provide the information required by this Item as it is a “smaller reporting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1" w:lineRule="exact"/>
        <w:rPr>
          <w:sz w:val="20"/>
          <w:szCs w:val="20"/>
          <w:color w:val="auto"/>
        </w:rPr>
      </w:pPr>
    </w:p>
    <w:p>
      <w:pPr>
        <w:jc w:val="both"/>
        <w:ind w:firstLine="597"/>
        <w:spacing w:after="0" w:line="292" w:lineRule="auto"/>
        <w:rPr>
          <w:sz w:val="20"/>
          <w:szCs w:val="20"/>
          <w:color w:val="auto"/>
        </w:rPr>
      </w:pPr>
      <w:r>
        <w:rPr>
          <w:rFonts w:ascii="Arial" w:cs="Arial" w:eastAsia="Arial" w:hAnsi="Arial"/>
          <w:sz w:val="14"/>
          <w:szCs w:val="14"/>
          <w:color w:val="auto"/>
        </w:rPr>
        <w:t>Our management, with the participation of our Co-Chief Executive Officers and our Chief Financial Officer (our co- 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7" w:name="page68"/>
    <w:bookmarkEnd w:id="67"/>
    <w:p>
      <w:pPr>
        <w:ind w:left="1"/>
        <w:spacing w:after="0"/>
        <w:rPr>
          <w:sz w:val="20"/>
          <w:szCs w:val="20"/>
          <w:color w:val="auto"/>
        </w:rPr>
      </w:pPr>
      <w:r>
        <w:rPr>
          <w:rFonts w:ascii="Arial" w:cs="Arial" w:eastAsia="Arial" w:hAnsi="Arial"/>
          <w:sz w:val="14"/>
          <w:szCs w:val="14"/>
          <w:color w:val="auto"/>
        </w:rPr>
        <w:t>assurance of achieving their objectives, and management necessarily applies its judgment in evaluating the cost-benefit relationship of possible controls and procedures.</w:t>
      </w:r>
    </w:p>
    <w:p>
      <w:pPr>
        <w:spacing w:after="0" w:line="249" w:lineRule="exact"/>
        <w:rPr>
          <w:sz w:val="20"/>
          <w:szCs w:val="20"/>
          <w:color w:val="auto"/>
        </w:rPr>
      </w:pPr>
    </w:p>
    <w:p>
      <w:pPr>
        <w:jc w:val="both"/>
        <w:ind w:left="1" w:firstLine="597"/>
        <w:spacing w:after="0" w:line="246" w:lineRule="auto"/>
        <w:rPr>
          <w:sz w:val="20"/>
          <w:szCs w:val="20"/>
          <w:color w:val="auto"/>
        </w:rPr>
      </w:pPr>
      <w:r>
        <w:rPr>
          <w:rFonts w:ascii="Arial" w:cs="Arial" w:eastAsia="Arial" w:hAnsi="Arial"/>
          <w:sz w:val="17"/>
          <w:szCs w:val="17"/>
          <w:color w:val="auto"/>
        </w:rPr>
        <w:t>Based on that evaluation of our disclosure controls and procedures as of September 30, 2022,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Previously Reported Material Weakness</w:t>
      </w:r>
    </w:p>
    <w:p>
      <w:pPr>
        <w:spacing w:after="0" w:line="227" w:lineRule="exact"/>
        <w:rPr>
          <w:sz w:val="20"/>
          <w:szCs w:val="20"/>
          <w:color w:val="auto"/>
        </w:rPr>
      </w:pPr>
    </w:p>
    <w:p>
      <w:pPr>
        <w:jc w:val="both"/>
        <w:ind w:left="1" w:firstLine="597"/>
        <w:spacing w:after="0"/>
        <w:rPr>
          <w:sz w:val="20"/>
          <w:szCs w:val="20"/>
          <w:color w:val="auto"/>
        </w:rPr>
      </w:pPr>
      <w:r>
        <w:rPr>
          <w:rFonts w:ascii="Arial" w:cs="Arial" w:eastAsia="Arial" w:hAnsi="Arial"/>
          <w:sz w:val="17"/>
          <w:szCs w:val="17"/>
          <w:color w:val="auto"/>
        </w:rPr>
        <w:t>In connection with the preparation and audit of our consolidated financial statements for each of the years ended December 31, 2021, 2020 and 2019,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material weaknesses identified were as follows:</w:t>
      </w:r>
    </w:p>
    <w:p>
      <w:pPr>
        <w:spacing w:after="0" w:line="215" w:lineRule="exact"/>
        <w:rPr>
          <w:sz w:val="20"/>
          <w:szCs w:val="20"/>
          <w:color w:val="auto"/>
        </w:rPr>
      </w:pPr>
    </w:p>
    <w:p>
      <w:pPr>
        <w:ind w:left="1" w:hanging="1"/>
        <w:spacing w:after="0" w:line="264" w:lineRule="auto"/>
        <w:tabs>
          <w:tab w:leader="none" w:pos="3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is a lack of an adequate control environment, including internal communications, to allow for timeliness of reviews for the accounting and disclosures of significant and unusual transactions and contracts;</w:t>
      </w:r>
    </w:p>
    <w:p>
      <w:pPr>
        <w:spacing w:after="0" w:line="179" w:lineRule="exact"/>
        <w:rPr>
          <w:rFonts w:ascii="Arial" w:cs="Arial" w:eastAsia="Arial" w:hAnsi="Arial"/>
          <w:sz w:val="17"/>
          <w:szCs w:val="17"/>
          <w:color w:val="auto"/>
        </w:rPr>
      </w:pPr>
    </w:p>
    <w:p>
      <w:pPr>
        <w:jc w:val="both"/>
        <w:ind w:left="1" w:hanging="1"/>
        <w:spacing w:after="0" w:line="324" w:lineRule="auto"/>
        <w:tabs>
          <w:tab w:leader="none" w:pos="313"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43" w:lineRule="exact"/>
        <w:rPr>
          <w:rFonts w:ascii="Arial" w:cs="Arial" w:eastAsia="Arial" w:hAnsi="Arial"/>
          <w:sz w:val="14"/>
          <w:szCs w:val="14"/>
          <w:color w:val="auto"/>
        </w:rPr>
      </w:pPr>
    </w:p>
    <w:p>
      <w:pPr>
        <w:ind w:left="1" w:hanging="1"/>
        <w:spacing w:after="0" w:line="244" w:lineRule="auto"/>
        <w:tabs>
          <w:tab w:leader="none" w:pos="291"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did not have timely and effective reviews over standard account reconciliations and related accounting analysis which resulted in various audit adjustments that we corrected; and</w:t>
      </w:r>
    </w:p>
    <w:p>
      <w:pPr>
        <w:ind w:left="261" w:hanging="261"/>
        <w:spacing w:after="0" w:line="230" w:lineRule="auto"/>
        <w:tabs>
          <w:tab w:leader="none" w:pos="261"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 controls over application of ASC-606 were not designed and implemented appropriately during the current year.</w:t>
      </w:r>
    </w:p>
    <w:p>
      <w:pPr>
        <w:jc w:val="both"/>
        <w:ind w:left="1" w:firstLine="597"/>
        <w:spacing w:after="0" w:line="238" w:lineRule="auto"/>
        <w:rPr>
          <w:sz w:val="20"/>
          <w:szCs w:val="20"/>
          <w:color w:val="auto"/>
        </w:rPr>
      </w:pPr>
      <w:r>
        <w:rPr>
          <w:rFonts w:ascii="Arial" w:cs="Arial" w:eastAsia="Arial" w:hAnsi="Arial"/>
          <w:sz w:val="17"/>
          <w:szCs w:val="17"/>
          <w:color w:val="auto"/>
        </w:rPr>
        <w:t>We performed additional analysis and procedures with respect to accounts impacted by the material weakness in order to conclude that our consolidated financial statements in this report, and for the three and nine months ended September 30, 2022 and 2021, are fairly presented, in all material respects, in accordance with GAAP.</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7"/>
          <w:szCs w:val="17"/>
          <w:color w:val="auto"/>
        </w:rPr>
        <w:t>Under “Changes to Internal Controls” below, we describe our remediation plan to address the identified material weakness.</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Management's Quarterly Report on Internal Control over Financial Reporting</w:t>
      </w:r>
    </w:p>
    <w:p>
      <w:pPr>
        <w:spacing w:after="0" w:line="227" w:lineRule="exact"/>
        <w:rPr>
          <w:sz w:val="20"/>
          <w:szCs w:val="20"/>
          <w:color w:val="auto"/>
        </w:rPr>
      </w:pPr>
    </w:p>
    <w:p>
      <w:pPr>
        <w:jc w:val="both"/>
        <w:ind w:left="1" w:firstLine="597"/>
        <w:spacing w:after="0" w:line="239" w:lineRule="auto"/>
        <w:rPr>
          <w:sz w:val="20"/>
          <w:szCs w:val="20"/>
          <w:color w:val="auto"/>
        </w:rPr>
      </w:pPr>
      <w:r>
        <w:rPr>
          <w:rFonts w:ascii="Arial" w:cs="Arial" w:eastAsia="Arial" w:hAnsi="Arial"/>
          <w:sz w:val="17"/>
          <w:szCs w:val="17"/>
          <w:color w:val="auto"/>
        </w:rPr>
        <w:t>This Quarterly Report on Form 10-Q does not include a report of management's assessment regarding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15" w:lineRule="exact"/>
        <w:rPr>
          <w:sz w:val="20"/>
          <w:szCs w:val="20"/>
          <w:color w:val="auto"/>
        </w:rPr>
      </w:pPr>
    </w:p>
    <w:p>
      <w:pPr>
        <w:jc w:val="both"/>
        <w:ind w:left="1" w:firstLine="597"/>
        <w:spacing w:after="0" w:line="309" w:lineRule="auto"/>
        <w:rPr>
          <w:sz w:val="20"/>
          <w:szCs w:val="20"/>
          <w:color w:val="auto"/>
        </w:rPr>
      </w:pPr>
      <w:r>
        <w:rPr>
          <w:rFonts w:ascii="Arial" w:cs="Arial" w:eastAsia="Arial" w:hAnsi="Arial"/>
          <w:sz w:val="14"/>
          <w:szCs w:val="14"/>
          <w:color w:val="auto"/>
        </w:rPr>
        <w:t>The design and implementation of internal controls over financial reporting for the Company’s post-Business Combinations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Remediation Plans</w:t>
      </w:r>
    </w:p>
    <w:p>
      <w:pPr>
        <w:spacing w:after="0" w:line="227" w:lineRule="exact"/>
        <w:rPr>
          <w:sz w:val="20"/>
          <w:szCs w:val="20"/>
          <w:color w:val="auto"/>
        </w:rPr>
      </w:pPr>
    </w:p>
    <w:p>
      <w:pPr>
        <w:jc w:val="both"/>
        <w:ind w:left="1" w:firstLine="597"/>
        <w:spacing w:after="0" w:line="315" w:lineRule="auto"/>
        <w:rPr>
          <w:sz w:val="20"/>
          <w:szCs w:val="20"/>
          <w:color w:val="auto"/>
        </w:rPr>
      </w:pPr>
      <w:r>
        <w:rPr>
          <w:rFonts w:ascii="Arial" w:cs="Arial" w:eastAsia="Arial" w:hAnsi="Arial"/>
          <w:sz w:val="14"/>
          <w:szCs w:val="14"/>
          <w:color w:val="auto"/>
        </w:rPr>
        <w:t>We have developed and begun executing on a plan to remediate these material weaknesses, including the hiring of a Chief Financial Officer and a Chief Accounting Officer in 2021.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73" w:right="339" w:bottom="1440" w:gutter="0" w:footer="0" w:header="0"/>
        </w:sectPr>
      </w:pPr>
    </w:p>
    <w:bookmarkStart w:id="68" w:name="page69"/>
    <w:bookmarkEnd w:id="68"/>
    <w:p>
      <w:pPr>
        <w:jc w:val="both"/>
        <w:spacing w:after="0" w:line="248" w:lineRule="auto"/>
        <w:rPr>
          <w:sz w:val="20"/>
          <w:szCs w:val="20"/>
          <w:color w:val="auto"/>
        </w:rPr>
      </w:pPr>
      <w:r>
        <w:rPr>
          <w:rFonts w:ascii="Arial" w:cs="Arial" w:eastAsia="Arial" w:hAnsi="Arial"/>
          <w:sz w:val="17"/>
          <w:szCs w:val="17"/>
          <w:color w:val="auto"/>
        </w:rPr>
        <w:t>standard balance sheet reconciliation templates and journal entry controls; and designing and implementing controls to formalize roles and review responsibilities to align with our team’s skills and experience. We have implemented formal controls over segregation of duties.</w:t>
      </w:r>
    </w:p>
    <w:p>
      <w:pPr>
        <w:spacing w:after="0" w:line="205" w:lineRule="exact"/>
        <w:rPr>
          <w:sz w:val="20"/>
          <w:szCs w:val="20"/>
          <w:color w:val="auto"/>
        </w:rPr>
      </w:pPr>
    </w:p>
    <w:p>
      <w:pPr>
        <w:jc w:val="both"/>
        <w:ind w:firstLine="226"/>
        <w:spacing w:after="0" w:line="252" w:lineRule="auto"/>
        <w:rPr>
          <w:sz w:val="20"/>
          <w:szCs w:val="20"/>
          <w:color w:val="auto"/>
        </w:rPr>
      </w:pPr>
      <w:r>
        <w:rPr>
          <w:rFonts w:ascii="Arial" w:cs="Arial" w:eastAsia="Arial" w:hAnsi="Arial"/>
          <w:sz w:val="16"/>
          <w:szCs w:val="16"/>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Edison Arbitration Demand</w:t>
      </w:r>
    </w:p>
    <w:p>
      <w:pPr>
        <w:spacing w:after="0" w:line="215" w:lineRule="exact"/>
        <w:rPr>
          <w:sz w:val="20"/>
          <w:szCs w:val="20"/>
          <w:color w:val="auto"/>
        </w:rPr>
      </w:pPr>
    </w:p>
    <w:p>
      <w:pPr>
        <w:jc w:val="both"/>
        <w:ind w:firstLine="169"/>
        <w:spacing w:after="0" w:line="324" w:lineRule="auto"/>
        <w:rPr>
          <w:sz w:val="20"/>
          <w:szCs w:val="20"/>
          <w:color w:val="auto"/>
        </w:rPr>
      </w:pPr>
      <w:r>
        <w:rPr>
          <w:rFonts w:ascii="Arial" w:cs="Arial" w:eastAsia="Arial" w:hAnsi="Arial"/>
          <w:sz w:val="14"/>
          <w:szCs w:val="14"/>
          <w:color w:val="auto"/>
        </w:rPr>
        <w:t>Noble Road RNG LLC (“Noble Road”), a subsidiary of Opal Fuels, and Ohio Edison Company (“Ohio Edison”)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43" w:lineRule="exact"/>
        <w:rPr>
          <w:sz w:val="20"/>
          <w:szCs w:val="20"/>
          <w:color w:val="auto"/>
        </w:rPr>
      </w:pPr>
    </w:p>
    <w:p>
      <w:pPr>
        <w:jc w:val="both"/>
        <w:ind w:firstLine="597"/>
        <w:spacing w:after="0" w:line="300" w:lineRule="auto"/>
        <w:rPr>
          <w:sz w:val="20"/>
          <w:szCs w:val="20"/>
          <w:color w:val="auto"/>
        </w:rPr>
      </w:pPr>
      <w:r>
        <w:rPr>
          <w:rFonts w:ascii="Arial" w:cs="Arial" w:eastAsia="Arial" w:hAnsi="Arial"/>
          <w:sz w:val="14"/>
          <w:szCs w:val="14"/>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Risks Related to Our Third Party Relationships and Government Regulation of Our Business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99"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4"/>
          <w:szCs w:val="14"/>
          <w:color w:val="auto"/>
        </w:rPr>
        <w:t>We do not own any of the landfill or livestock waste sites, which we sometimes refer to in this report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360"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In addition, the ownership interests in the land subject to these licenses, easements, leases and rights-of-way may be subject to mortgages securing loans or other liens (such as tax liens) and other easements, lease rights and rights-of-way 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6"/>
          <w:szCs w:val="16"/>
          <w:color w:val="auto"/>
        </w:rPr>
        <w:t>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owners and operators of biogas project sites generally make no warranties to us as to the quality or quantity of gas produced.</w:t>
      </w:r>
    </w:p>
    <w:p>
      <w:pPr>
        <w:spacing w:after="0" w:line="215"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4"/>
          <w:szCs w:val="14"/>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35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83" w:lineRule="exact"/>
        <w:rPr>
          <w:sz w:val="20"/>
          <w:szCs w:val="20"/>
          <w:color w:val="auto"/>
        </w:rPr>
      </w:pPr>
    </w:p>
    <w:p>
      <w:pPr>
        <w:jc w:val="both"/>
        <w:ind w:firstLine="398"/>
        <w:spacing w:after="0" w:line="237" w:lineRule="auto"/>
        <w:rPr>
          <w:sz w:val="20"/>
          <w:szCs w:val="20"/>
          <w:color w:val="auto"/>
        </w:rPr>
      </w:pPr>
      <w:r>
        <w:rPr>
          <w:rFonts w:ascii="Arial" w:cs="Arial" w:eastAsia="Arial" w:hAnsi="Arial"/>
          <w:sz w:val="17"/>
          <w:szCs w:val="17"/>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 w:lineRule="exact"/>
        <w:rPr>
          <w:sz w:val="20"/>
          <w:szCs w:val="20"/>
          <w:color w:val="auto"/>
        </w:rPr>
      </w:pPr>
    </w:p>
    <w:p>
      <w:pPr>
        <w:jc w:val="both"/>
        <w:ind w:firstLine="398"/>
        <w:spacing w:after="0" w:line="243" w:lineRule="auto"/>
        <w:rPr>
          <w:sz w:val="20"/>
          <w:szCs w:val="20"/>
          <w:color w:val="auto"/>
        </w:rPr>
      </w:pPr>
      <w:r>
        <w:rPr>
          <w:rFonts w:ascii="Arial" w:cs="Arial" w:eastAsia="Arial" w:hAnsi="Arial"/>
          <w:sz w:val="16"/>
          <w:szCs w:val="16"/>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99"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 w:lineRule="exact"/>
        <w:rPr>
          <w:sz w:val="20"/>
          <w:szCs w:val="20"/>
          <w:color w:val="auto"/>
        </w:rPr>
      </w:pPr>
    </w:p>
    <w:p>
      <w:pPr>
        <w:jc w:val="both"/>
        <w:ind w:firstLine="398"/>
        <w:spacing w:after="0" w:line="235" w:lineRule="auto"/>
        <w:rPr>
          <w:sz w:val="20"/>
          <w:szCs w:val="20"/>
          <w:color w:val="auto"/>
        </w:rPr>
      </w:pPr>
      <w:r>
        <w:rPr>
          <w:rFonts w:ascii="Arial" w:cs="Arial" w:eastAsia="Arial" w:hAnsi="Arial"/>
          <w:sz w:val="17"/>
          <w:szCs w:val="17"/>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9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99"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These vehicle and engine manufacturers may decide not to expand or maintain, or may decide to discontinue or curtail, their product lines for a variety of reasons, including, without limitation, as a result of the adoption of governmental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1" w:name="page72"/>
    <w:bookmarkEnd w:id="71"/>
    <w:p>
      <w:pPr>
        <w:jc w:val="both"/>
        <w:spacing w:after="0" w:line="234" w:lineRule="auto"/>
        <w:rPr>
          <w:sz w:val="20"/>
          <w:szCs w:val="20"/>
          <w:color w:val="auto"/>
        </w:rPr>
      </w:pPr>
      <w:r>
        <w:rPr>
          <w:rFonts w:ascii="Arial" w:cs="Arial" w:eastAsia="Arial" w:hAnsi="Arial"/>
          <w:sz w:val="17"/>
          <w:szCs w:val="17"/>
          <w:color w:val="auto"/>
        </w:rPr>
        <w:t>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99" w:lineRule="exact"/>
        <w:rPr>
          <w:sz w:val="20"/>
          <w:szCs w:val="20"/>
          <w:color w:val="auto"/>
        </w:rPr>
      </w:pPr>
    </w:p>
    <w:p>
      <w:pPr>
        <w:jc w:val="both"/>
        <w:ind w:firstLine="398"/>
        <w:spacing w:after="0" w:line="296" w:lineRule="auto"/>
        <w:rPr>
          <w:sz w:val="20"/>
          <w:szCs w:val="20"/>
          <w:color w:val="auto"/>
        </w:rPr>
      </w:pPr>
      <w:r>
        <w:rPr>
          <w:rFonts w:ascii="Arial" w:cs="Arial" w:eastAsia="Arial" w:hAnsi="Arial"/>
          <w:sz w:val="14"/>
          <w:szCs w:val="14"/>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63"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4"/>
          <w:szCs w:val="14"/>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9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99"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6"/>
          <w:szCs w:val="16"/>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99" w:lineRule="exact"/>
        <w:rPr>
          <w:sz w:val="20"/>
          <w:szCs w:val="20"/>
          <w:color w:val="auto"/>
        </w:rPr>
      </w:pPr>
    </w:p>
    <w:p>
      <w:pPr>
        <w:jc w:val="both"/>
        <w:ind w:firstLine="398"/>
        <w:spacing w:after="0" w:line="315" w:lineRule="auto"/>
        <w:rPr>
          <w:sz w:val="20"/>
          <w:szCs w:val="20"/>
          <w:color w:val="auto"/>
        </w:rPr>
      </w:pPr>
      <w:r>
        <w:rPr>
          <w:rFonts w:ascii="Arial" w:cs="Arial" w:eastAsia="Arial" w:hAnsi="Arial"/>
          <w:sz w:val="14"/>
          <w:szCs w:val="14"/>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2" w:name="page73"/>
    <w:bookmarkEnd w:id="72"/>
    <w:p>
      <w:pPr>
        <w:jc w:val="both"/>
        <w:spacing w:after="0" w:line="296" w:lineRule="auto"/>
        <w:rPr>
          <w:sz w:val="20"/>
          <w:szCs w:val="20"/>
          <w:color w:val="auto"/>
        </w:rPr>
      </w:pPr>
      <w:r>
        <w:rPr>
          <w:rFonts w:ascii="Arial" w:cs="Arial" w:eastAsia="Arial" w:hAnsi="Arial"/>
          <w:sz w:val="14"/>
          <w:szCs w:val="14"/>
          <w:color w:val="auto"/>
        </w:rPr>
        <w:t>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3"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94" w:lineRule="exact"/>
        <w:rPr>
          <w:sz w:val="20"/>
          <w:szCs w:val="20"/>
          <w:color w:val="auto"/>
        </w:rPr>
      </w:pPr>
    </w:p>
    <w:p>
      <w:pPr>
        <w:jc w:val="both"/>
        <w:ind w:firstLine="398"/>
        <w:spacing w:after="0" w:line="284" w:lineRule="auto"/>
        <w:rPr>
          <w:sz w:val="20"/>
          <w:szCs w:val="20"/>
          <w:color w:val="auto"/>
        </w:rPr>
      </w:pPr>
      <w:r>
        <w:rPr>
          <w:rFonts w:ascii="Arial" w:cs="Arial" w:eastAsia="Arial" w:hAnsi="Arial"/>
          <w:sz w:val="14"/>
          <w:szCs w:val="14"/>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36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01"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4"/>
          <w:szCs w:val="14"/>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157"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4"/>
          <w:szCs w:val="14"/>
          <w:color w:val="auto"/>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3" w:name="page74"/>
    <w:bookmarkEnd w:id="73"/>
    <w:p>
      <w:pPr>
        <w:jc w:val="both"/>
        <w:ind w:left="1"/>
        <w:spacing w:after="0" w:line="248" w:lineRule="auto"/>
        <w:rPr>
          <w:sz w:val="20"/>
          <w:szCs w:val="20"/>
          <w:color w:val="auto"/>
        </w:rPr>
      </w:pPr>
      <w:r>
        <w:rPr>
          <w:rFonts w:ascii="Arial" w:cs="Arial" w:eastAsia="Arial" w:hAnsi="Arial"/>
          <w:sz w:val="17"/>
          <w:szCs w:val="17"/>
          <w:color w:val="auto"/>
        </w:rPr>
        <w:t>at the same price levels as we have in the past, (ii) production shortfalls will not impact our ability to monetize RINs at favorable current pricing, and (iii) the rising price environment for RINs will continue.</w:t>
      </w:r>
    </w:p>
    <w:p>
      <w:pPr>
        <w:spacing w:after="0" w:line="230" w:lineRule="exact"/>
        <w:rPr>
          <w:sz w:val="20"/>
          <w:szCs w:val="20"/>
          <w:color w:val="auto"/>
        </w:rPr>
      </w:pPr>
    </w:p>
    <w:p>
      <w:pPr>
        <w:jc w:val="both"/>
        <w:ind w:left="1" w:firstLine="398"/>
        <w:spacing w:after="0" w:line="187" w:lineRule="exact"/>
        <w:rPr>
          <w:sz w:val="20"/>
          <w:szCs w:val="20"/>
          <w:color w:val="auto"/>
        </w:rPr>
      </w:pPr>
      <w:r>
        <w:rPr>
          <w:rFonts w:ascii="Arial" w:cs="Arial" w:eastAsia="Arial" w:hAnsi="Arial"/>
          <w:sz w:val="14"/>
          <w:szCs w:val="14"/>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Carbon Intensity (“CI”) of transportation fuel sold and purchased in the state. A CI score is calculated as grams of CO</w:t>
      </w:r>
      <w:r>
        <w:rPr>
          <w:rFonts w:ascii="MS PGothic" w:cs="MS PGothic" w:eastAsia="MS PGothic" w:hAnsi="MS PGothic"/>
          <w:sz w:val="14"/>
          <w:szCs w:val="14"/>
          <w:color w:val="auto"/>
        </w:rPr>
        <w:t>₂</w:t>
      </w:r>
      <w:r>
        <w:rPr>
          <w:rFonts w:ascii="Arial" w:cs="Arial" w:eastAsia="Arial" w:hAnsi="Arial"/>
          <w:sz w:val="14"/>
          <w:szCs w:val="14"/>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w:t>
      </w:r>
    </w:p>
    <w:p>
      <w:pPr>
        <w:spacing w:after="0" w:line="1" w:lineRule="exact"/>
        <w:rPr>
          <w:sz w:val="20"/>
          <w:szCs w:val="20"/>
          <w:color w:val="auto"/>
        </w:rPr>
      </w:pPr>
    </w:p>
    <w:p>
      <w:pPr>
        <w:jc w:val="both"/>
        <w:ind w:left="1" w:hanging="1"/>
        <w:spacing w:after="0" w:line="231" w:lineRule="auto"/>
        <w:tabs>
          <w:tab w:leader="none" w:pos="2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201" w:lineRule="exact"/>
        <w:rPr>
          <w:sz w:val="20"/>
          <w:szCs w:val="20"/>
          <w:color w:val="auto"/>
        </w:rPr>
      </w:pPr>
    </w:p>
    <w:p>
      <w:pPr>
        <w:jc w:val="both"/>
        <w:ind w:left="1" w:firstLine="398"/>
        <w:spacing w:after="0" w:line="252" w:lineRule="auto"/>
        <w:rPr>
          <w:sz w:val="20"/>
          <w:szCs w:val="20"/>
          <w:color w:val="auto"/>
        </w:rPr>
      </w:pPr>
      <w:r>
        <w:rPr>
          <w:rFonts w:ascii="Arial" w:cs="Arial" w:eastAsia="Arial" w:hAnsi="Arial"/>
          <w:sz w:val="16"/>
          <w:szCs w:val="16"/>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90" w:lineRule="exact"/>
        <w:rPr>
          <w:sz w:val="20"/>
          <w:szCs w:val="20"/>
          <w:color w:val="auto"/>
        </w:rPr>
      </w:pPr>
    </w:p>
    <w:p>
      <w:pPr>
        <w:jc w:val="both"/>
        <w:ind w:left="1" w:firstLine="398"/>
        <w:spacing w:after="0" w:line="285" w:lineRule="auto"/>
        <w:rPr>
          <w:sz w:val="20"/>
          <w:szCs w:val="20"/>
          <w:color w:val="auto"/>
        </w:rPr>
      </w:pPr>
      <w:r>
        <w:rPr>
          <w:rFonts w:ascii="Arial" w:cs="Arial" w:eastAsia="Arial" w:hAnsi="Arial"/>
          <w:sz w:val="14"/>
          <w:szCs w:val="14"/>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9" w:lineRule="exact"/>
        <w:rPr>
          <w:sz w:val="20"/>
          <w:szCs w:val="20"/>
          <w:color w:val="auto"/>
        </w:rPr>
      </w:pPr>
    </w:p>
    <w:p>
      <w:pPr>
        <w:jc w:val="both"/>
        <w:ind w:left="1" w:firstLine="398"/>
        <w:spacing w:after="0" w:line="235" w:lineRule="auto"/>
        <w:rPr>
          <w:sz w:val="20"/>
          <w:szCs w:val="20"/>
          <w:color w:val="auto"/>
        </w:rPr>
      </w:pPr>
      <w:r>
        <w:rPr>
          <w:rFonts w:ascii="Arial" w:cs="Arial" w:eastAsia="Arial" w:hAnsi="Arial"/>
          <w:sz w:val="17"/>
          <w:szCs w:val="17"/>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99" w:lineRule="exact"/>
        <w:rPr>
          <w:sz w:val="20"/>
          <w:szCs w:val="20"/>
          <w:color w:val="auto"/>
        </w:rPr>
      </w:pPr>
    </w:p>
    <w:p>
      <w:pPr>
        <w:jc w:val="both"/>
        <w:ind w:left="1" w:firstLine="398"/>
        <w:spacing w:after="0" w:line="245" w:lineRule="auto"/>
        <w:rPr>
          <w:sz w:val="20"/>
          <w:szCs w:val="20"/>
          <w:color w:val="auto"/>
        </w:rPr>
      </w:pPr>
      <w:r>
        <w:rPr>
          <w:rFonts w:ascii="Arial" w:cs="Arial" w:eastAsia="Arial" w:hAnsi="Arial"/>
          <w:sz w:val="16"/>
          <w:szCs w:val="16"/>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60" w:right="339" w:bottom="1440" w:gutter="0" w:footer="0" w:header="0"/>
        </w:sectPr>
      </w:pPr>
    </w:p>
    <w:bookmarkStart w:id="74" w:name="page75"/>
    <w:bookmarkEnd w:id="74"/>
    <w:p>
      <w:pPr>
        <w:jc w:val="both"/>
        <w:ind w:firstLine="398"/>
        <w:spacing w:after="0" w:line="246" w:lineRule="auto"/>
        <w:rPr>
          <w:sz w:val="20"/>
          <w:szCs w:val="20"/>
          <w:color w:val="auto"/>
        </w:rPr>
      </w:pPr>
      <w:r>
        <w:rPr>
          <w:rFonts w:ascii="Arial" w:cs="Arial" w:eastAsia="Arial" w:hAnsi="Arial"/>
          <w:sz w:val="16"/>
          <w:szCs w:val="16"/>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94" w:lineRule="exact"/>
        <w:rPr>
          <w:sz w:val="20"/>
          <w:szCs w:val="20"/>
          <w:color w:val="auto"/>
        </w:rPr>
      </w:pPr>
    </w:p>
    <w:p>
      <w:pPr>
        <w:jc w:val="both"/>
        <w:ind w:firstLine="398"/>
        <w:spacing w:after="0" w:line="293" w:lineRule="auto"/>
        <w:rPr>
          <w:sz w:val="20"/>
          <w:szCs w:val="20"/>
          <w:color w:val="auto"/>
        </w:rPr>
      </w:pPr>
      <w:r>
        <w:rPr>
          <w:rFonts w:ascii="Arial" w:cs="Arial" w:eastAsia="Arial" w:hAnsi="Arial"/>
          <w:sz w:val="14"/>
          <w:szCs w:val="14"/>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63" w:lineRule="exact"/>
        <w:rPr>
          <w:sz w:val="20"/>
          <w:szCs w:val="20"/>
          <w:color w:val="auto"/>
        </w:rPr>
      </w:pPr>
    </w:p>
    <w:p>
      <w:pPr>
        <w:jc w:val="both"/>
        <w:ind w:firstLine="398"/>
        <w:spacing w:after="0" w:line="236" w:lineRule="auto"/>
        <w:rPr>
          <w:sz w:val="20"/>
          <w:szCs w:val="20"/>
          <w:color w:val="auto"/>
        </w:rPr>
      </w:pPr>
      <w:r>
        <w:rPr>
          <w:rFonts w:ascii="Arial" w:cs="Arial" w:eastAsia="Arial" w:hAnsi="Arial"/>
          <w:sz w:val="17"/>
          <w:szCs w:val="17"/>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99"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4"/>
          <w:szCs w:val="14"/>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57"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93"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6"/>
          <w:szCs w:val="16"/>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5" w:name="page76"/>
    <w:bookmarkEnd w:id="75"/>
    <w:p>
      <w:pPr>
        <w:jc w:val="both"/>
        <w:ind w:firstLine="398"/>
        <w:spacing w:after="0" w:line="252" w:lineRule="auto"/>
        <w:rPr>
          <w:sz w:val="20"/>
          <w:szCs w:val="20"/>
          <w:color w:val="auto"/>
        </w:rPr>
      </w:pPr>
      <w:r>
        <w:rPr>
          <w:rFonts w:ascii="Arial" w:cs="Arial" w:eastAsia="Arial" w:hAnsi="Arial"/>
          <w:sz w:val="16"/>
          <w:szCs w:val="16"/>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90"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4"/>
          <w:szCs w:val="14"/>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67"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4"/>
          <w:szCs w:val="14"/>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w:t>
      </w:r>
    </w:p>
    <w:p>
      <w:pPr>
        <w:jc w:val="both"/>
        <w:spacing w:after="0" w:line="272" w:lineRule="auto"/>
        <w:rPr>
          <w:sz w:val="20"/>
          <w:szCs w:val="20"/>
          <w:color w:val="auto"/>
        </w:rPr>
      </w:pPr>
      <w:r>
        <w:rPr>
          <w:rFonts w:ascii="Arial" w:cs="Arial" w:eastAsia="Arial" w:hAnsi="Arial"/>
          <w:sz w:val="15"/>
          <w:szCs w:val="15"/>
          <w:color w:val="auto"/>
        </w:rPr>
        <w:t xml:space="preserve">results of operations and cash flows. In addition, we face similar risks with respect to the RFS program. See </w:t>
      </w:r>
      <w:r>
        <w:rPr>
          <w:rFonts w:ascii="Arial" w:cs="Arial" w:eastAsia="Arial" w:hAnsi="Arial"/>
          <w:sz w:val="17"/>
          <w:szCs w:val="17"/>
          <w:i w:val="1"/>
          <w:iCs w:val="1"/>
          <w:color w:val="auto"/>
        </w:rPr>
        <w:t>—</w:t>
      </w:r>
      <w:r>
        <w:rPr>
          <w:rFonts w:ascii="Arial" w:cs="Arial" w:eastAsia="Arial" w:hAnsi="Arial"/>
          <w:sz w:val="15"/>
          <w:szCs w:val="15"/>
          <w:color w:val="auto"/>
        </w:rPr>
        <w:t xml:space="preserve"> “Existing,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87"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95" w:lineRule="exact"/>
        <w:rPr>
          <w:sz w:val="20"/>
          <w:szCs w:val="20"/>
          <w:color w:val="auto"/>
        </w:rPr>
      </w:pPr>
    </w:p>
    <w:p>
      <w:pPr>
        <w:jc w:val="both"/>
        <w:ind w:firstLine="398"/>
        <w:spacing w:after="0" w:line="296" w:lineRule="auto"/>
        <w:rPr>
          <w:sz w:val="20"/>
          <w:szCs w:val="20"/>
          <w:color w:val="auto"/>
        </w:rPr>
      </w:pPr>
      <w:r>
        <w:rPr>
          <w:rFonts w:ascii="Arial" w:cs="Arial" w:eastAsia="Arial" w:hAnsi="Arial"/>
          <w:sz w:val="14"/>
          <w:szCs w:val="14"/>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3" w:lineRule="exact"/>
        <w:rPr>
          <w:sz w:val="20"/>
          <w:szCs w:val="20"/>
          <w:color w:val="auto"/>
        </w:rPr>
      </w:pPr>
    </w:p>
    <w:p>
      <w:pPr>
        <w:jc w:val="both"/>
        <w:ind w:firstLine="398"/>
        <w:spacing w:after="0" w:line="293" w:lineRule="auto"/>
        <w:rPr>
          <w:sz w:val="20"/>
          <w:szCs w:val="20"/>
          <w:color w:val="auto"/>
        </w:rPr>
      </w:pPr>
      <w:r>
        <w:rPr>
          <w:rFonts w:ascii="Arial" w:cs="Arial" w:eastAsia="Arial" w:hAnsi="Arial"/>
          <w:sz w:val="14"/>
          <w:szCs w:val="14"/>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6" w:name="page77"/>
    <w:bookmarkEnd w:id="76"/>
    <w:p>
      <w:pPr>
        <w:jc w:val="both"/>
        <w:ind w:firstLine="398"/>
        <w:spacing w:after="0" w:line="255" w:lineRule="auto"/>
        <w:rPr>
          <w:sz w:val="20"/>
          <w:szCs w:val="20"/>
          <w:color w:val="auto"/>
        </w:rPr>
      </w:pPr>
      <w:r>
        <w:rPr>
          <w:rFonts w:ascii="Arial" w:cs="Arial" w:eastAsia="Arial" w:hAnsi="Arial"/>
          <w:sz w:val="16"/>
          <w:szCs w:val="16"/>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0" w:lineRule="exact"/>
        <w:rPr>
          <w:sz w:val="20"/>
          <w:szCs w:val="20"/>
          <w:color w:val="auto"/>
        </w:rPr>
      </w:pPr>
    </w:p>
    <w:p>
      <w:pPr>
        <w:jc w:val="both"/>
        <w:ind w:firstLine="398"/>
        <w:spacing w:after="0" w:line="252" w:lineRule="auto"/>
        <w:rPr>
          <w:sz w:val="20"/>
          <w:szCs w:val="20"/>
          <w:color w:val="auto"/>
        </w:rPr>
      </w:pPr>
      <w:r>
        <w:rPr>
          <w:rFonts w:ascii="Arial" w:cs="Arial" w:eastAsia="Arial" w:hAnsi="Arial"/>
          <w:sz w:val="16"/>
          <w:szCs w:val="16"/>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93"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4"/>
          <w:szCs w:val="14"/>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68"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“Business — Legal Proceedings.”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200"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4"/>
          <w:szCs w:val="14"/>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7" w:name="page78"/>
    <w:bookmarkEnd w:id="77"/>
    <w:p>
      <w:pPr>
        <w:jc w:val="both"/>
        <w:spacing w:after="0" w:line="239" w:lineRule="auto"/>
        <w:rPr>
          <w:sz w:val="20"/>
          <w:szCs w:val="20"/>
          <w:color w:val="auto"/>
        </w:rPr>
      </w:pPr>
      <w:r>
        <w:rPr>
          <w:rFonts w:ascii="Arial" w:cs="Arial" w:eastAsia="Arial" w:hAnsi="Arial"/>
          <w:sz w:val="17"/>
          <w:szCs w:val="17"/>
          <w:color w:val="auto"/>
        </w:rPr>
        <w:t>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9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44" w:lineRule="exact"/>
        <w:rPr>
          <w:sz w:val="20"/>
          <w:szCs w:val="20"/>
          <w:color w:val="auto"/>
        </w:rPr>
      </w:pPr>
    </w:p>
    <w:p>
      <w:pPr>
        <w:jc w:val="both"/>
        <w:ind w:firstLine="398"/>
        <w:spacing w:after="0" w:line="249" w:lineRule="auto"/>
        <w:rPr>
          <w:sz w:val="20"/>
          <w:szCs w:val="20"/>
          <w:color w:val="auto"/>
        </w:rPr>
      </w:pPr>
      <w:r>
        <w:rPr>
          <w:rFonts w:ascii="Arial" w:cs="Arial" w:eastAsia="Arial" w:hAnsi="Arial"/>
          <w:sz w:val="16"/>
          <w:szCs w:val="16"/>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Risks Related to Our Business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volatility in the price of oil, gasoline, diesel, natural gas, RNG, or Environmental Attribute prices could adversely affect our business.</w:t>
      </w:r>
    </w:p>
    <w:p>
      <w:pPr>
        <w:spacing w:after="0" w:line="5" w:lineRule="exact"/>
        <w:rPr>
          <w:sz w:val="20"/>
          <w:szCs w:val="20"/>
          <w:color w:val="auto"/>
        </w:rPr>
      </w:pPr>
    </w:p>
    <w:p>
      <w:pPr>
        <w:jc w:val="both"/>
        <w:ind w:firstLine="398"/>
        <w:spacing w:after="0" w:line="243" w:lineRule="auto"/>
        <w:rPr>
          <w:sz w:val="20"/>
          <w:szCs w:val="20"/>
          <w:color w:val="auto"/>
        </w:rPr>
      </w:pPr>
      <w:r>
        <w:rPr>
          <w:rFonts w:ascii="Arial" w:cs="Arial" w:eastAsia="Arial" w:hAnsi="Arial"/>
          <w:sz w:val="16"/>
          <w:szCs w:val="16"/>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8" w:name="page79"/>
    <w:bookmarkEnd w:id="78"/>
    <w:p>
      <w:pPr>
        <w:jc w:val="both"/>
        <w:ind w:firstLine="398"/>
        <w:spacing w:after="0" w:line="234" w:lineRule="auto"/>
        <w:rPr>
          <w:sz w:val="20"/>
          <w:szCs w:val="20"/>
          <w:color w:val="auto"/>
        </w:rPr>
      </w:pPr>
      <w:r>
        <w:rPr>
          <w:rFonts w:ascii="Arial" w:cs="Arial" w:eastAsia="Arial" w:hAnsi="Arial"/>
          <w:sz w:val="17"/>
          <w:szCs w:val="17"/>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99" w:lineRule="exact"/>
        <w:rPr>
          <w:sz w:val="20"/>
          <w:szCs w:val="20"/>
          <w:color w:val="auto"/>
        </w:rPr>
      </w:pPr>
    </w:p>
    <w:p>
      <w:pPr>
        <w:jc w:val="both"/>
        <w:spacing w:after="0" w:line="334" w:lineRule="auto"/>
        <w:rPr>
          <w:sz w:val="20"/>
          <w:szCs w:val="20"/>
          <w:color w:val="auto"/>
        </w:rPr>
      </w:pPr>
      <w:r>
        <w:rPr>
          <w:rFonts w:ascii="Arial" w:cs="Arial" w:eastAsia="Arial" w:hAnsi="Arial"/>
          <w:sz w:val="14"/>
          <w:szCs w:val="14"/>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6"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4"/>
          <w:szCs w:val="14"/>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67"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93"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93"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A prolonged environment of low prices or reduced demand for Renewable Power could have a material adverse effect on our business prospects, financial condition and results of operations</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(“ISOs”) and Regional Transmission Organizations (“RTOs”) that control and administer regional power markets.</w:t>
      </w:r>
    </w:p>
    <w:p>
      <w:pPr>
        <w:spacing w:after="0" w:line="194" w:lineRule="exact"/>
        <w:rPr>
          <w:sz w:val="20"/>
          <w:szCs w:val="20"/>
          <w:color w:val="auto"/>
        </w:rPr>
      </w:pPr>
    </w:p>
    <w:p>
      <w:pPr>
        <w:jc w:val="both"/>
        <w:spacing w:after="0" w:line="353" w:lineRule="auto"/>
        <w:rPr>
          <w:sz w:val="20"/>
          <w:szCs w:val="20"/>
          <w:color w:val="auto"/>
        </w:rPr>
      </w:pPr>
      <w:r>
        <w:rPr>
          <w:rFonts w:ascii="Arial" w:cs="Arial" w:eastAsia="Arial" w:hAnsi="Arial"/>
          <w:sz w:val="14"/>
          <w:szCs w:val="14"/>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9" w:name="page80"/>
    <w:bookmarkEnd w:id="79"/>
    <w:p>
      <w:pPr>
        <w:jc w:val="both"/>
        <w:ind w:firstLine="398"/>
        <w:spacing w:after="0" w:line="285" w:lineRule="auto"/>
        <w:rPr>
          <w:sz w:val="20"/>
          <w:szCs w:val="20"/>
          <w:color w:val="auto"/>
        </w:rPr>
      </w:pPr>
      <w:r>
        <w:rPr>
          <w:rFonts w:ascii="Arial" w:cs="Arial" w:eastAsia="Arial" w:hAnsi="Arial"/>
          <w:sz w:val="14"/>
          <w:szCs w:val="14"/>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6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99"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93"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4"/>
          <w:szCs w:val="14"/>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 and Industry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Risk Factors Relating to Our Biogas Capture Business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ability to acquire, convert, develop and operate Biogas Conversion Projects, as well as expand production at current Biogas Conversion Projects, is subject to many risks.</w:t>
      </w:r>
    </w:p>
    <w:p>
      <w:pPr>
        <w:spacing w:after="0" w:line="193"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4"/>
          <w:szCs w:val="14"/>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69" w:lineRule="exact"/>
        <w:rPr>
          <w:sz w:val="20"/>
          <w:szCs w:val="20"/>
          <w:color w:val="auto"/>
        </w:rPr>
      </w:pPr>
    </w:p>
    <w:p>
      <w:pPr>
        <w:jc w:val="both"/>
        <w:ind w:firstLine="398"/>
        <w:spacing w:after="0" w:line="296" w:lineRule="auto"/>
        <w:rPr>
          <w:sz w:val="20"/>
          <w:szCs w:val="20"/>
          <w:color w:val="auto"/>
        </w:rPr>
      </w:pPr>
      <w:r>
        <w:rPr>
          <w:rFonts w:ascii="Arial" w:cs="Arial" w:eastAsia="Arial" w:hAnsi="Arial"/>
          <w:sz w:val="14"/>
          <w:szCs w:val="14"/>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0" w:name="page81"/>
    <w:bookmarkEnd w:id="80"/>
    <w:p>
      <w:pPr>
        <w:spacing w:after="0" w:line="248" w:lineRule="auto"/>
        <w:rPr>
          <w:sz w:val="20"/>
          <w:szCs w:val="20"/>
          <w:color w:val="auto"/>
        </w:rPr>
      </w:pPr>
      <w:r>
        <w:rPr>
          <w:rFonts w:ascii="Arial" w:cs="Arial" w:eastAsia="Arial" w:hAnsi="Arial"/>
          <w:sz w:val="17"/>
          <w:szCs w:val="17"/>
          <w:color w:val="auto"/>
        </w:rPr>
        <w:t>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93" w:lineRule="exact"/>
        <w:rPr>
          <w:sz w:val="20"/>
          <w:szCs w:val="20"/>
          <w:color w:val="auto"/>
        </w:rPr>
      </w:pPr>
    </w:p>
    <w:p>
      <w:pPr>
        <w:ind w:firstLine="398"/>
        <w:spacing w:after="0" w:line="248" w:lineRule="auto"/>
        <w:rPr>
          <w:sz w:val="20"/>
          <w:szCs w:val="20"/>
          <w:color w:val="auto"/>
        </w:rPr>
      </w:pPr>
      <w:r>
        <w:rPr>
          <w:rFonts w:ascii="Arial" w:cs="Arial" w:eastAsia="Arial" w:hAnsi="Arial"/>
          <w:sz w:val="17"/>
          <w:szCs w:val="17"/>
          <w:color w:val="auto"/>
        </w:rPr>
        <w:t>Our ability to acquire, convert, develop and operate Biogas Conversion Projects, as well as expand production at current Biogas Conversion Projects, is subject to several additional risks, including:</w:t>
      </w:r>
    </w:p>
    <w:p>
      <w:pPr>
        <w:spacing w:after="0" w:line="193" w:lineRule="exact"/>
        <w:rPr>
          <w:sz w:val="20"/>
          <w:szCs w:val="20"/>
          <w:color w:val="auto"/>
        </w:rPr>
      </w:pPr>
    </w:p>
    <w:p>
      <w:pPr>
        <w:ind w:firstLine="397"/>
        <w:spacing w:after="0" w:line="237" w:lineRule="auto"/>
        <w:tabs>
          <w:tab w:leader="none" w:pos="4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ind w:left="500" w:hanging="10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energy commodity prices, such as natural gas and wholesale electricity prices, which could have a significant effect on our revenues and expenses;</w:t>
      </w:r>
    </w:p>
    <w:p>
      <w:pPr>
        <w:spacing w:after="0" w:line="13" w:lineRule="exact"/>
        <w:rPr>
          <w:rFonts w:ascii="Arial" w:cs="Arial" w:eastAsia="Arial" w:hAnsi="Arial"/>
          <w:sz w:val="14"/>
          <w:szCs w:val="14"/>
          <w:color w:val="auto"/>
        </w:rPr>
      </w:pPr>
    </w:p>
    <w:p>
      <w:pPr>
        <w:ind w:firstLine="397"/>
        <w:spacing w:after="0" w:line="228" w:lineRule="auto"/>
        <w:tabs>
          <w:tab w:leader="none" w:pos="50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 w:lineRule="exact"/>
        <w:rPr>
          <w:rFonts w:ascii="Arial" w:cs="Arial" w:eastAsia="Arial" w:hAnsi="Arial"/>
          <w:sz w:val="17"/>
          <w:szCs w:val="17"/>
          <w:color w:val="auto"/>
        </w:rPr>
      </w:pPr>
    </w:p>
    <w:p>
      <w:pPr>
        <w:ind w:firstLine="397"/>
        <w:spacing w:after="0" w:line="228" w:lineRule="auto"/>
        <w:tabs>
          <w:tab w:leader="none" w:pos="4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 w:lineRule="exact"/>
        <w:rPr>
          <w:rFonts w:ascii="Arial" w:cs="Arial" w:eastAsia="Arial" w:hAnsi="Arial"/>
          <w:sz w:val="17"/>
          <w:szCs w:val="17"/>
          <w:color w:val="auto"/>
        </w:rPr>
      </w:pPr>
    </w:p>
    <w:p>
      <w:pPr>
        <w:ind w:firstLine="397"/>
        <w:spacing w:after="0" w:line="228" w:lineRule="auto"/>
        <w:tabs>
          <w:tab w:leader="none" w:pos="522"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 w:lineRule="exact"/>
        <w:rPr>
          <w:rFonts w:ascii="Arial" w:cs="Arial" w:eastAsia="Arial" w:hAnsi="Arial"/>
          <w:sz w:val="17"/>
          <w:szCs w:val="17"/>
          <w:color w:val="auto"/>
        </w:rPr>
      </w:pPr>
    </w:p>
    <w:p>
      <w:pPr>
        <w:jc w:val="both"/>
        <w:ind w:firstLine="397"/>
        <w:spacing w:after="0" w:line="228" w:lineRule="auto"/>
        <w:tabs>
          <w:tab w:leader="none" w:pos="4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2" w:lineRule="exact"/>
        <w:rPr>
          <w:rFonts w:ascii="Arial" w:cs="Arial" w:eastAsia="Arial" w:hAnsi="Arial"/>
          <w:sz w:val="17"/>
          <w:szCs w:val="17"/>
          <w:color w:val="auto"/>
        </w:rPr>
      </w:pPr>
    </w:p>
    <w:p>
      <w:pPr>
        <w:ind w:left="500" w:hanging="103"/>
        <w:spacing w:after="0" w:line="22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accidents involving personal injury or the loss of life;</w:t>
      </w:r>
    </w:p>
    <w:p>
      <w:pPr>
        <w:ind w:left="500" w:hanging="103"/>
        <w:spacing w:after="0" w:line="22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entering into markets where we have less experience, such as our Biogas Conversion Projects for biogas recovery at livestock farms;</w:t>
      </w:r>
    </w:p>
    <w:p>
      <w:pPr>
        <w:ind w:firstLine="397"/>
        <w:spacing w:after="0" w:line="268" w:lineRule="auto"/>
        <w:tabs>
          <w:tab w:leader="none" w:pos="49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ind w:left="500" w:hanging="103"/>
        <w:spacing w:after="0" w:line="22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failures or delays in obtaining desired or necessary land rights, including ownership, leases, easements, zoning rights and building permits;</w:t>
      </w:r>
    </w:p>
    <w:p>
      <w:pPr>
        <w:ind w:firstLine="397"/>
        <w:spacing w:after="0" w:line="243" w:lineRule="auto"/>
        <w:tabs>
          <w:tab w:leader="none" w:pos="5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ind w:left="500" w:hanging="10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obtaining and keeping in good standing permits, authorizations and consents from local city, county, state and US federal government agencies and organizations;</w:t>
      </w:r>
    </w:p>
    <w:p>
      <w:pPr>
        <w:spacing w:after="0" w:line="25" w:lineRule="exact"/>
        <w:rPr>
          <w:rFonts w:ascii="Arial" w:cs="Arial" w:eastAsia="Arial" w:hAnsi="Arial"/>
          <w:sz w:val="14"/>
          <w:szCs w:val="14"/>
          <w:color w:val="auto"/>
        </w:rPr>
      </w:pPr>
    </w:p>
    <w:p>
      <w:pPr>
        <w:ind w:firstLine="397"/>
        <w:spacing w:after="0" w:line="228" w:lineRule="auto"/>
        <w:tabs>
          <w:tab w:leader="none" w:pos="4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penalties, including potential termination, under short-term and long-term contracts for failing to produce or deliver a sufficient quantity and acceptable quality of RNG in accordance with our contractual obligations;</w:t>
      </w:r>
    </w:p>
    <w:p>
      <w:pPr>
        <w:spacing w:after="0" w:line="1" w:lineRule="exact"/>
        <w:rPr>
          <w:rFonts w:ascii="Arial" w:cs="Arial" w:eastAsia="Arial" w:hAnsi="Arial"/>
          <w:sz w:val="17"/>
          <w:szCs w:val="17"/>
          <w:color w:val="auto"/>
        </w:rPr>
      </w:pPr>
    </w:p>
    <w:p>
      <w:pPr>
        <w:ind w:left="500" w:hanging="10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unknown regulatory changes related to the transportation of RNG, which may increase the transportation cost for delivering under our contracts then in effect;</w:t>
      </w:r>
    </w:p>
    <w:p>
      <w:pPr>
        <w:spacing w:after="0" w:line="25" w:lineRule="exact"/>
        <w:rPr>
          <w:rFonts w:ascii="Arial" w:cs="Arial" w:eastAsia="Arial" w:hAnsi="Arial"/>
          <w:sz w:val="14"/>
          <w:szCs w:val="14"/>
          <w:color w:val="auto"/>
        </w:rPr>
      </w:pPr>
    </w:p>
    <w:p>
      <w:pPr>
        <w:ind w:firstLine="397"/>
        <w:spacing w:after="0" w:line="228" w:lineRule="auto"/>
        <w:tabs>
          <w:tab w:leader="none" w:pos="4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consent and authorization of local utilities or other energy development off-takers to ensure successful interconnection to energy grids to enable power and gas sales; and</w:t>
      </w:r>
    </w:p>
    <w:p>
      <w:pPr>
        <w:spacing w:after="0" w:line="1" w:lineRule="exact"/>
        <w:rPr>
          <w:rFonts w:ascii="Arial" w:cs="Arial" w:eastAsia="Arial" w:hAnsi="Arial"/>
          <w:sz w:val="17"/>
          <w:szCs w:val="17"/>
          <w:color w:val="auto"/>
        </w:rPr>
      </w:pPr>
    </w:p>
    <w:p>
      <w:pPr>
        <w:ind w:left="500" w:hanging="103"/>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identifying, obtaining and permitting suitable sites for new Biogas Conversion Projects.</w:t>
      </w:r>
    </w:p>
    <w:p>
      <w:pPr>
        <w:spacing w:after="0" w:line="201"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93" w:lineRule="exact"/>
        <w:rPr>
          <w:sz w:val="20"/>
          <w:szCs w:val="20"/>
          <w:color w:val="auto"/>
        </w:rPr>
      </w:pPr>
    </w:p>
    <w:p>
      <w:pPr>
        <w:jc w:val="both"/>
        <w:ind w:firstLine="398"/>
        <w:spacing w:after="0" w:line="334" w:lineRule="auto"/>
        <w:rPr>
          <w:sz w:val="20"/>
          <w:szCs w:val="20"/>
          <w:color w:val="auto"/>
        </w:rPr>
      </w:pPr>
      <w:r>
        <w:rPr>
          <w:rFonts w:ascii="Arial" w:cs="Arial" w:eastAsia="Arial" w:hAnsi="Arial"/>
          <w:sz w:val="14"/>
          <w:szCs w:val="14"/>
          <w:color w:val="auto"/>
        </w:rPr>
        <w:t>Multiple factors, including lower levels of gas collection and delays in commencement and completion of construction, have negatively impacted our business during the nine months ended September 30, 2022. While we continue to execute on our business plan, we expect these factors to continue during 2023.</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93" w:lineRule="exact"/>
        <w:rPr>
          <w:sz w:val="20"/>
          <w:szCs w:val="20"/>
          <w:color w:val="auto"/>
        </w:rPr>
      </w:pPr>
    </w:p>
    <w:p>
      <w:pPr>
        <w:jc w:val="both"/>
        <w:ind w:firstLine="398"/>
        <w:spacing w:after="0" w:line="235" w:lineRule="auto"/>
        <w:rPr>
          <w:sz w:val="20"/>
          <w:szCs w:val="20"/>
          <w:color w:val="auto"/>
        </w:rPr>
      </w:pPr>
      <w:r>
        <w:rPr>
          <w:rFonts w:ascii="Arial" w:cs="Arial" w:eastAsia="Arial" w:hAnsi="Arial"/>
          <w:sz w:val="17"/>
          <w:szCs w:val="17"/>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1" w:name="page82"/>
    <w:bookmarkEnd w:id="81"/>
    <w:p>
      <w:pPr>
        <w:jc w:val="both"/>
        <w:ind w:left="1"/>
        <w:spacing w:after="0" w:line="239" w:lineRule="auto"/>
        <w:rPr>
          <w:sz w:val="20"/>
          <w:szCs w:val="20"/>
          <w:color w:val="auto"/>
        </w:rPr>
      </w:pPr>
      <w:r>
        <w:rPr>
          <w:rFonts w:ascii="Arial" w:cs="Arial" w:eastAsia="Arial" w:hAnsi="Arial"/>
          <w:sz w:val="17"/>
          <w:szCs w:val="17"/>
          <w:color w:val="auto"/>
        </w:rPr>
        <w:t>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99"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Additional risks related to acquiring existing projects, include:</w:t>
      </w:r>
    </w:p>
    <w:p>
      <w:pPr>
        <w:ind w:left="501" w:hanging="103"/>
        <w:spacing w:after="0" w:line="235" w:lineRule="auto"/>
        <w:tabs>
          <w:tab w:leader="none" w:pos="5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purchase price we pay could significantly deplete our cash reserves or result in dilution to our existing stockholders;</w:t>
      </w:r>
    </w:p>
    <w:p>
      <w:pPr>
        <w:ind w:left="501" w:hanging="103"/>
        <w:spacing w:after="0" w:line="228" w:lineRule="auto"/>
        <w:tabs>
          <w:tab w:leader="none" w:pos="5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acquired companies or assets may not improve our customer offerings or market position as planned;</w:t>
      </w:r>
    </w:p>
    <w:p>
      <w:pPr>
        <w:ind w:left="501" w:hanging="103"/>
        <w:spacing w:after="0" w:line="213" w:lineRule="auto"/>
        <w:tabs>
          <w:tab w:leader="none" w:pos="5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companies;</w:t>
      </w:r>
    </w:p>
    <w:p>
      <w:pPr>
        <w:ind w:left="521" w:hanging="123"/>
        <w:spacing w:after="0"/>
        <w:tabs>
          <w:tab w:leader="none" w:pos="521" w:val="left"/>
        </w:tabs>
        <w:numPr>
          <w:ilvl w:val="0"/>
          <w:numId w:val="43"/>
        </w:numPr>
        <w:rPr>
          <w:rFonts w:ascii="Arial" w:cs="Arial" w:eastAsia="Arial" w:hAnsi="Arial"/>
          <w:sz w:val="14"/>
          <w:szCs w:val="14"/>
          <w:color w:val="auto"/>
        </w:rPr>
      </w:pPr>
      <w:r>
        <w:rPr>
          <w:rFonts w:ascii="Arial" w:cs="Arial" w:eastAsia="Arial" w:hAnsi="Arial"/>
          <w:sz w:val="14"/>
          <w:szCs w:val="14"/>
          <w:color w:val="auto"/>
        </w:rPr>
        <w:t>key personnel and counterparties of the acquired companies may terminate their relationships with the acquired companies as a result of or following the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7"/>
          <w:szCs w:val="17"/>
          <w:color w:val="auto"/>
        </w:rPr>
        <w:t>acquisition;</w:t>
      </w:r>
    </w:p>
    <w:p>
      <w:pPr>
        <w:ind w:left="501" w:hanging="103"/>
        <w:spacing w:after="0"/>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experience additional financial and accounting challenges and complexities in certain areas, such as tax planning and financial reporting;</w:t>
      </w:r>
    </w:p>
    <w:p>
      <w:pPr>
        <w:spacing w:after="0" w:line="2" w:lineRule="exact"/>
        <w:rPr>
          <w:rFonts w:ascii="Arial" w:cs="Arial" w:eastAsia="Arial" w:hAnsi="Arial"/>
          <w:sz w:val="16"/>
          <w:szCs w:val="16"/>
          <w:color w:val="auto"/>
        </w:rPr>
      </w:pPr>
    </w:p>
    <w:p>
      <w:pPr>
        <w:ind w:left="501" w:hanging="103"/>
        <w:spacing w:after="0" w:line="228" w:lineRule="auto"/>
        <w:tabs>
          <w:tab w:leader="none" w:pos="5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incur additional costs and expenses related to complying with additional laws, rules or regulations in new jurisdictions;</w:t>
      </w:r>
    </w:p>
    <w:p>
      <w:pPr>
        <w:ind w:left="1" w:firstLine="397"/>
        <w:spacing w:after="0" w:line="228" w:lineRule="auto"/>
        <w:tabs>
          <w:tab w:leader="none" w:pos="49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 w:lineRule="exact"/>
        <w:rPr>
          <w:rFonts w:ascii="Arial" w:cs="Arial" w:eastAsia="Arial" w:hAnsi="Arial"/>
          <w:sz w:val="17"/>
          <w:szCs w:val="17"/>
          <w:color w:val="auto"/>
        </w:rPr>
      </w:pPr>
    </w:p>
    <w:p>
      <w:pPr>
        <w:ind w:left="1" w:firstLine="397"/>
        <w:spacing w:after="0" w:line="228" w:lineRule="auto"/>
        <w:tabs>
          <w:tab w:leader="none" w:pos="498"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diverse enterprises;</w:t>
      </w:r>
    </w:p>
    <w:p>
      <w:pPr>
        <w:spacing w:after="0" w:line="1" w:lineRule="exact"/>
        <w:rPr>
          <w:rFonts w:ascii="Arial" w:cs="Arial" w:eastAsia="Arial" w:hAnsi="Arial"/>
          <w:sz w:val="17"/>
          <w:szCs w:val="17"/>
          <w:color w:val="auto"/>
        </w:rPr>
      </w:pPr>
    </w:p>
    <w:p>
      <w:pPr>
        <w:ind w:left="501" w:hanging="103"/>
        <w:spacing w:after="0" w:line="228" w:lineRule="auto"/>
        <w:tabs>
          <w:tab w:leader="none" w:pos="5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incur one-time write-offs or restructuring charges in connection with an acquisition;</w:t>
      </w:r>
    </w:p>
    <w:p>
      <w:pPr>
        <w:ind w:left="501" w:hanging="103"/>
        <w:spacing w:after="0"/>
        <w:tabs>
          <w:tab w:leader="none" w:pos="501"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may acquire goodwill and other intangible assets that are subject to amortization or impairment tests, which could result in future charges to earnings; and</w:t>
      </w:r>
    </w:p>
    <w:p>
      <w:pPr>
        <w:spacing w:after="0" w:line="25" w:lineRule="exact"/>
        <w:rPr>
          <w:rFonts w:ascii="Arial" w:cs="Arial" w:eastAsia="Arial" w:hAnsi="Arial"/>
          <w:sz w:val="14"/>
          <w:szCs w:val="14"/>
          <w:color w:val="auto"/>
        </w:rPr>
      </w:pPr>
    </w:p>
    <w:p>
      <w:pPr>
        <w:ind w:left="501" w:hanging="103"/>
        <w:spacing w:after="0"/>
        <w:tabs>
          <w:tab w:leader="none" w:pos="5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be able to realize the cost savings or other financial benefits we anticipated.</w:t>
      </w:r>
    </w:p>
    <w:p>
      <w:pPr>
        <w:spacing w:after="0" w:line="201" w:lineRule="exact"/>
        <w:rPr>
          <w:sz w:val="20"/>
          <w:szCs w:val="20"/>
          <w:color w:val="auto"/>
        </w:rPr>
      </w:pPr>
    </w:p>
    <w:p>
      <w:pPr>
        <w:jc w:val="both"/>
        <w:ind w:left="1"/>
        <w:spacing w:after="0" w:line="253" w:lineRule="auto"/>
        <w:rPr>
          <w:sz w:val="20"/>
          <w:szCs w:val="20"/>
          <w:color w:val="auto"/>
        </w:rPr>
      </w:pPr>
      <w:r>
        <w:rPr>
          <w:rFonts w:ascii="Arial" w:cs="Arial" w:eastAsia="Arial" w:hAnsi="Arial"/>
          <w:sz w:val="16"/>
          <w:szCs w:val="16"/>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89" w:lineRule="exact"/>
        <w:rPr>
          <w:sz w:val="20"/>
          <w:szCs w:val="20"/>
          <w:color w:val="auto"/>
        </w:rPr>
      </w:pPr>
    </w:p>
    <w:p>
      <w:pPr>
        <w:jc w:val="both"/>
        <w:ind w:left="1" w:firstLine="398"/>
        <w:spacing w:after="0" w:line="288" w:lineRule="auto"/>
        <w:rPr>
          <w:sz w:val="20"/>
          <w:szCs w:val="20"/>
          <w:color w:val="auto"/>
        </w:rPr>
      </w:pPr>
      <w:r>
        <w:rPr>
          <w:rFonts w:ascii="Arial" w:cs="Arial" w:eastAsia="Arial" w:hAnsi="Arial"/>
          <w:sz w:val="14"/>
          <w:szCs w:val="14"/>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70" w:lineRule="exact"/>
        <w:rPr>
          <w:sz w:val="20"/>
          <w:szCs w:val="20"/>
          <w:color w:val="auto"/>
        </w:rPr>
      </w:pPr>
    </w:p>
    <w:p>
      <w:pPr>
        <w:jc w:val="both"/>
        <w:ind w:left="1" w:firstLine="398"/>
        <w:spacing w:after="0" w:line="248" w:lineRule="auto"/>
        <w:rPr>
          <w:sz w:val="20"/>
          <w:szCs w:val="20"/>
          <w:color w:val="auto"/>
        </w:rPr>
      </w:pPr>
      <w:r>
        <w:rPr>
          <w:rFonts w:ascii="Arial" w:cs="Arial" w:eastAsia="Arial" w:hAnsi="Arial"/>
          <w:sz w:val="16"/>
          <w:szCs w:val="16"/>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93" w:lineRule="exact"/>
        <w:rPr>
          <w:sz w:val="20"/>
          <w:szCs w:val="20"/>
          <w:color w:val="auto"/>
        </w:rPr>
      </w:pPr>
    </w:p>
    <w:p>
      <w:pPr>
        <w:jc w:val="both"/>
        <w:ind w:left="1"/>
        <w:spacing w:after="0" w:line="315" w:lineRule="auto"/>
        <w:rPr>
          <w:sz w:val="20"/>
          <w:szCs w:val="20"/>
          <w:color w:val="auto"/>
        </w:rPr>
      </w:pPr>
      <w:r>
        <w:rPr>
          <w:rFonts w:ascii="Arial" w:cs="Arial" w:eastAsia="Arial" w:hAnsi="Arial"/>
          <w:sz w:val="14"/>
          <w:szCs w:val="14"/>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49" w:lineRule="exact"/>
        <w:rPr>
          <w:sz w:val="20"/>
          <w:szCs w:val="20"/>
          <w:color w:val="auto"/>
        </w:rPr>
      </w:pPr>
    </w:p>
    <w:p>
      <w:pPr>
        <w:jc w:val="both"/>
        <w:ind w:left="1" w:firstLine="398"/>
        <w:spacing w:after="0" w:line="288" w:lineRule="auto"/>
        <w:rPr>
          <w:sz w:val="20"/>
          <w:szCs w:val="20"/>
          <w:color w:val="auto"/>
        </w:rPr>
      </w:pPr>
      <w:r>
        <w:rPr>
          <w:rFonts w:ascii="Arial" w:cs="Arial" w:eastAsia="Arial" w:hAnsi="Arial"/>
          <w:sz w:val="14"/>
          <w:szCs w:val="14"/>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w:t>
      </w:r>
    </w:p>
    <w:p>
      <w:pPr>
        <w:spacing w:after="0" w:line="1" w:lineRule="exact"/>
        <w:rPr>
          <w:sz w:val="20"/>
          <w:szCs w:val="20"/>
          <w:color w:val="auto"/>
        </w:rPr>
      </w:pPr>
    </w:p>
    <w:p>
      <w:pPr>
        <w:jc w:val="both"/>
        <w:ind w:left="1" w:hanging="1"/>
        <w:spacing w:after="0" w:line="233" w:lineRule="auto"/>
        <w:tabs>
          <w:tab w:leader="none" w:pos="303"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60" w:right="339" w:bottom="1440" w:gutter="0" w:footer="0" w:header="0"/>
        </w:sectPr>
      </w:pPr>
    </w:p>
    <w:bookmarkStart w:id="82" w:name="page83"/>
    <w:bookmarkEnd w:id="82"/>
    <w:p>
      <w:pPr>
        <w:jc w:val="both"/>
        <w:ind w:firstLine="398"/>
        <w:spacing w:after="0" w:line="286" w:lineRule="auto"/>
        <w:rPr>
          <w:sz w:val="20"/>
          <w:szCs w:val="20"/>
          <w:color w:val="auto"/>
        </w:rPr>
      </w:pPr>
      <w:r>
        <w:rPr>
          <w:rFonts w:ascii="Arial" w:cs="Arial" w:eastAsia="Arial" w:hAnsi="Arial"/>
          <w:sz w:val="14"/>
          <w:szCs w:val="14"/>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Construction, development and operation of our Biogas Conversion Projects involves significant risks and hazards.</w:t>
      </w:r>
    </w:p>
    <w:p>
      <w:pPr>
        <w:spacing w:after="0" w:line="215"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93" w:lineRule="exact"/>
        <w:rPr>
          <w:sz w:val="20"/>
          <w:szCs w:val="20"/>
          <w:color w:val="auto"/>
        </w:rPr>
      </w:pPr>
    </w:p>
    <w:p>
      <w:pPr>
        <w:jc w:val="both"/>
        <w:ind w:firstLine="398"/>
        <w:spacing w:after="0" w:line="246" w:lineRule="auto"/>
        <w:rPr>
          <w:sz w:val="20"/>
          <w:szCs w:val="20"/>
          <w:color w:val="auto"/>
        </w:rPr>
      </w:pPr>
      <w:r>
        <w:rPr>
          <w:rFonts w:ascii="Arial" w:cs="Arial" w:eastAsia="Arial" w:hAnsi="Arial"/>
          <w:sz w:val="16"/>
          <w:szCs w:val="16"/>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94"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93" w:lineRule="exact"/>
        <w:rPr>
          <w:sz w:val="20"/>
          <w:szCs w:val="20"/>
          <w:color w:val="auto"/>
        </w:rPr>
      </w:pPr>
    </w:p>
    <w:p>
      <w:pPr>
        <w:jc w:val="both"/>
        <w:ind w:firstLine="398"/>
        <w:spacing w:after="0" w:line="285" w:lineRule="auto"/>
        <w:rPr>
          <w:sz w:val="20"/>
          <w:szCs w:val="20"/>
          <w:color w:val="auto"/>
        </w:rPr>
      </w:pPr>
      <w:r>
        <w:rPr>
          <w:rFonts w:ascii="Arial" w:cs="Arial" w:eastAsia="Arial" w:hAnsi="Arial"/>
          <w:sz w:val="14"/>
          <w:szCs w:val="14"/>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7"/>
          <w:szCs w:val="17"/>
          <w:b w:val="1"/>
          <w:bCs w:val="1"/>
          <w:i w:val="1"/>
          <w:iCs w:val="1"/>
          <w:color w:val="auto"/>
        </w:rPr>
        <w:t>the various contractual arrangements under which we operate, including pursuant to a purchase and sale agreement related to the sale of our Environmental Attributes.</w:t>
      </w:r>
    </w:p>
    <w:p>
      <w:pPr>
        <w:spacing w:after="0" w:line="193"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99"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99" w:lineRule="exact"/>
        <w:rPr>
          <w:sz w:val="20"/>
          <w:szCs w:val="20"/>
          <w:color w:val="auto"/>
        </w:rPr>
      </w:pPr>
    </w:p>
    <w:p>
      <w:pPr>
        <w:jc w:val="both"/>
        <w:ind w:firstLine="398"/>
        <w:spacing w:after="0" w:line="296" w:lineRule="auto"/>
        <w:rPr>
          <w:sz w:val="20"/>
          <w:szCs w:val="20"/>
          <w:color w:val="auto"/>
        </w:rPr>
      </w:pPr>
      <w:r>
        <w:rPr>
          <w:rFonts w:ascii="Arial" w:cs="Arial" w:eastAsia="Arial" w:hAnsi="Arial"/>
          <w:sz w:val="14"/>
          <w:szCs w:val="14"/>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63"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9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4"/>
          <w:szCs w:val="14"/>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36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99" w:lineRule="exact"/>
        <w:rPr>
          <w:sz w:val="20"/>
          <w:szCs w:val="20"/>
          <w:color w:val="auto"/>
        </w:rPr>
      </w:pPr>
    </w:p>
    <w:p>
      <w:pPr>
        <w:jc w:val="both"/>
        <w:ind w:firstLine="398"/>
        <w:spacing w:after="0" w:line="235" w:lineRule="auto"/>
        <w:rPr>
          <w:sz w:val="20"/>
          <w:szCs w:val="20"/>
          <w:color w:val="auto"/>
        </w:rPr>
      </w:pPr>
      <w:r>
        <w:rPr>
          <w:rFonts w:ascii="Arial" w:cs="Arial" w:eastAsia="Arial" w:hAnsi="Arial"/>
          <w:sz w:val="17"/>
          <w:szCs w:val="17"/>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4" w:name="page85"/>
    <w:bookmarkEnd w:id="84"/>
    <w:p>
      <w:pPr>
        <w:jc w:val="both"/>
        <w:ind w:left="1"/>
        <w:spacing w:after="0" w:line="234" w:lineRule="auto"/>
        <w:rPr>
          <w:sz w:val="20"/>
          <w:szCs w:val="20"/>
          <w:color w:val="auto"/>
        </w:rPr>
      </w:pPr>
      <w:r>
        <w:rPr>
          <w:rFonts w:ascii="Arial" w:cs="Arial" w:eastAsia="Arial" w:hAnsi="Arial"/>
          <w:sz w:val="17"/>
          <w:szCs w:val="17"/>
          <w:color w:val="auto"/>
        </w:rPr>
        <w:t>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99" w:lineRule="exact"/>
        <w:rPr>
          <w:sz w:val="20"/>
          <w:szCs w:val="20"/>
          <w:color w:val="auto"/>
        </w:rPr>
      </w:pPr>
    </w:p>
    <w:p>
      <w:pPr>
        <w:jc w:val="both"/>
        <w:ind w:left="1"/>
        <w:spacing w:after="0" w:line="236" w:lineRule="auto"/>
        <w:rPr>
          <w:sz w:val="20"/>
          <w:szCs w:val="20"/>
          <w:color w:val="auto"/>
        </w:rPr>
      </w:pPr>
      <w:r>
        <w:rPr>
          <w:rFonts w:ascii="Arial" w:cs="Arial" w:eastAsia="Arial" w:hAnsi="Arial"/>
          <w:sz w:val="17"/>
          <w:szCs w:val="17"/>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200" w:lineRule="exact"/>
        <w:rPr>
          <w:sz w:val="20"/>
          <w:szCs w:val="20"/>
          <w:color w:val="auto"/>
        </w:rPr>
      </w:pPr>
    </w:p>
    <w:p>
      <w:pPr>
        <w:jc w:val="both"/>
        <w:ind w:left="1" w:firstLine="398"/>
        <w:spacing w:after="0" w:line="290" w:lineRule="auto"/>
        <w:rPr>
          <w:sz w:val="20"/>
          <w:szCs w:val="20"/>
          <w:color w:val="auto"/>
        </w:rPr>
      </w:pPr>
      <w:r>
        <w:rPr>
          <w:rFonts w:ascii="Arial" w:cs="Arial" w:eastAsia="Arial" w:hAnsi="Arial"/>
          <w:sz w:val="14"/>
          <w:szCs w:val="14"/>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67" w:lineRule="exact"/>
        <w:rPr>
          <w:sz w:val="20"/>
          <w:szCs w:val="20"/>
          <w:color w:val="auto"/>
        </w:rPr>
      </w:pPr>
    </w:p>
    <w:p>
      <w:pPr>
        <w:jc w:val="both"/>
        <w:ind w:left="1"/>
        <w:spacing w:after="0" w:line="279" w:lineRule="auto"/>
        <w:rPr>
          <w:sz w:val="20"/>
          <w:szCs w:val="20"/>
          <w:color w:val="auto"/>
        </w:rPr>
      </w:pPr>
      <w:r>
        <w:rPr>
          <w:rFonts w:ascii="Arial" w:cs="Arial" w:eastAsia="Arial" w:hAnsi="Arial"/>
          <w:sz w:val="16"/>
          <w:szCs w:val="16"/>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69" w:lineRule="exact"/>
        <w:rPr>
          <w:sz w:val="20"/>
          <w:szCs w:val="20"/>
          <w:color w:val="auto"/>
        </w:rPr>
      </w:pPr>
    </w:p>
    <w:p>
      <w:pPr>
        <w:jc w:val="both"/>
        <w:ind w:left="1" w:firstLine="398"/>
        <w:spacing w:after="0" w:line="246" w:lineRule="auto"/>
        <w:rPr>
          <w:sz w:val="20"/>
          <w:szCs w:val="20"/>
          <w:color w:val="auto"/>
        </w:rPr>
      </w:pPr>
      <w:r>
        <w:rPr>
          <w:rFonts w:ascii="Arial" w:cs="Arial" w:eastAsia="Arial" w:hAnsi="Arial"/>
          <w:sz w:val="16"/>
          <w:szCs w:val="16"/>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94" w:lineRule="exact"/>
        <w:rPr>
          <w:sz w:val="20"/>
          <w:szCs w:val="20"/>
          <w:color w:val="auto"/>
        </w:rPr>
      </w:pPr>
    </w:p>
    <w:p>
      <w:pPr>
        <w:jc w:val="both"/>
        <w:ind w:left="1"/>
        <w:spacing w:after="0" w:line="248" w:lineRule="auto"/>
        <w:rPr>
          <w:sz w:val="20"/>
          <w:szCs w:val="20"/>
          <w:color w:val="auto"/>
        </w:rPr>
      </w:pPr>
      <w:r>
        <w:rPr>
          <w:rFonts w:ascii="Arial" w:cs="Arial" w:eastAsia="Arial" w:hAnsi="Arial"/>
          <w:sz w:val="17"/>
          <w:szCs w:val="17"/>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93" w:lineRule="exact"/>
        <w:rPr>
          <w:sz w:val="20"/>
          <w:szCs w:val="20"/>
          <w:color w:val="auto"/>
        </w:rPr>
      </w:pPr>
    </w:p>
    <w:p>
      <w:pPr>
        <w:jc w:val="both"/>
        <w:ind w:left="1" w:firstLine="398"/>
        <w:spacing w:after="0" w:line="283" w:lineRule="auto"/>
        <w:rPr>
          <w:sz w:val="20"/>
          <w:szCs w:val="20"/>
          <w:color w:val="auto"/>
        </w:rPr>
      </w:pPr>
      <w:r>
        <w:rPr>
          <w:rFonts w:ascii="Arial" w:cs="Arial" w:eastAsia="Arial" w:hAnsi="Arial"/>
          <w:sz w:val="14"/>
          <w:szCs w:val="14"/>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w:t>
      </w:r>
    </w:p>
    <w:p>
      <w:pPr>
        <w:jc w:val="both"/>
        <w:ind w:left="1" w:hanging="1"/>
        <w:spacing w:after="0" w:line="286" w:lineRule="auto"/>
        <w:tabs>
          <w:tab w:leader="none" w:pos="265"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0" w:lineRule="exact"/>
        <w:rPr>
          <w:sz w:val="20"/>
          <w:szCs w:val="20"/>
          <w:color w:val="auto"/>
        </w:rPr>
      </w:pPr>
    </w:p>
    <w:p>
      <w:pPr>
        <w:jc w:val="both"/>
        <w:ind w:left="1" w:firstLine="398"/>
        <w:spacing w:after="0" w:line="315" w:lineRule="auto"/>
        <w:rPr>
          <w:sz w:val="20"/>
          <w:szCs w:val="20"/>
          <w:color w:val="auto"/>
        </w:rPr>
      </w:pPr>
      <w:r>
        <w:rPr>
          <w:rFonts w:ascii="Arial" w:cs="Arial" w:eastAsia="Arial" w:hAnsi="Arial"/>
          <w:sz w:val="14"/>
          <w:szCs w:val="14"/>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685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860" w:right="339" w:bottom="1440" w:gutter="0" w:footer="0" w:header="0"/>
        </w:sectPr>
      </w:pPr>
    </w:p>
    <w:bookmarkStart w:id="85" w:name="page86"/>
    <w:bookmarkEnd w:id="85"/>
    <w:p>
      <w:pPr>
        <w:jc w:val="both"/>
        <w:spacing w:after="0" w:line="236" w:lineRule="auto"/>
        <w:rPr>
          <w:sz w:val="20"/>
          <w:szCs w:val="20"/>
          <w:color w:val="auto"/>
        </w:rPr>
      </w:pPr>
      <w:r>
        <w:rPr>
          <w:rFonts w:ascii="Arial" w:cs="Arial" w:eastAsia="Arial" w:hAnsi="Arial"/>
          <w:sz w:val="17"/>
          <w:szCs w:val="17"/>
          <w:color w:val="auto"/>
        </w:rPr>
        <w:t>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201"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83" w:lineRule="exact"/>
        <w:rPr>
          <w:sz w:val="20"/>
          <w:szCs w:val="20"/>
          <w:color w:val="auto"/>
        </w:rPr>
      </w:pPr>
    </w:p>
    <w:p>
      <w:pPr>
        <w:jc w:val="both"/>
        <w:ind w:firstLine="398"/>
        <w:spacing w:after="0" w:line="249" w:lineRule="auto"/>
        <w:rPr>
          <w:sz w:val="20"/>
          <w:szCs w:val="20"/>
          <w:color w:val="auto"/>
        </w:rPr>
      </w:pPr>
      <w:r>
        <w:rPr>
          <w:rFonts w:ascii="Arial" w:cs="Arial" w:eastAsia="Arial" w:hAnsi="Arial"/>
          <w:sz w:val="16"/>
          <w:szCs w:val="16"/>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80" w:lineRule="exact"/>
        <w:rPr>
          <w:sz w:val="20"/>
          <w:szCs w:val="20"/>
          <w:color w:val="auto"/>
        </w:rPr>
      </w:pPr>
    </w:p>
    <w:p>
      <w:pPr>
        <w:jc w:val="both"/>
        <w:ind w:firstLine="398"/>
        <w:spacing w:after="0" w:line="234" w:lineRule="auto"/>
        <w:rPr>
          <w:sz w:val="20"/>
          <w:szCs w:val="20"/>
          <w:color w:val="auto"/>
        </w:rPr>
      </w:pPr>
      <w:r>
        <w:rPr>
          <w:rFonts w:ascii="Arial" w:cs="Arial" w:eastAsia="Arial" w:hAnsi="Arial"/>
          <w:sz w:val="17"/>
          <w:szCs w:val="17"/>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200" w:lineRule="exact"/>
        <w:rPr>
          <w:sz w:val="20"/>
          <w:szCs w:val="20"/>
          <w:color w:val="auto"/>
        </w:rPr>
      </w:pPr>
    </w:p>
    <w:p>
      <w:pPr>
        <w:jc w:val="both"/>
        <w:ind w:firstLine="398"/>
        <w:spacing w:after="0" w:line="252" w:lineRule="auto"/>
        <w:rPr>
          <w:sz w:val="20"/>
          <w:szCs w:val="20"/>
          <w:color w:val="auto"/>
        </w:rPr>
      </w:pPr>
      <w:r>
        <w:rPr>
          <w:rFonts w:ascii="Arial" w:cs="Arial" w:eastAsia="Arial" w:hAnsi="Arial"/>
          <w:sz w:val="16"/>
          <w:szCs w:val="16"/>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80" w:lineRule="exact"/>
        <w:rPr>
          <w:sz w:val="20"/>
          <w:szCs w:val="20"/>
          <w:color w:val="auto"/>
        </w:rPr>
      </w:pPr>
    </w:p>
    <w:p>
      <w:pPr>
        <w:jc w:val="both"/>
        <w:ind w:firstLine="398"/>
        <w:spacing w:after="0" w:line="233" w:lineRule="auto"/>
        <w:rPr>
          <w:sz w:val="20"/>
          <w:szCs w:val="20"/>
          <w:color w:val="auto"/>
        </w:rPr>
      </w:pPr>
      <w:r>
        <w:rPr>
          <w:rFonts w:ascii="Arial" w:cs="Arial" w:eastAsia="Arial" w:hAnsi="Arial"/>
          <w:sz w:val="17"/>
          <w:szCs w:val="17"/>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200" w:lineRule="exact"/>
        <w:rPr>
          <w:sz w:val="20"/>
          <w:szCs w:val="20"/>
          <w:color w:val="auto"/>
        </w:rPr>
      </w:pPr>
    </w:p>
    <w:p>
      <w:pPr>
        <w:jc w:val="both"/>
        <w:ind w:firstLine="398"/>
        <w:spacing w:after="0" w:line="315" w:lineRule="auto"/>
        <w:rPr>
          <w:sz w:val="20"/>
          <w:szCs w:val="20"/>
          <w:color w:val="auto"/>
        </w:rPr>
      </w:pPr>
      <w:r>
        <w:rPr>
          <w:rFonts w:ascii="Arial" w:cs="Arial" w:eastAsia="Arial" w:hAnsi="Arial"/>
          <w:sz w:val="14"/>
          <w:szCs w:val="14"/>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6" w:name="page87"/>
    <w:bookmarkEnd w:id="86"/>
    <w:p>
      <w:pPr>
        <w:jc w:val="both"/>
        <w:spacing w:after="0" w:line="236" w:lineRule="auto"/>
        <w:rPr>
          <w:sz w:val="20"/>
          <w:szCs w:val="20"/>
          <w:color w:val="auto"/>
        </w:rPr>
      </w:pPr>
      <w:r>
        <w:rPr>
          <w:rFonts w:ascii="Arial" w:cs="Arial" w:eastAsia="Arial" w:hAnsi="Arial"/>
          <w:sz w:val="17"/>
          <w:szCs w:val="17"/>
          <w:color w:val="auto"/>
        </w:rPr>
        <w:t>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Risk Factors Relating to Our Dispensing Business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56" w:lineRule="exact"/>
        <w:rPr>
          <w:sz w:val="20"/>
          <w:szCs w:val="20"/>
          <w:color w:val="auto"/>
        </w:rPr>
      </w:pPr>
    </w:p>
    <w:p>
      <w:pPr>
        <w:jc w:val="both"/>
        <w:ind w:firstLine="398"/>
        <w:spacing w:after="0" w:line="236" w:lineRule="auto"/>
        <w:rPr>
          <w:sz w:val="20"/>
          <w:szCs w:val="20"/>
          <w:color w:val="auto"/>
        </w:rPr>
      </w:pPr>
      <w:r>
        <w:rPr>
          <w:rFonts w:ascii="Arial" w:cs="Arial" w:eastAsia="Arial" w:hAnsi="Arial"/>
          <w:sz w:val="17"/>
          <w:szCs w:val="17"/>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201" w:lineRule="exact"/>
        <w:rPr>
          <w:sz w:val="20"/>
          <w:szCs w:val="20"/>
          <w:color w:val="auto"/>
        </w:rPr>
      </w:pPr>
    </w:p>
    <w:p>
      <w:pPr>
        <w:jc w:val="both"/>
        <w:ind w:firstLine="398"/>
        <w:spacing w:after="0" w:line="249" w:lineRule="auto"/>
        <w:rPr>
          <w:sz w:val="20"/>
          <w:szCs w:val="20"/>
          <w:color w:val="auto"/>
        </w:rPr>
      </w:pPr>
      <w:r>
        <w:rPr>
          <w:rFonts w:ascii="Arial" w:cs="Arial" w:eastAsia="Arial" w:hAnsi="Arial"/>
          <w:sz w:val="16"/>
          <w:szCs w:val="16"/>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93" w:lineRule="exact"/>
        <w:rPr>
          <w:sz w:val="20"/>
          <w:szCs w:val="20"/>
          <w:color w:val="auto"/>
        </w:rPr>
      </w:pPr>
    </w:p>
    <w:p>
      <w:pPr>
        <w:jc w:val="both"/>
        <w:spacing w:after="0" w:line="353" w:lineRule="auto"/>
        <w:rPr>
          <w:sz w:val="20"/>
          <w:szCs w:val="20"/>
          <w:color w:val="auto"/>
        </w:rPr>
      </w:pPr>
      <w:r>
        <w:rPr>
          <w:rFonts w:ascii="Arial" w:cs="Arial" w:eastAsia="Arial" w:hAnsi="Arial"/>
          <w:sz w:val="14"/>
          <w:szCs w:val="14"/>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11" w:lineRule="exact"/>
        <w:rPr>
          <w:sz w:val="20"/>
          <w:szCs w:val="20"/>
          <w:color w:val="auto"/>
        </w:rPr>
      </w:pPr>
    </w:p>
    <w:p>
      <w:pPr>
        <w:jc w:val="both"/>
        <w:ind w:firstLine="398"/>
        <w:spacing w:after="0" w:line="234" w:lineRule="auto"/>
        <w:rPr>
          <w:sz w:val="20"/>
          <w:szCs w:val="20"/>
          <w:color w:val="auto"/>
        </w:rPr>
      </w:pPr>
      <w:r>
        <w:rPr>
          <w:rFonts w:ascii="Arial" w:cs="Arial" w:eastAsia="Arial" w:hAnsi="Arial"/>
          <w:sz w:val="17"/>
          <w:szCs w:val="17"/>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factors that may influence the adoption of natural gas vehicle fuels, many of which are beyond our control, include, among others:</w:t>
      </w:r>
    </w:p>
    <w:p>
      <w:pPr>
        <w:ind w:left="500" w:hanging="103"/>
        <w:spacing w:after="0" w:line="235"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Lack of demand for trucks that use natural gas vehicle fuels due to business disruptions and depressed oil prices;</w:t>
      </w:r>
    </w:p>
    <w:p>
      <w:pPr>
        <w:jc w:val="both"/>
        <w:ind w:firstLine="397"/>
        <w:spacing w:after="0" w:line="228" w:lineRule="auto"/>
        <w:tabs>
          <w:tab w:leader="none" w:pos="4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2" w:lineRule="exact"/>
        <w:rPr>
          <w:rFonts w:ascii="Arial" w:cs="Arial" w:eastAsia="Arial" w:hAnsi="Arial"/>
          <w:sz w:val="17"/>
          <w:szCs w:val="17"/>
          <w:color w:val="auto"/>
        </w:rPr>
      </w:pPr>
    </w:p>
    <w:p>
      <w:pPr>
        <w:ind w:firstLine="397"/>
        <w:spacing w:after="0" w:line="221" w:lineRule="auto"/>
        <w:tabs>
          <w:tab w:leader="none" w:pos="4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Perceptions about the benefits of natural gas vehicle fuels relative to gasoline, diesel and other alternative vehicle fuels, including with respect to factors such as supply, cost savings, environmental benefits and safety;</w:t>
      </w:r>
    </w:p>
    <w:p>
      <w:pPr>
        <w:ind w:firstLine="397"/>
        <w:spacing w:after="0" w:line="228" w:lineRule="auto"/>
        <w:tabs>
          <w:tab w:leader="none" w:pos="5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volatility in the supply, demand, use and prices of crude oil, gasoline, diesel, RNG, natural gas and other vehicle fuels, such as electricity, hydrogen, renewable diesel, biodiesel and ethanol;</w:t>
      </w:r>
    </w:p>
    <w:p>
      <w:pPr>
        <w:spacing w:after="0" w:line="1" w:lineRule="exact"/>
        <w:rPr>
          <w:rFonts w:ascii="Arial" w:cs="Arial" w:eastAsia="Arial" w:hAnsi="Arial"/>
          <w:sz w:val="17"/>
          <w:szCs w:val="17"/>
          <w:color w:val="auto"/>
        </w:rPr>
      </w:pPr>
    </w:p>
    <w:p>
      <w:pPr>
        <w:jc w:val="both"/>
        <w:ind w:firstLine="397"/>
        <w:spacing w:after="0" w:line="228" w:lineRule="auto"/>
        <w:tabs>
          <w:tab w:leader="none" w:pos="5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2" w:lineRule="exact"/>
        <w:rPr>
          <w:rFonts w:ascii="Arial" w:cs="Arial" w:eastAsia="Arial" w:hAnsi="Arial"/>
          <w:sz w:val="17"/>
          <w:szCs w:val="17"/>
          <w:color w:val="auto"/>
        </w:rPr>
      </w:pPr>
    </w:p>
    <w:p>
      <w:pPr>
        <w:ind w:firstLine="397"/>
        <w:spacing w:after="0" w:line="261" w:lineRule="auto"/>
        <w:tabs>
          <w:tab w:leader="none" w:pos="4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7" w:name="page88"/>
    <w:bookmarkEnd w:id="87"/>
    <w:p>
      <w:pPr>
        <w:ind w:firstLine="397"/>
        <w:spacing w:after="0" w:line="237"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development, production, cost, availability, performance, sales and marketing and reputation of engines that are well-suited for the vehicles used in our key customer markets, including heavy and medium-duty trucks and other fleets;</w:t>
      </w:r>
    </w:p>
    <w:p>
      <w:pPr>
        <w:ind w:firstLine="397"/>
        <w:spacing w:after="0" w:line="228"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 w:lineRule="exact"/>
        <w:rPr>
          <w:rFonts w:ascii="Arial" w:cs="Arial" w:eastAsia="Arial" w:hAnsi="Arial"/>
          <w:sz w:val="17"/>
          <w:szCs w:val="17"/>
          <w:color w:val="auto"/>
        </w:rPr>
      </w:pPr>
    </w:p>
    <w:p>
      <w:pPr>
        <w:jc w:val="both"/>
        <w:ind w:firstLine="397"/>
        <w:spacing w:after="0" w:line="223"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2" w:lineRule="exact"/>
        <w:rPr>
          <w:rFonts w:ascii="Arial" w:cs="Arial" w:eastAsia="Arial" w:hAnsi="Arial"/>
          <w:sz w:val="17"/>
          <w:szCs w:val="17"/>
          <w:color w:val="auto"/>
        </w:rPr>
      </w:pPr>
    </w:p>
    <w:p>
      <w:pPr>
        <w:ind w:left="500" w:hanging="103"/>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Emissions and other environmental regulations and pressures on producing, transporting, and dispensing our fuels.</w:t>
      </w:r>
    </w:p>
    <w:p>
      <w:pPr>
        <w:spacing w:after="0" w:line="201" w:lineRule="exact"/>
        <w:rPr>
          <w:sz w:val="20"/>
          <w:szCs w:val="20"/>
          <w:color w:val="auto"/>
        </w:rPr>
      </w:pPr>
    </w:p>
    <w:p>
      <w:pPr>
        <w:jc w:val="both"/>
        <w:ind w:firstLine="398"/>
        <w:spacing w:after="0" w:line="284" w:lineRule="auto"/>
        <w:rPr>
          <w:sz w:val="20"/>
          <w:szCs w:val="20"/>
          <w:color w:val="auto"/>
        </w:rPr>
      </w:pPr>
      <w:r>
        <w:rPr>
          <w:rFonts w:ascii="Arial" w:cs="Arial" w:eastAsia="Arial" w:hAnsi="Arial"/>
          <w:sz w:val="14"/>
          <w:szCs w:val="14"/>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Acquisition, financing, construction, and development of Fueling Station projects by us or our partners that own projects may not commence on anticipated timelines or at all.</w:t>
      </w:r>
    </w:p>
    <w:p>
      <w:pPr>
        <w:spacing w:after="0" w:line="193" w:lineRule="exact"/>
        <w:rPr>
          <w:sz w:val="20"/>
          <w:szCs w:val="20"/>
          <w:color w:val="auto"/>
        </w:rPr>
      </w:pPr>
    </w:p>
    <w:p>
      <w:pPr>
        <w:jc w:val="both"/>
        <w:ind w:firstLine="398"/>
        <w:spacing w:after="0" w:line="233" w:lineRule="auto"/>
        <w:rPr>
          <w:sz w:val="20"/>
          <w:szCs w:val="20"/>
          <w:color w:val="auto"/>
        </w:rPr>
      </w:pPr>
      <w:r>
        <w:rPr>
          <w:rFonts w:ascii="Arial" w:cs="Arial" w:eastAsia="Arial" w:hAnsi="Arial"/>
          <w:sz w:val="17"/>
          <w:szCs w:val="17"/>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ind w:left="400"/>
        <w:spacing w:after="0" w:line="229" w:lineRule="auto"/>
        <w:rPr>
          <w:sz w:val="20"/>
          <w:szCs w:val="20"/>
          <w:color w:val="auto"/>
        </w:rPr>
      </w:pPr>
      <w:r>
        <w:rPr>
          <w:rFonts w:ascii="Arial" w:cs="Arial" w:eastAsia="Arial" w:hAnsi="Arial"/>
          <w:sz w:val="17"/>
          <w:szCs w:val="17"/>
          <w:color w:val="auto"/>
        </w:rPr>
        <w:t>The acquisition, financing, construction and development of projects involves numerous risks, including:</w:t>
      </w:r>
    </w:p>
    <w:p>
      <w:pPr>
        <w:ind w:left="500" w:hanging="103"/>
        <w:spacing w:after="0" w:line="229"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difficulties in identifying, obtaining, and permitting suitable sites for new projects;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failure to obtain all necessary rights to land access and use;</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inaccuracy of assumptions with respect to the cost and schedule for completing construction;</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inaccuracy of assumptions with respect to the biogas potential, including quality, volume, and asset life;</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ability to obtain financing for a project on acceptable terms or at all;</w:t>
      </w:r>
    </w:p>
    <w:p>
      <w:pPr>
        <w:ind w:left="500" w:hanging="103"/>
        <w:spacing w:after="0" w:line="213"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delays in deliveries or increases in the price of equipment or other materials;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permitting and other regulatory issues, license revocation and changes in legal requirements;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increases in the cost of labor, labor disputes and work stoppages or the inability to find an adequate supply of workers;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failure to receive quality and timely performance of third-party services;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unforeseen engineering and environmental problems;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 overruns or supply chain disruptions;</w:t>
      </w: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accidents involving personal injury or the loss of life</w:t>
      </w:r>
    </w:p>
    <w:p>
      <w:pPr>
        <w:ind w:firstLine="397"/>
        <w:spacing w:after="0" w:line="228" w:lineRule="auto"/>
        <w:tabs>
          <w:tab w:leader="none" w:pos="4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weather conditions, health crises, pandemics, catastrophic events, including fires, explosions, earthquakes, droughts and acts of terrorism, and other force majeure events; and</w:t>
      </w:r>
    </w:p>
    <w:p>
      <w:pPr>
        <w:spacing w:after="0" w:line="1" w:lineRule="exact"/>
        <w:rPr>
          <w:rFonts w:ascii="Arial" w:cs="Arial" w:eastAsia="Arial" w:hAnsi="Arial"/>
          <w:sz w:val="17"/>
          <w:szCs w:val="17"/>
          <w:color w:val="auto"/>
        </w:rPr>
      </w:pPr>
    </w:p>
    <w:p>
      <w:pPr>
        <w:ind w:left="500" w:hanging="103"/>
        <w:spacing w:after="0" w:line="22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interconnection and access to utilities.</w:t>
      </w:r>
    </w:p>
    <w:p>
      <w:pPr>
        <w:spacing w:after="0" w:line="1" w:lineRule="exact"/>
        <w:rPr>
          <w:sz w:val="20"/>
          <w:szCs w:val="20"/>
          <w:color w:val="auto"/>
        </w:rPr>
      </w:pPr>
    </w:p>
    <w:p>
      <w:pPr>
        <w:jc w:val="both"/>
        <w:ind w:firstLine="398"/>
        <w:spacing w:after="0" w:line="235" w:lineRule="auto"/>
        <w:rPr>
          <w:sz w:val="20"/>
          <w:szCs w:val="20"/>
          <w:color w:val="auto"/>
        </w:rPr>
      </w:pPr>
      <w:r>
        <w:rPr>
          <w:rFonts w:ascii="Arial" w:cs="Arial" w:eastAsia="Arial" w:hAnsi="Arial"/>
          <w:sz w:val="17"/>
          <w:szCs w:val="17"/>
          <w:color w:val="auto"/>
        </w:rPr>
        <w:t>In addition, new projects have no operating history. A new project may be unable to fund principal and interest payments under its debt service obligations or may operate at a loss.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8" w:name="page89"/>
    <w:bookmarkEnd w:id="88"/>
    <w:p>
      <w:pPr>
        <w:jc w:val="both"/>
        <w:ind w:firstLine="398"/>
        <w:spacing w:after="0" w:line="250" w:lineRule="auto"/>
        <w:rPr>
          <w:sz w:val="20"/>
          <w:szCs w:val="20"/>
          <w:color w:val="auto"/>
        </w:rPr>
      </w:pPr>
      <w:r>
        <w:rPr>
          <w:rFonts w:ascii="Arial" w:cs="Arial" w:eastAsia="Arial" w:hAnsi="Arial"/>
          <w:sz w:val="16"/>
          <w:szCs w:val="16"/>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93"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4"/>
          <w:szCs w:val="14"/>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67"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4"/>
          <w:szCs w:val="14"/>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Risk Factors Relating to Our Business in General</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of our Biogas Conversion Projects and Fueling Stations are newly constructed or are under construction and may not perform as we expect.</w:t>
      </w:r>
    </w:p>
    <w:p>
      <w:pPr>
        <w:spacing w:after="0" w:line="249" w:lineRule="exact"/>
        <w:rPr>
          <w:sz w:val="20"/>
          <w:szCs w:val="20"/>
          <w:color w:val="auto"/>
        </w:rPr>
      </w:pPr>
    </w:p>
    <w:p>
      <w:pPr>
        <w:jc w:val="both"/>
        <w:ind w:firstLine="398"/>
        <w:spacing w:after="0" w:line="249" w:lineRule="auto"/>
        <w:rPr>
          <w:sz w:val="20"/>
          <w:szCs w:val="20"/>
          <w:color w:val="auto"/>
        </w:rPr>
      </w:pPr>
      <w:r>
        <w:rPr>
          <w:rFonts w:ascii="Arial" w:cs="Arial" w:eastAsia="Arial" w:hAnsi="Arial"/>
          <w:sz w:val="16"/>
          <w:szCs w:val="16"/>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99" w:lineRule="exact"/>
        <w:rPr>
          <w:sz w:val="20"/>
          <w:szCs w:val="20"/>
          <w:color w:val="auto"/>
        </w:rPr>
      </w:pPr>
    </w:p>
    <w:p>
      <w:pPr>
        <w:jc w:val="both"/>
        <w:ind w:firstLine="398"/>
        <w:spacing w:after="0" w:line="231" w:lineRule="auto"/>
        <w:rPr>
          <w:sz w:val="20"/>
          <w:szCs w:val="20"/>
          <w:color w:val="auto"/>
        </w:rPr>
      </w:pPr>
      <w:r>
        <w:rPr>
          <w:rFonts w:ascii="Arial" w:cs="Arial" w:eastAsia="Arial" w:hAnsi="Arial"/>
          <w:sz w:val="17"/>
          <w:szCs w:val="17"/>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9" w:name="page90"/>
    <w:bookmarkEnd w:id="89"/>
    <w:p>
      <w:pPr>
        <w:jc w:val="both"/>
        <w:ind w:firstLine="398"/>
        <w:spacing w:after="0" w:line="296" w:lineRule="auto"/>
        <w:rPr>
          <w:sz w:val="20"/>
          <w:szCs w:val="20"/>
          <w:color w:val="auto"/>
        </w:rPr>
      </w:pPr>
      <w:r>
        <w:rPr>
          <w:rFonts w:ascii="Arial" w:cs="Arial" w:eastAsia="Arial" w:hAnsi="Arial"/>
          <w:sz w:val="14"/>
          <w:szCs w:val="14"/>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6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99" w:lineRule="exact"/>
        <w:rPr>
          <w:sz w:val="20"/>
          <w:szCs w:val="20"/>
          <w:color w:val="auto"/>
        </w:rPr>
      </w:pPr>
    </w:p>
    <w:p>
      <w:pPr>
        <w:jc w:val="both"/>
        <w:ind w:firstLine="398"/>
        <w:spacing w:after="0" w:line="252" w:lineRule="auto"/>
        <w:rPr>
          <w:sz w:val="20"/>
          <w:szCs w:val="20"/>
          <w:color w:val="auto"/>
        </w:rPr>
      </w:pPr>
      <w:r>
        <w:rPr>
          <w:rFonts w:ascii="Arial" w:cs="Arial" w:eastAsia="Arial" w:hAnsi="Arial"/>
          <w:sz w:val="16"/>
          <w:szCs w:val="16"/>
          <w:color w:val="auto"/>
        </w:rPr>
        <w:t>As of September 30, 2022, our total indebtedness was $220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substantial indebtedness and preferred units redemption obligations could have important consequences, including, for example:</w:t>
      </w:r>
    </w:p>
    <w:p>
      <w:pPr>
        <w:spacing w:after="0" w:line="5" w:lineRule="exact"/>
        <w:rPr>
          <w:sz w:val="20"/>
          <w:szCs w:val="20"/>
          <w:color w:val="auto"/>
        </w:rPr>
      </w:pPr>
    </w:p>
    <w:p>
      <w:pPr>
        <w:ind w:firstLine="397"/>
        <w:spacing w:after="0" w:line="228" w:lineRule="auto"/>
        <w:tabs>
          <w:tab w:leader="none" w:pos="4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being required to accept then-prevailing market terms in connection with any required refinancing of such indebtedness or redemption obligations, which may be less favorable than existing terms;</w:t>
      </w:r>
    </w:p>
    <w:p>
      <w:pPr>
        <w:spacing w:after="0" w:line="1" w:lineRule="exact"/>
        <w:rPr>
          <w:rFonts w:ascii="Arial" w:cs="Arial" w:eastAsia="Arial" w:hAnsi="Arial"/>
          <w:sz w:val="17"/>
          <w:szCs w:val="17"/>
          <w:color w:val="auto"/>
        </w:rPr>
      </w:pPr>
    </w:p>
    <w:p>
      <w:pPr>
        <w:ind w:firstLine="397"/>
        <w:spacing w:after="0" w:line="228" w:lineRule="auto"/>
        <w:tabs>
          <w:tab w:leader="none" w:pos="4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 w:lineRule="exact"/>
        <w:rPr>
          <w:rFonts w:ascii="Arial" w:cs="Arial" w:eastAsia="Arial" w:hAnsi="Arial"/>
          <w:sz w:val="17"/>
          <w:szCs w:val="17"/>
          <w:color w:val="auto"/>
        </w:rPr>
      </w:pPr>
    </w:p>
    <w:p>
      <w:pPr>
        <w:ind w:firstLine="397"/>
        <w:spacing w:after="0" w:line="221" w:lineRule="auto"/>
        <w:tabs>
          <w:tab w:leader="none" w:pos="4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ind w:left="500" w:hanging="103"/>
        <w:spacing w:after="0" w:line="22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limited financial flexibility could reduce our ability to plan for and react to unexpected opportunities; and</w:t>
      </w:r>
    </w:p>
    <w:p>
      <w:pPr>
        <w:jc w:val="both"/>
        <w:ind w:firstLine="397"/>
        <w:spacing w:after="0" w:line="233" w:lineRule="auto"/>
        <w:tabs>
          <w:tab w:leader="none" w:pos="522"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200"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85" w:lineRule="exact"/>
        <w:rPr>
          <w:sz w:val="20"/>
          <w:szCs w:val="20"/>
          <w:color w:val="auto"/>
        </w:rPr>
      </w:pPr>
    </w:p>
    <w:p>
      <w:pPr>
        <w:jc w:val="both"/>
        <w:ind w:firstLine="398"/>
        <w:spacing w:after="0" w:line="249" w:lineRule="auto"/>
        <w:rPr>
          <w:sz w:val="20"/>
          <w:szCs w:val="20"/>
          <w:color w:val="auto"/>
        </w:rPr>
      </w:pPr>
      <w:r>
        <w:rPr>
          <w:rFonts w:ascii="Arial" w:cs="Arial" w:eastAsia="Arial" w:hAnsi="Arial"/>
          <w:sz w:val="16"/>
          <w:szCs w:val="16"/>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93" w:lineRule="exact"/>
        <w:rPr>
          <w:sz w:val="20"/>
          <w:szCs w:val="20"/>
          <w:color w:val="auto"/>
        </w:rPr>
      </w:pPr>
    </w:p>
    <w:p>
      <w:pPr>
        <w:jc w:val="both"/>
        <w:ind w:firstLine="398"/>
        <w:spacing w:after="0" w:line="315" w:lineRule="auto"/>
        <w:rPr>
          <w:sz w:val="20"/>
          <w:szCs w:val="20"/>
          <w:color w:val="auto"/>
        </w:rPr>
      </w:pPr>
      <w:r>
        <w:rPr>
          <w:rFonts w:ascii="Arial" w:cs="Arial" w:eastAsia="Arial" w:hAnsi="Arial"/>
          <w:sz w:val="14"/>
          <w:szCs w:val="14"/>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0" w:name="page91"/>
    <w:bookmarkEnd w:id="90"/>
    <w:p>
      <w:pPr>
        <w:jc w:val="both"/>
        <w:spacing w:after="0" w:line="235" w:lineRule="auto"/>
        <w:rPr>
          <w:sz w:val="20"/>
          <w:szCs w:val="20"/>
          <w:color w:val="auto"/>
        </w:rPr>
      </w:pPr>
      <w:r>
        <w:rPr>
          <w:rFonts w:ascii="Arial" w:cs="Arial" w:eastAsia="Arial" w:hAnsi="Arial"/>
          <w:sz w:val="17"/>
          <w:szCs w:val="17"/>
          <w:color w:val="auto"/>
        </w:rPr>
        <w:t>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99"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4"/>
          <w:szCs w:val="14"/>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6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87"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accounting losses and may incur additional losses in the future.</w:t>
      </w:r>
    </w:p>
    <w:p>
      <w:pPr>
        <w:spacing w:after="0" w:line="215"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6"/>
          <w:szCs w:val="16"/>
          <w:color w:val="auto"/>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Loss of our key management could adversely affect our business performance. Our management team has limited experience in operating a public company such as us.</w:t>
      </w:r>
    </w:p>
    <w:p>
      <w:pPr>
        <w:spacing w:after="0" w:line="193"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The COVID-19 pandemic and measures intended to reduce its spread have, and may continue to,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1" w:name="page92"/>
    <w:bookmarkEnd w:id="91"/>
    <w:p>
      <w:pPr>
        <w:jc w:val="both"/>
        <w:ind w:firstLine="398"/>
        <w:spacing w:after="0" w:line="287" w:lineRule="auto"/>
        <w:rPr>
          <w:sz w:val="20"/>
          <w:szCs w:val="20"/>
          <w:color w:val="auto"/>
        </w:rPr>
      </w:pPr>
      <w:r>
        <w:rPr>
          <w:rFonts w:ascii="Arial" w:cs="Arial" w:eastAsia="Arial" w:hAnsi="Arial"/>
          <w:sz w:val="14"/>
          <w:szCs w:val="14"/>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355" w:lineRule="exact"/>
        <w:rPr>
          <w:sz w:val="20"/>
          <w:szCs w:val="20"/>
          <w:color w:val="auto"/>
        </w:rPr>
      </w:pPr>
    </w:p>
    <w:p>
      <w:pPr>
        <w:jc w:val="both"/>
        <w:ind w:firstLine="398"/>
        <w:spacing w:after="0" w:line="284" w:lineRule="auto"/>
        <w:rPr>
          <w:sz w:val="20"/>
          <w:szCs w:val="20"/>
          <w:color w:val="auto"/>
        </w:rPr>
      </w:pPr>
      <w:r>
        <w:rPr>
          <w:rFonts w:ascii="Arial" w:cs="Arial" w:eastAsia="Arial" w:hAnsi="Arial"/>
          <w:sz w:val="14"/>
          <w:szCs w:val="14"/>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ind w:left="500" w:hanging="103"/>
        <w:spacing w:after="0" w:line="231"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further delay in the adoption of natural gas vehicle fuels by heavy-duty trucks and/or a delay in increasing the use of our vehicle fuels;</w:t>
      </w:r>
    </w:p>
    <w:p>
      <w:pPr>
        <w:ind w:firstLine="397"/>
        <w:spacing w:after="0" w:line="228" w:lineRule="auto"/>
        <w:tabs>
          <w:tab w:leader="none" w:pos="522"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 w:lineRule="exact"/>
        <w:rPr>
          <w:rFonts w:ascii="Arial" w:cs="Arial" w:eastAsia="Arial" w:hAnsi="Arial"/>
          <w:sz w:val="17"/>
          <w:szCs w:val="17"/>
          <w:color w:val="auto"/>
        </w:rPr>
      </w:pPr>
    </w:p>
    <w:p>
      <w:pPr>
        <w:ind w:firstLine="397"/>
        <w:spacing w:after="0" w:line="228" w:lineRule="auto"/>
        <w:tabs>
          <w:tab w:leader="none" w:pos="50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 w:lineRule="exact"/>
        <w:rPr>
          <w:rFonts w:ascii="Arial" w:cs="Arial" w:eastAsia="Arial" w:hAnsi="Arial"/>
          <w:sz w:val="17"/>
          <w:szCs w:val="17"/>
          <w:color w:val="auto"/>
        </w:rPr>
      </w:pPr>
    </w:p>
    <w:p>
      <w:pPr>
        <w:ind w:firstLine="397"/>
        <w:spacing w:after="0" w:line="235" w:lineRule="auto"/>
        <w:tabs>
          <w:tab w:leader="none" w:pos="497"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depressed oil and diesel prices, especially relative to natural gas prices and for a prolonged period, which may decrease the price-related incentive for operators to adopt trucks that use our vehicle fuels.</w:t>
      </w:r>
    </w:p>
    <w:p>
      <w:pPr>
        <w:spacing w:after="0" w:line="200" w:lineRule="exact"/>
        <w:rPr>
          <w:sz w:val="20"/>
          <w:szCs w:val="20"/>
          <w:color w:val="auto"/>
        </w:rPr>
      </w:pPr>
    </w:p>
    <w:p>
      <w:pPr>
        <w:jc w:val="both"/>
        <w:ind w:firstLine="398"/>
        <w:spacing w:after="0" w:line="246" w:lineRule="auto"/>
        <w:rPr>
          <w:sz w:val="20"/>
          <w:szCs w:val="20"/>
          <w:color w:val="auto"/>
        </w:rPr>
      </w:pPr>
      <w:r>
        <w:rPr>
          <w:rFonts w:ascii="Arial" w:cs="Arial" w:eastAsia="Arial" w:hAnsi="Arial"/>
          <w:sz w:val="16"/>
          <w:szCs w:val="16"/>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relationships with our counterparties and suppliers may experience disruptions as a result of the Business Combination, which may limit our business.</w:t>
      </w:r>
    </w:p>
    <w:p>
      <w:pPr>
        <w:spacing w:after="0" w:line="249" w:lineRule="exact"/>
        <w:rPr>
          <w:sz w:val="20"/>
          <w:szCs w:val="20"/>
          <w:color w:val="auto"/>
        </w:rPr>
      </w:pPr>
    </w:p>
    <w:p>
      <w:pPr>
        <w:jc w:val="both"/>
        <w:ind w:firstLine="398"/>
        <w:spacing w:after="0" w:line="230" w:lineRule="auto"/>
        <w:rPr>
          <w:sz w:val="20"/>
          <w:szCs w:val="20"/>
          <w:color w:val="auto"/>
        </w:rPr>
      </w:pPr>
      <w:r>
        <w:rPr>
          <w:rFonts w:ascii="Arial" w:cs="Arial" w:eastAsia="Arial" w:hAnsi="Arial"/>
          <w:sz w:val="17"/>
          <w:szCs w:val="17"/>
          <w:color w:val="auto"/>
        </w:rPr>
        <w:t>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204"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We have identified material weaknesses in OPAL Fuels’s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connection with the preparation and audit of OPAL Fuels’s consolidated financial statements for each of the years ended December 31, 2021, 2020 and 2019, material weaknesses were identified in OPAL Fuels’s internal control over financial reporting. In addition, a material weakness in the internal controls over financial reporting of ArcLight was identified as of November 24, 2021.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2" w:name="page93"/>
    <w:bookmarkEnd w:id="92"/>
    <w:p>
      <w:pPr>
        <w:ind w:firstLine="398"/>
        <w:spacing w:after="0" w:line="25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ind w:left="400"/>
        <w:spacing w:after="0" w:line="229" w:lineRule="auto"/>
        <w:rPr>
          <w:sz w:val="20"/>
          <w:szCs w:val="20"/>
          <w:color w:val="auto"/>
        </w:rPr>
      </w:pPr>
      <w:r>
        <w:rPr>
          <w:rFonts w:ascii="Arial" w:cs="Arial" w:eastAsia="Arial" w:hAnsi="Arial"/>
          <w:sz w:val="17"/>
          <w:szCs w:val="17"/>
          <w:color w:val="auto"/>
        </w:rPr>
        <w:t>With respect to OPAL Fuels, these material weaknesses identified were as follows:</w:t>
      </w:r>
    </w:p>
    <w:p>
      <w:pPr>
        <w:ind w:firstLine="397"/>
        <w:spacing w:after="0" w:line="228" w:lineRule="auto"/>
        <w:tabs>
          <w:tab w:leader="none" w:pos="497"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There is a lack of an adequate control environment, including internal communications, to allow for timeliness of reviews for the accounting and disclosures of significant and unusual transactions and contracts;</w:t>
      </w:r>
    </w:p>
    <w:p>
      <w:pPr>
        <w:spacing w:after="0" w:line="1" w:lineRule="exact"/>
        <w:rPr>
          <w:rFonts w:ascii="Arial" w:cs="Arial" w:eastAsia="Arial" w:hAnsi="Arial"/>
          <w:sz w:val="17"/>
          <w:szCs w:val="17"/>
          <w:color w:val="auto"/>
        </w:rPr>
      </w:pPr>
    </w:p>
    <w:p>
      <w:pPr>
        <w:jc w:val="both"/>
        <w:ind w:firstLine="397"/>
        <w:spacing w:after="0" w:line="271" w:lineRule="auto"/>
        <w:tabs>
          <w:tab w:leader="none" w:pos="49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 w:lineRule="exact"/>
        <w:rPr>
          <w:rFonts w:ascii="Arial" w:cs="Arial" w:eastAsia="Arial" w:hAnsi="Arial"/>
          <w:sz w:val="14"/>
          <w:szCs w:val="14"/>
          <w:color w:val="auto"/>
        </w:rPr>
      </w:pPr>
    </w:p>
    <w:p>
      <w:pPr>
        <w:ind w:firstLine="397"/>
        <w:spacing w:after="0" w:line="228" w:lineRule="auto"/>
        <w:tabs>
          <w:tab w:leader="none" w:pos="509"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OPAL Fuels did not have timely and effective reviews over standard account reconciliations and related accounting analysis which resulted in various audit adjustments that we corrected; and</w:t>
      </w:r>
    </w:p>
    <w:p>
      <w:pPr>
        <w:spacing w:after="0" w:line="1" w:lineRule="exact"/>
        <w:rPr>
          <w:rFonts w:ascii="Arial" w:cs="Arial" w:eastAsia="Arial" w:hAnsi="Arial"/>
          <w:sz w:val="17"/>
          <w:szCs w:val="17"/>
          <w:color w:val="auto"/>
        </w:rPr>
      </w:pPr>
    </w:p>
    <w:p>
      <w:pPr>
        <w:ind w:left="500" w:hanging="103"/>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 controls over application of ASC-606 were not designed and implemented appropriately during the current year.</w:t>
      </w:r>
    </w:p>
    <w:p>
      <w:pPr>
        <w:spacing w:after="0" w:line="201"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4"/>
          <w:szCs w:val="14"/>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57"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7"/>
          <w:szCs w:val="17"/>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93" w:lineRule="exact"/>
        <w:rPr>
          <w:sz w:val="20"/>
          <w:szCs w:val="20"/>
          <w:color w:val="auto"/>
        </w:rPr>
      </w:pPr>
    </w:p>
    <w:p>
      <w:pPr>
        <w:jc w:val="both"/>
        <w:ind w:firstLine="398"/>
        <w:spacing w:after="0" w:line="292" w:lineRule="auto"/>
        <w:rPr>
          <w:sz w:val="20"/>
          <w:szCs w:val="20"/>
          <w:color w:val="auto"/>
        </w:rPr>
      </w:pPr>
      <w:r>
        <w:rPr>
          <w:rFonts w:ascii="Arial" w:cs="Arial" w:eastAsia="Arial" w:hAnsi="Arial"/>
          <w:sz w:val="14"/>
          <w:szCs w:val="14"/>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64"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6"/>
          <w:szCs w:val="16"/>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failure to timely and effectively implement controls and procedures required by Section 404(a) of the Sarbanes-Oxley Act could have a material adverse effect on its business.</w:t>
      </w:r>
    </w:p>
    <w:p>
      <w:pPr>
        <w:spacing w:after="0" w:line="193" w:lineRule="exact"/>
        <w:rPr>
          <w:sz w:val="20"/>
          <w:szCs w:val="20"/>
          <w:color w:val="auto"/>
        </w:rPr>
      </w:pPr>
    </w:p>
    <w:p>
      <w:pPr>
        <w:jc w:val="both"/>
        <w:ind w:firstLine="398"/>
        <w:spacing w:after="0" w:line="230" w:lineRule="auto"/>
        <w:rPr>
          <w:sz w:val="20"/>
          <w:szCs w:val="20"/>
          <w:color w:val="auto"/>
        </w:rPr>
      </w:pPr>
      <w:r>
        <w:rPr>
          <w:rFonts w:ascii="Arial" w:cs="Arial" w:eastAsia="Arial" w:hAnsi="Arial"/>
          <w:sz w:val="17"/>
          <w:szCs w:val="17"/>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17"/>
          <w:szCs w:val="17"/>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93"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4"/>
          <w:szCs w:val="14"/>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200"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99"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spacing w:after="0" w:line="193"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4"/>
          <w:szCs w:val="14"/>
          <w:color w:val="auto"/>
        </w:rPr>
        <w:t>Until such time that such registration statement is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93"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6"/>
          <w:szCs w:val="16"/>
          <w:color w:val="auto"/>
        </w:rPr>
        <w:t>As of the date of this report,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November 11, 2022, the closing price of our Class A common stock was $8.90. Based on this closing price, the aggregate sales price of the Founder Shares would be approximately $69,233,776.</w:t>
      </w:r>
    </w:p>
    <w:p>
      <w:pPr>
        <w:spacing w:after="0" w:line="19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or legal proceedings could expose us to significant liabilities and have a negative impact on our reputations or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4" w:name="page95"/>
    <w:bookmarkEnd w:id="94"/>
    <w:p>
      <w:pPr>
        <w:jc w:val="both"/>
        <w:ind w:firstLine="398"/>
        <w:spacing w:after="0" w:line="303" w:lineRule="auto"/>
        <w:rPr>
          <w:sz w:val="20"/>
          <w:szCs w:val="20"/>
          <w:color w:val="auto"/>
        </w:rPr>
      </w:pPr>
      <w:r>
        <w:rPr>
          <w:rFonts w:ascii="Arial" w:cs="Arial" w:eastAsia="Arial" w:hAnsi="Arial"/>
          <w:sz w:val="14"/>
          <w:szCs w:val="14"/>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57" w:lineRule="exact"/>
        <w:rPr>
          <w:sz w:val="20"/>
          <w:szCs w:val="20"/>
          <w:color w:val="auto"/>
        </w:rPr>
      </w:pPr>
    </w:p>
    <w:p>
      <w:pPr>
        <w:jc w:val="both"/>
        <w:ind w:firstLine="398"/>
        <w:spacing w:after="0" w:line="281" w:lineRule="auto"/>
        <w:rPr>
          <w:sz w:val="20"/>
          <w:szCs w:val="20"/>
          <w:color w:val="auto"/>
        </w:rPr>
      </w:pPr>
      <w:r>
        <w:rPr>
          <w:rFonts w:ascii="Arial" w:cs="Arial" w:eastAsia="Arial" w:hAnsi="Arial"/>
          <w:sz w:val="14"/>
          <w:szCs w:val="14"/>
          <w:color w:val="auto"/>
        </w:rPr>
        <w:t>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commissions in connection with their resignations as described under </w:t>
      </w:r>
      <w:r>
        <w:rPr>
          <w:rFonts w:ascii="Arial" w:cs="Arial" w:eastAsia="Arial" w:hAnsi="Arial"/>
          <w:sz w:val="19"/>
          <w:szCs w:val="19"/>
          <w:i w:val="1"/>
          <w:iCs w:val="1"/>
          <w:color w:val="auto"/>
        </w:rPr>
        <w:t>Summary — Recent Developments</w:t>
      </w:r>
      <w:r>
        <w:rPr>
          <w:rFonts w:ascii="Arial" w:cs="Arial" w:eastAsia="Arial" w:hAnsi="Arial"/>
          <w:sz w:val="17"/>
          <w:szCs w:val="17"/>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200"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4"/>
          <w:szCs w:val="14"/>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67" w:lineRule="exact"/>
        <w:rPr>
          <w:sz w:val="20"/>
          <w:szCs w:val="20"/>
          <w:color w:val="auto"/>
        </w:rPr>
      </w:pPr>
    </w:p>
    <w:p>
      <w:pPr>
        <w:jc w:val="both"/>
        <w:ind w:firstLine="398"/>
        <w:spacing w:after="0" w:line="253"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93" w:lineRule="exact"/>
        <w:rPr>
          <w:sz w:val="20"/>
          <w:szCs w:val="20"/>
          <w:color w:val="auto"/>
        </w:rPr>
      </w:pPr>
    </w:p>
    <w:p>
      <w:pPr>
        <w:jc w:val="both"/>
        <w:ind w:firstLine="398"/>
        <w:spacing w:after="0" w:line="235"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5" w:name="page96"/>
    <w:bookmarkEnd w:id="95"/>
    <w:p>
      <w:pPr>
        <w:jc w:val="both"/>
        <w:spacing w:after="0" w:line="236" w:lineRule="auto"/>
        <w:rPr>
          <w:sz w:val="20"/>
          <w:szCs w:val="20"/>
          <w:color w:val="auto"/>
        </w:rPr>
      </w:pPr>
      <w:r>
        <w:rPr>
          <w:rFonts w:ascii="Arial" w:cs="Arial" w:eastAsia="Arial" w:hAnsi="Arial"/>
          <w:sz w:val="17"/>
          <w:szCs w:val="17"/>
          <w:color w:val="auto"/>
        </w:rPr>
        <w:t>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93" w:lineRule="exact"/>
        <w:rPr>
          <w:sz w:val="20"/>
          <w:szCs w:val="20"/>
          <w:color w:val="auto"/>
        </w:rPr>
      </w:pPr>
    </w:p>
    <w:p>
      <w:pPr>
        <w:jc w:val="both"/>
        <w:ind w:firstLine="398"/>
        <w:spacing w:after="0" w:line="234"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99" w:lineRule="exact"/>
        <w:rPr>
          <w:sz w:val="20"/>
          <w:szCs w:val="20"/>
          <w:color w:val="auto"/>
        </w:rPr>
      </w:pPr>
    </w:p>
    <w:p>
      <w:pPr>
        <w:jc w:val="both"/>
        <w:ind w:firstLine="398"/>
        <w:spacing w:after="0" w:line="236"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Warrants may have an adverse effect on the market price of our Class A common stock.</w:t>
      </w:r>
    </w:p>
    <w:p>
      <w:pPr>
        <w:spacing w:after="0" w:line="215" w:lineRule="exact"/>
        <w:rPr>
          <w:sz w:val="20"/>
          <w:szCs w:val="20"/>
          <w:color w:val="auto"/>
        </w:rPr>
      </w:pPr>
    </w:p>
    <w:p>
      <w:pPr>
        <w:jc w:val="both"/>
        <w:ind w:firstLine="398"/>
        <w:spacing w:after="0" w:line="252" w:lineRule="auto"/>
        <w:rPr>
          <w:sz w:val="20"/>
          <w:szCs w:val="20"/>
          <w:color w:val="auto"/>
        </w:rPr>
      </w:pPr>
      <w:r>
        <w:rPr>
          <w:rFonts w:ascii="Arial" w:cs="Arial" w:eastAsia="Arial" w:hAnsi="Arial"/>
          <w:sz w:val="16"/>
          <w:szCs w:val="16"/>
          <w:color w:val="auto"/>
        </w:rPr>
        <w:t>As of the date of this report, we have 6,223,233 outstanding Public Warrants to purchase 6,223,233 shares of our Class A common stock, exercisable at an exercise price of $11.50 per share, which expire on the earlier to occur of July 21, 2027 or redemption; and (ii) 9,223,261 outstanding Private Warrants to purchase 9,223,261 shares of our Class A common stock, exercisable at an exercise price of $11.50 per share, which expire on the earlier to occur of July 21, 2027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90" w:lineRule="exact"/>
        <w:rPr>
          <w:sz w:val="20"/>
          <w:szCs w:val="20"/>
          <w:color w:val="auto"/>
        </w:rPr>
      </w:pPr>
    </w:p>
    <w:p>
      <w:pPr>
        <w:jc w:val="both"/>
        <w:ind w:firstLine="398"/>
        <w:spacing w:after="0" w:line="247" w:lineRule="auto"/>
        <w:rPr>
          <w:sz w:val="20"/>
          <w:szCs w:val="20"/>
          <w:color w:val="auto"/>
        </w:rPr>
      </w:pPr>
      <w:r>
        <w:rPr>
          <w:rFonts w:ascii="Arial" w:cs="Arial" w:eastAsia="Arial" w:hAnsi="Arial"/>
          <w:sz w:val="16"/>
          <w:szCs w:val="16"/>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November 11, 2022, the closing price of our Class A common stock was $8.90 per share. There can be no assurance that all of our Warrants will be in the money prior to their expiration. Further, our Sponsor and its permitted transferees have the option to exercise the Private Warrants on a cashless basis.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93" w:lineRule="exact"/>
        <w:rPr>
          <w:sz w:val="20"/>
          <w:szCs w:val="20"/>
          <w:color w:val="auto"/>
        </w:rPr>
      </w:pPr>
    </w:p>
    <w:p>
      <w:pPr>
        <w:jc w:val="both"/>
        <w:ind w:firstLine="398"/>
        <w:spacing w:after="0" w:line="252"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90" w:lineRule="exact"/>
        <w:rPr>
          <w:sz w:val="20"/>
          <w:szCs w:val="20"/>
          <w:color w:val="auto"/>
        </w:rPr>
      </w:pPr>
    </w:p>
    <w:p>
      <w:pPr>
        <w:jc w:val="both"/>
        <w:ind w:firstLine="398"/>
        <w:spacing w:after="0" w:line="231" w:lineRule="auto"/>
        <w:rPr>
          <w:sz w:val="20"/>
          <w:szCs w:val="20"/>
          <w:color w:val="auto"/>
        </w:rPr>
      </w:pPr>
      <w:r>
        <w:rPr>
          <w:rFonts w:ascii="Arial" w:cs="Arial" w:eastAsia="Arial" w:hAnsi="Arial"/>
          <w:sz w:val="17"/>
          <w:szCs w:val="17"/>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99"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6" w:name="page97"/>
    <w:bookmarkEnd w:id="96"/>
    <w:p>
      <w:pPr>
        <w:jc w:val="both"/>
        <w:spacing w:after="0" w:line="303" w:lineRule="auto"/>
        <w:rPr>
          <w:sz w:val="20"/>
          <w:szCs w:val="20"/>
          <w:color w:val="auto"/>
        </w:rPr>
      </w:pPr>
      <w:r>
        <w:rPr>
          <w:rFonts w:ascii="Arial" w:cs="Arial" w:eastAsia="Arial" w:hAnsi="Arial"/>
          <w:sz w:val="14"/>
          <w:szCs w:val="14"/>
          <w:color w:val="auto"/>
        </w:rPr>
        <w:t>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4"/>
          <w:szCs w:val="14"/>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63" w:lineRule="exact"/>
        <w:rPr>
          <w:sz w:val="20"/>
          <w:szCs w:val="20"/>
          <w:color w:val="auto"/>
        </w:rPr>
      </w:pPr>
    </w:p>
    <w:p>
      <w:pPr>
        <w:jc w:val="both"/>
        <w:ind w:firstLine="398"/>
        <w:spacing w:after="0" w:line="293" w:lineRule="auto"/>
        <w:rPr>
          <w:sz w:val="20"/>
          <w:szCs w:val="20"/>
          <w:color w:val="auto"/>
        </w:rPr>
      </w:pPr>
      <w:r>
        <w:rPr>
          <w:rFonts w:ascii="Arial" w:cs="Arial" w:eastAsia="Arial" w:hAnsi="Arial"/>
          <w:sz w:val="14"/>
          <w:szCs w:val="14"/>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November 11,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63" w:lineRule="exact"/>
        <w:rPr>
          <w:sz w:val="20"/>
          <w:szCs w:val="20"/>
          <w:color w:val="auto"/>
        </w:rPr>
      </w:pPr>
    </w:p>
    <w:p>
      <w:pPr>
        <w:jc w:val="both"/>
        <w:ind w:firstLine="398"/>
        <w:spacing w:after="0" w:line="285" w:lineRule="auto"/>
        <w:rPr>
          <w:sz w:val="20"/>
          <w:szCs w:val="20"/>
          <w:color w:val="auto"/>
        </w:rPr>
      </w:pPr>
      <w:r>
        <w:rPr>
          <w:rFonts w:ascii="Arial" w:cs="Arial" w:eastAsia="Arial" w:hAnsi="Arial"/>
          <w:sz w:val="14"/>
          <w:szCs w:val="14"/>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69"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4"/>
          <w:szCs w:val="14"/>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57" w:lineRule="exact"/>
        <w:rPr>
          <w:sz w:val="20"/>
          <w:szCs w:val="20"/>
          <w:color w:val="auto"/>
        </w:rPr>
      </w:pPr>
    </w:p>
    <w:p>
      <w:pPr>
        <w:jc w:val="both"/>
        <w:ind w:firstLine="398"/>
        <w:spacing w:after="0" w:line="283" w:lineRule="auto"/>
        <w:rPr>
          <w:sz w:val="20"/>
          <w:szCs w:val="20"/>
          <w:color w:val="auto"/>
        </w:rPr>
      </w:pPr>
      <w:r>
        <w:rPr>
          <w:rFonts w:ascii="Arial" w:cs="Arial" w:eastAsia="Arial" w:hAnsi="Arial"/>
          <w:sz w:val="14"/>
          <w:szCs w:val="14"/>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7" w:name="page98"/>
    <w:bookmarkEnd w:id="97"/>
    <w:p>
      <w:pPr>
        <w:jc w:val="both"/>
        <w:spacing w:after="0" w:line="248" w:lineRule="auto"/>
        <w:rPr>
          <w:sz w:val="20"/>
          <w:szCs w:val="20"/>
          <w:color w:val="auto"/>
        </w:rPr>
      </w:pPr>
      <w:r>
        <w:rPr>
          <w:rFonts w:ascii="Arial" w:cs="Arial" w:eastAsia="Arial" w:hAnsi="Arial"/>
          <w:sz w:val="17"/>
          <w:szCs w:val="17"/>
          <w:color w:val="auto"/>
        </w:rPr>
        <w:t>conflict with the interests of ours and influence their motivation in identifying and selecting our business opportunities, their support or lack thereof for pursuing such business opportunities and our operations.</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7"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6"/>
          <w:szCs w:val="16"/>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93" w:lineRule="exact"/>
        <w:rPr>
          <w:sz w:val="20"/>
          <w:szCs w:val="20"/>
          <w:color w:val="auto"/>
        </w:rPr>
      </w:pPr>
    </w:p>
    <w:p>
      <w:pPr>
        <w:jc w:val="both"/>
        <w:ind w:firstLine="398"/>
        <w:spacing w:after="0" w:line="246" w:lineRule="auto"/>
        <w:rPr>
          <w:sz w:val="20"/>
          <w:szCs w:val="20"/>
          <w:color w:val="auto"/>
        </w:rPr>
      </w:pPr>
      <w:r>
        <w:rPr>
          <w:rFonts w:ascii="Arial" w:cs="Arial" w:eastAsia="Arial" w:hAnsi="Arial"/>
          <w:sz w:val="16"/>
          <w:szCs w:val="16"/>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 w:lineRule="exact"/>
        <w:rPr>
          <w:sz w:val="20"/>
          <w:szCs w:val="20"/>
          <w:color w:val="auto"/>
        </w:rPr>
      </w:pPr>
    </w:p>
    <w:p>
      <w:pPr>
        <w:jc w:val="both"/>
        <w:ind w:firstLine="398"/>
        <w:spacing w:after="0" w:line="228" w:lineRule="auto"/>
        <w:rPr>
          <w:sz w:val="20"/>
          <w:szCs w:val="20"/>
          <w:color w:val="auto"/>
        </w:rPr>
      </w:pPr>
      <w:r>
        <w:rPr>
          <w:rFonts w:ascii="Arial" w:cs="Arial" w:eastAsia="Arial" w:hAnsi="Arial"/>
          <w:sz w:val="17"/>
          <w:szCs w:val="17"/>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203"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6"/>
          <w:szCs w:val="16"/>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8" w:name="page99"/>
    <w:bookmarkEnd w:id="98"/>
    <w:p>
      <w:pPr>
        <w:jc w:val="both"/>
        <w:spacing w:after="0" w:line="248" w:lineRule="auto"/>
        <w:rPr>
          <w:sz w:val="20"/>
          <w:szCs w:val="20"/>
          <w:color w:val="auto"/>
        </w:rPr>
      </w:pPr>
      <w:r>
        <w:rPr>
          <w:rFonts w:ascii="Arial" w:cs="Arial" w:eastAsia="Arial" w:hAnsi="Arial"/>
          <w:sz w:val="17"/>
          <w:szCs w:val="17"/>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93"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4"/>
          <w:szCs w:val="14"/>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dual-class structure of our common stock may adversely affect the trading market for the shares of Class A common stock.</w:t>
      </w:r>
    </w:p>
    <w:p>
      <w:pPr>
        <w:spacing w:after="0" w:line="215"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4"/>
          <w:szCs w:val="14"/>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70" w:lineRule="exact"/>
        <w:rPr>
          <w:sz w:val="20"/>
          <w:szCs w:val="20"/>
          <w:color w:val="auto"/>
        </w:rPr>
      </w:pPr>
    </w:p>
    <w:p>
      <w:pPr>
        <w:jc w:val="both"/>
        <w:spacing w:after="0" w:line="353" w:lineRule="auto"/>
        <w:rPr>
          <w:sz w:val="20"/>
          <w:szCs w:val="20"/>
          <w:color w:val="auto"/>
        </w:rPr>
      </w:pPr>
      <w:r>
        <w:rPr>
          <w:rFonts w:ascii="Arial" w:cs="Arial" w:eastAsia="Arial" w:hAnsi="Arial"/>
          <w:sz w:val="14"/>
          <w:szCs w:val="14"/>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23"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6"/>
          <w:szCs w:val="16"/>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Nasdaq.</w:t>
      </w:r>
    </w:p>
    <w:p>
      <w:pPr>
        <w:spacing w:after="0" w:line="215" w:lineRule="exact"/>
        <w:rPr>
          <w:sz w:val="20"/>
          <w:szCs w:val="20"/>
          <w:color w:val="auto"/>
        </w:rPr>
      </w:pPr>
    </w:p>
    <w:p>
      <w:pPr>
        <w:jc w:val="both"/>
        <w:ind w:firstLine="398"/>
        <w:spacing w:after="0" w:line="229" w:lineRule="auto"/>
        <w:rPr>
          <w:sz w:val="20"/>
          <w:szCs w:val="20"/>
          <w:color w:val="auto"/>
        </w:rPr>
      </w:pPr>
      <w:r>
        <w:rPr>
          <w:rFonts w:ascii="Arial" w:cs="Arial" w:eastAsia="Arial" w:hAnsi="Arial"/>
          <w:sz w:val="17"/>
          <w:szCs w:val="17"/>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ind w:left="500" w:hanging="103"/>
        <w:spacing w:after="0" w:line="230"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limited availability of market quotations for our securities;</w:t>
      </w:r>
    </w:p>
    <w:p>
      <w:pPr>
        <w:ind w:left="500" w:hanging="103"/>
        <w:spacing w:after="0"/>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 determination that the Class A common stock is a “penny stock” which will require brokers trading in the Class A common stock to adhere to more stringent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rules;</w:t>
      </w:r>
    </w:p>
    <w:p>
      <w:pPr>
        <w:ind w:left="500" w:hanging="103"/>
        <w:spacing w:after="0" w:line="22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possible reduction in the level of trading activity in the secondary trading market for shares of the Class A common stock;</w:t>
      </w:r>
    </w:p>
    <w:p>
      <w:pPr>
        <w:ind w:left="500" w:hanging="103"/>
        <w:spacing w:after="0" w:line="22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limited amount of analyst coverage; and</w:t>
      </w:r>
    </w:p>
    <w:p>
      <w:pPr>
        <w:ind w:left="500" w:hanging="103"/>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9" w:name="page100"/>
    <w:bookmarkEnd w:id="99"/>
    <w:p>
      <w:pPr>
        <w:jc w:val="both"/>
        <w:spacing w:after="0" w:line="248" w:lineRule="auto"/>
        <w:rPr>
          <w:sz w:val="20"/>
          <w:szCs w:val="20"/>
          <w:color w:val="auto"/>
        </w:rPr>
      </w:pPr>
      <w:r>
        <w:rPr>
          <w:rFonts w:ascii="Arial" w:cs="Arial" w:eastAsia="Arial" w:hAnsi="Arial"/>
          <w:sz w:val="17"/>
          <w:szCs w:val="17"/>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93" w:lineRule="exact"/>
        <w:rPr>
          <w:sz w:val="20"/>
          <w:szCs w:val="20"/>
          <w:color w:val="auto"/>
        </w:rPr>
      </w:pPr>
    </w:p>
    <w:p>
      <w:pPr>
        <w:jc w:val="both"/>
        <w:ind w:firstLine="398"/>
        <w:spacing w:after="0" w:line="23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are contained in the Organizational Documents that could delay or prevent a change of control.</w:t>
      </w:r>
    </w:p>
    <w:p>
      <w:pPr>
        <w:spacing w:after="0" w:line="215"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These provisions, among other things:</w:t>
      </w:r>
    </w:p>
    <w:p>
      <w:pPr>
        <w:spacing w:after="0" w:line="5" w:lineRule="exact"/>
        <w:rPr>
          <w:sz w:val="20"/>
          <w:szCs w:val="20"/>
          <w:color w:val="auto"/>
        </w:rPr>
      </w:pPr>
    </w:p>
    <w:p>
      <w:pPr>
        <w:ind w:firstLine="397"/>
        <w:spacing w:after="0" w:line="243" w:lineRule="auto"/>
        <w:tabs>
          <w:tab w:leader="none" w:pos="5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ind w:left="500" w:hanging="103"/>
        <w:spacing w:after="0" w:line="22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eliminate the ability of stockholders to call special meetings of stockholders;</w:t>
      </w:r>
    </w:p>
    <w:p>
      <w:pPr>
        <w:ind w:left="500" w:hanging="103"/>
        <w:spacing w:after="0" w:line="22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eliminate the ability of stockholders to fill vacancies on our board;</w:t>
      </w:r>
    </w:p>
    <w:p>
      <w:pPr>
        <w:ind w:firstLine="397"/>
        <w:spacing w:after="0" w:line="221" w:lineRule="auto"/>
        <w:tabs>
          <w:tab w:leader="none" w:pos="509"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ind w:left="500" w:hanging="103"/>
        <w:spacing w:after="0" w:line="22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permit our board to establish the number of directors;</w:t>
      </w:r>
    </w:p>
    <w:p>
      <w:pPr>
        <w:ind w:left="500" w:hanging="103"/>
        <w:spacing w:after="0" w:line="22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that our board is expressly authorized to make, alter or repeal the Bylaws; and</w:t>
      </w:r>
    </w:p>
    <w:p>
      <w:pPr>
        <w:ind w:left="500" w:hanging="103"/>
        <w:spacing w:after="0"/>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limit the jurisdictions in which certain stockholder litigation may be brought.</w:t>
      </w:r>
    </w:p>
    <w:p>
      <w:pPr>
        <w:spacing w:after="0" w:line="201" w:lineRule="exact"/>
        <w:rPr>
          <w:sz w:val="20"/>
          <w:szCs w:val="20"/>
          <w:color w:val="auto"/>
        </w:rPr>
      </w:pPr>
    </w:p>
    <w:p>
      <w:pPr>
        <w:jc w:val="both"/>
        <w:ind w:firstLine="398"/>
        <w:spacing w:after="0" w:line="296" w:lineRule="auto"/>
        <w:rPr>
          <w:sz w:val="20"/>
          <w:szCs w:val="20"/>
          <w:color w:val="auto"/>
        </w:rPr>
      </w:pPr>
      <w:r>
        <w:rPr>
          <w:rFonts w:ascii="Arial" w:cs="Arial" w:eastAsia="Arial" w:hAnsi="Arial"/>
          <w:sz w:val="14"/>
          <w:szCs w:val="14"/>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cause us to take other corporate actions you desire. See “Description of Securities — Anti-Takeover Effects of Provisions of Delaware Law and the Organizational Documents.”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200" w:lineRule="exact"/>
        <w:rPr>
          <w:sz w:val="20"/>
          <w:szCs w:val="20"/>
          <w:color w:val="auto"/>
        </w:rPr>
      </w:pPr>
    </w:p>
    <w:p>
      <w:pPr>
        <w:jc w:val="both"/>
        <w:ind w:firstLine="398"/>
        <w:spacing w:after="0" w:line="248"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93"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0" w:name="page101"/>
    <w:bookmarkEnd w:id="100"/>
    <w:p>
      <w:pPr>
        <w:jc w:val="both"/>
        <w:spacing w:after="0" w:line="248" w:lineRule="auto"/>
        <w:rPr>
          <w:sz w:val="20"/>
          <w:szCs w:val="20"/>
          <w:color w:val="auto"/>
        </w:rPr>
      </w:pPr>
      <w:r>
        <w:rPr>
          <w:rFonts w:ascii="Arial" w:cs="Arial" w:eastAsia="Arial" w:hAnsi="Arial"/>
          <w:sz w:val="17"/>
          <w:szCs w:val="17"/>
          <w:color w:val="auto"/>
        </w:rPr>
        <w:t>substantial uncertainty. Accordingly, as a result of the assumptions, the required lump-sum payment may be significantly in advance of, and could materially exceed, the realized future tax benefits to which the payment relates.</w:t>
      </w:r>
    </w:p>
    <w:p>
      <w:pPr>
        <w:spacing w:after="0" w:line="193"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4"/>
          <w:szCs w:val="14"/>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$316.0 million to approximately $356.0 million depending on OPAL Fuels’s rate of recovery of the tax basis increases associated with the deemed exchange of the OPAL Fuels Common Units (other than those held by us). This estimated Tax Receivable Agreement lump-sum payment is calculated using a discount rate equal to 3.58%, applied against an undiscounted liability of approximately $433.0 million. If the Tax Receivable Agreement Participants were to exchange all of their OPAL Fuels Common Units, OPAL would recognize a deferred tax asset of approximately $508.0 million and a related liability for payments under the Tax Receivable Agreement of approximately $432.0 million, assuming (i) that the Tax Receivable Agreement Participants redeemed or exchanged all of their OPAL Fuels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362" w:lineRule="exact"/>
        <w:rPr>
          <w:sz w:val="20"/>
          <w:szCs w:val="20"/>
          <w:color w:val="auto"/>
        </w:rPr>
      </w:pPr>
    </w:p>
    <w:p>
      <w:pPr>
        <w:jc w:val="both"/>
        <w:ind w:firstLine="398"/>
        <w:spacing w:after="0" w:line="239" w:lineRule="auto"/>
        <w:rPr>
          <w:sz w:val="20"/>
          <w:szCs w:val="20"/>
          <w:color w:val="auto"/>
        </w:rPr>
      </w:pPr>
      <w:r>
        <w:rPr>
          <w:rFonts w:ascii="Arial" w:cs="Arial" w:eastAsia="Arial" w:hAnsi="Arial"/>
          <w:sz w:val="17"/>
          <w:szCs w:val="17"/>
          <w:color w:val="auto"/>
        </w:rPr>
        <w:t>It is more likely than not that the deferred tax assets will not be realized in accordance with ASC Topic 740, ‘Income Taxes’.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99" w:lineRule="exact"/>
        <w:rPr>
          <w:sz w:val="20"/>
          <w:szCs w:val="20"/>
          <w:color w:val="auto"/>
        </w:rPr>
      </w:pPr>
    </w:p>
    <w:p>
      <w:pPr>
        <w:jc w:val="both"/>
        <w:ind w:firstLine="398"/>
        <w:spacing w:after="0" w:line="232" w:lineRule="auto"/>
        <w:rPr>
          <w:sz w:val="20"/>
          <w:szCs w:val="20"/>
          <w:color w:val="auto"/>
        </w:rPr>
      </w:pPr>
      <w:r>
        <w:rPr>
          <w:rFonts w:ascii="Arial" w:cs="Arial" w:eastAsia="Arial" w:hAnsi="Arial"/>
          <w:sz w:val="17"/>
          <w:szCs w:val="17"/>
          <w:color w:val="auto"/>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1685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Exhibit Index</w:t>
      </w:r>
    </w:p>
    <w:p>
      <w:pPr>
        <w:sectPr>
          <w:pgSz w:w="11900" w:h="16838" w:orient="portrait"/>
          <w:cols w:equalWidth="0" w:num="1">
            <w:col w:w="11220"/>
          </w:cols>
          <w:pgMar w:left="320" w:top="869" w:right="3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Exhibit</w:t>
      </w:r>
    </w:p>
    <w:p>
      <w:pPr>
        <w:ind w:left="1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60007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2.1†*</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3.1*</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3.2*</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4.2*</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10.1*</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10.2*</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10.3*</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10.4*</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10.5*</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10.6*</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10.7*</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10.8*</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10.9*</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10.10*</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10.11*</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10.12#*</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-231140</wp:posOffset>
            </wp:positionV>
            <wp:extent cx="7143115" cy="252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252730"/>
                    </a:xfrm>
                    <a:prstGeom prst="rect">
                      <a:avLst/>
                    </a:prstGeom>
                    <a:noFill/>
                  </pic:spPr>
                </pic:pic>
              </a:graphicData>
            </a:graphic>
          </wp:anchor>
        </w:drawing>
      </w:r>
    </w:p>
    <w:p>
      <w:pPr>
        <w:spacing w:after="0" w:line="12" w:lineRule="exact"/>
        <w:rPr>
          <w:sz w:val="20"/>
          <w:szCs w:val="20"/>
          <w:color w:val="auto"/>
        </w:rPr>
      </w:pPr>
    </w:p>
    <w:p>
      <w:pPr>
        <w:ind w:right="40"/>
        <w:spacing w:after="0" w:line="229" w:lineRule="auto"/>
        <w:rPr>
          <w:rFonts w:ascii="Arial" w:cs="Arial" w:eastAsia="Arial" w:hAnsi="Arial"/>
          <w:sz w:val="17"/>
          <w:szCs w:val="17"/>
          <w:color w:val="0000FF"/>
        </w:rPr>
      </w:pPr>
      <w:hyperlink r:id="rId114">
        <w:r>
          <w:rPr>
            <w:rFonts w:ascii="Arial" w:cs="Arial" w:eastAsia="Arial" w:hAnsi="Arial"/>
            <w:sz w:val="17"/>
            <w:szCs w:val="17"/>
            <w:u w:val="single" w:color="auto"/>
            <w:color w:val="0000FF"/>
          </w:rPr>
          <w:t>Business Combination Agreement, dated as of December 2, 2021, by and among ArcLight, OPAL Fuels and OPAL Holdco (incorporated by reference to</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Exhibit 2.1 of the Company’s Current Report on Form 8-K, filed with the SEC on December 3, 2021)</w:t>
        </w:r>
        <w:r>
          <w:rPr>
            <w:rFonts w:ascii="Arial" w:cs="Arial" w:eastAsia="Arial" w:hAnsi="Arial"/>
            <w:sz w:val="17"/>
            <w:szCs w:val="17"/>
            <w:color w:val="000000"/>
          </w:rPr>
          <w:t>.</w:t>
        </w:r>
      </w:hyperlink>
    </w:p>
    <w:p>
      <w:pPr>
        <w:spacing w:after="0" w:line="12" w:lineRule="exact"/>
        <w:rPr>
          <w:sz w:val="20"/>
          <w:szCs w:val="20"/>
          <w:color w:val="auto"/>
        </w:rPr>
      </w:pPr>
    </w:p>
    <w:p>
      <w:pPr>
        <w:ind w:right="340"/>
        <w:spacing w:after="0" w:line="229" w:lineRule="auto"/>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Restated Certificate of Incorporation of OPAL Fuels Inc. (incorporated by reference to Exhibit 3.1 to the Current Report on Form 8-K/A filed by the</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Company on August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Bylaws of OPAL Fuels Inc. (incorporated by reference to Exhibit 3.2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17145</wp:posOffset>
            </wp:positionV>
            <wp:extent cx="7143115" cy="244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line="8" w:lineRule="exact"/>
        <w:rPr>
          <w:sz w:val="20"/>
          <w:szCs w:val="20"/>
          <w:color w:val="auto"/>
        </w:rPr>
      </w:pPr>
    </w:p>
    <w:p>
      <w:pPr>
        <w:ind w:right="280"/>
        <w:spacing w:after="0" w:line="228" w:lineRule="auto"/>
        <w:rPr>
          <w:rFonts w:ascii="Arial" w:cs="Arial" w:eastAsia="Arial" w:hAnsi="Arial"/>
          <w:sz w:val="17"/>
          <w:szCs w:val="17"/>
          <w:color w:val="0000FF"/>
        </w:rPr>
      </w:pPr>
      <w:hyperlink r:id="rId119">
        <w:r>
          <w:rPr>
            <w:rFonts w:ascii="Arial" w:cs="Arial" w:eastAsia="Arial" w:hAnsi="Arial"/>
            <w:sz w:val="17"/>
            <w:szCs w:val="17"/>
            <w:u w:val="single" w:color="auto"/>
            <w:color w:val="0000FF"/>
          </w:rPr>
          <w:t>Specimen Warrant Certificate (incorporated by reference to Exhibit 4.3 to the Registration Statement on Form S-1 (File No. 333-252730) filed by the</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Registrant on March 8, 2021)</w:t>
        </w:r>
        <w:r>
          <w:rPr>
            <w:rFonts w:ascii="Arial" w:cs="Arial" w:eastAsia="Arial" w:hAnsi="Arial"/>
            <w:sz w:val="17"/>
            <w:szCs w:val="17"/>
            <w:color w:val="000000"/>
          </w:rPr>
          <w:t>.</w:t>
        </w:r>
      </w:hyperlink>
    </w:p>
    <w:p>
      <w:pPr>
        <w:spacing w:after="0" w:line="14" w:lineRule="exact"/>
        <w:rPr>
          <w:sz w:val="20"/>
          <w:szCs w:val="20"/>
          <w:color w:val="auto"/>
        </w:rPr>
      </w:pPr>
    </w:p>
    <w:p>
      <w:pPr>
        <w:ind w:right="100"/>
        <w:spacing w:after="0" w:line="229" w:lineRule="auto"/>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Warrant Agreement between Continental Stock Transfer &amp; Trust Company and ArcLight Clean Transition Corp. II, dated March 22, 2021 (incorporated</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by reference to Exhibit 4.1 to the Current Report on Form 8-K filed by the Company on March 26, 2021).</w:t>
        </w:r>
      </w:hyperlink>
    </w:p>
    <w:p>
      <w:pPr>
        <w:spacing w:after="0" w:line="12" w:lineRule="exact"/>
        <w:rPr>
          <w:sz w:val="20"/>
          <w:szCs w:val="20"/>
          <w:color w:val="auto"/>
        </w:rPr>
      </w:pPr>
    </w:p>
    <w:p>
      <w:pPr>
        <w:ind w:right="40"/>
        <w:spacing w:after="0" w:line="229" w:lineRule="auto"/>
        <w:rPr>
          <w:rFonts w:ascii="Arial" w:cs="Arial" w:eastAsia="Arial" w:hAnsi="Arial"/>
          <w:sz w:val="17"/>
          <w:szCs w:val="17"/>
          <w:color w:val="0000FF"/>
        </w:rPr>
      </w:pPr>
      <w:hyperlink r:id="rId121">
        <w:r>
          <w:rPr>
            <w:rFonts w:ascii="Arial" w:cs="Arial" w:eastAsia="Arial" w:hAnsi="Arial"/>
            <w:sz w:val="17"/>
            <w:szCs w:val="17"/>
            <w:u w:val="single" w:color="auto"/>
            <w:color w:val="0000FF"/>
          </w:rPr>
          <w:t>Form of OPAL Indemnification Agreement (incorporated by reference to Exhibit 10.1 to the Registration Statement on Form S-4 (File No. 333-262583),</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filed on May 6, 2022</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rPr>
          <w:rFonts w:ascii="Arial" w:cs="Arial" w:eastAsia="Arial" w:hAnsi="Arial"/>
          <w:sz w:val="14"/>
          <w:szCs w:val="14"/>
          <w:u w:val="single" w:color="auto"/>
          <w:color w:val="0000FF"/>
        </w:rPr>
      </w:pPr>
      <w:hyperlink r:id="rId123">
        <w:r>
          <w:rPr>
            <w:rFonts w:ascii="Arial" w:cs="Arial" w:eastAsia="Arial" w:hAnsi="Arial"/>
            <w:sz w:val="14"/>
            <w:szCs w:val="14"/>
            <w:u w:val="single" w:color="auto"/>
            <w:color w:val="0000FF"/>
          </w:rPr>
          <w:t>2022 Omnibus Equity Incentive Plan (incorporated by reference to Exhibit 10.2 to the Current Report on Form 8-K filed by the Company on July 27,</w:t>
        </w:r>
      </w:hyperlink>
    </w:p>
    <w:p>
      <w:pPr>
        <w:spacing w:after="0" w:line="15" w:lineRule="exact"/>
        <w:rPr>
          <w:sz w:val="20"/>
          <w:szCs w:val="20"/>
          <w:color w:val="auto"/>
        </w:rPr>
      </w:pPr>
    </w:p>
    <w:p>
      <w:pPr>
        <w:spacing w:after="0"/>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2022).</w:t>
        </w:r>
      </w:hyperlink>
    </w:p>
    <w:p>
      <w:pPr>
        <w:spacing w:after="0" w:line="14" w:lineRule="exact"/>
        <w:rPr>
          <w:sz w:val="20"/>
          <w:szCs w:val="20"/>
          <w:color w:val="auto"/>
        </w:rPr>
      </w:pPr>
    </w:p>
    <w:p>
      <w:pPr>
        <w:ind w:right="240"/>
        <w:spacing w:after="0" w:line="287" w:lineRule="auto"/>
        <w:rPr>
          <w:rFonts w:ascii="Arial" w:cs="Arial" w:eastAsia="Arial" w:hAnsi="Arial"/>
          <w:sz w:val="14"/>
          <w:szCs w:val="14"/>
          <w:color w:val="0000FF"/>
        </w:rPr>
      </w:pPr>
      <w:hyperlink r:id="rId124">
        <w:r>
          <w:rPr>
            <w:rFonts w:ascii="Arial" w:cs="Arial" w:eastAsia="Arial" w:hAnsi="Arial"/>
            <w:sz w:val="14"/>
            <w:szCs w:val="14"/>
            <w:u w:val="single" w:color="auto"/>
            <w:color w:val="0000FF"/>
          </w:rPr>
          <w:t>Letter Agreement, dated as of March 25, 2021, by and among ArcLight CTC Holdings II, L.P., ArcLight Clean Transition Corp. II and certain other</w:t>
        </w:r>
      </w:hyperlink>
      <w:r>
        <w:rPr>
          <w:rFonts w:ascii="Arial" w:cs="Arial" w:eastAsia="Arial" w:hAnsi="Arial"/>
          <w:sz w:val="14"/>
          <w:szCs w:val="14"/>
          <w:u w:val="single" w:color="auto"/>
          <w:color w:val="0000FF"/>
        </w:rPr>
        <w:t xml:space="preserve"> </w:t>
      </w:r>
      <w:hyperlink r:id="rId124">
        <w:r>
          <w:rPr>
            <w:rFonts w:ascii="Arial" w:cs="Arial" w:eastAsia="Arial" w:hAnsi="Arial"/>
            <w:sz w:val="14"/>
            <w:szCs w:val="14"/>
            <w:u w:val="single" w:color="auto"/>
            <w:color w:val="0000FF"/>
          </w:rPr>
          <w:t>parties thereto (incorporated by referenced to Exhibit 10.4 to the Company’s Current Report on Form 8-K filed by the Registrant on March 26, 2021)</w:t>
        </w:r>
      </w:hyperlink>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-243840</wp:posOffset>
            </wp:positionV>
            <wp:extent cx="7143115" cy="2444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jc w:val="both"/>
        <w:spacing w:after="0" w:line="218" w:lineRule="auto"/>
        <w:rPr>
          <w:rFonts w:ascii="Arial" w:cs="Arial" w:eastAsia="Arial" w:hAnsi="Arial"/>
          <w:sz w:val="17"/>
          <w:szCs w:val="17"/>
          <w:u w:val="single" w:color="auto"/>
          <w:color w:val="0000FF"/>
        </w:rPr>
      </w:pPr>
      <w:hyperlink r:id="rId126">
        <w:r>
          <w:rPr>
            <w:rFonts w:ascii="Arial" w:cs="Arial" w:eastAsia="Arial" w:hAnsi="Arial"/>
            <w:sz w:val="17"/>
            <w:szCs w:val="17"/>
            <w:u w:val="single" w:color="auto"/>
            <w:color w:val="0000FF"/>
          </w:rPr>
          <w:t>Sponsor Letter Agreement, dated as of December 2, 2021, by and among OPAL Fuels LLC, ArcLight Clean Transition Corp. II and certain other parties</w:t>
        </w:r>
      </w:hyperlink>
      <w:r>
        <w:rPr>
          <w:rFonts w:ascii="Arial" w:cs="Arial" w:eastAsia="Arial" w:hAnsi="Arial"/>
          <w:sz w:val="17"/>
          <w:szCs w:val="17"/>
          <w:u w:val="single" w:color="auto"/>
          <w:color w:val="0000FF"/>
        </w:rPr>
        <w:t xml:space="preserve"> </w:t>
      </w:r>
      <w:hyperlink r:id="rId126">
        <w:r>
          <w:rPr>
            <w:rFonts w:ascii="Arial" w:cs="Arial" w:eastAsia="Arial" w:hAnsi="Arial"/>
            <w:sz w:val="17"/>
            <w:szCs w:val="17"/>
            <w:u w:val="single" w:color="auto"/>
            <w:color w:val="0000FF"/>
          </w:rPr>
          <w:t>thereto (incorporated by reference to incorporated by referenced to Exhibit 10.2 to the Company’s Current Report on Form 8-K filed by the Registrant on</w:t>
        </w:r>
      </w:hyperlink>
      <w:r>
        <w:rPr>
          <w:rFonts w:ascii="Arial" w:cs="Arial" w:eastAsia="Arial" w:hAnsi="Arial"/>
          <w:sz w:val="17"/>
          <w:szCs w:val="17"/>
          <w:u w:val="single" w:color="auto"/>
          <w:color w:val="0000FF"/>
        </w:rPr>
        <w:t xml:space="preserve"> </w:t>
      </w:r>
      <w:hyperlink r:id="rId126">
        <w:r>
          <w:rPr>
            <w:rFonts w:ascii="Arial" w:cs="Arial" w:eastAsia="Arial" w:hAnsi="Arial"/>
            <w:sz w:val="17"/>
            <w:szCs w:val="17"/>
            <w:u w:val="single" w:color="auto"/>
            <w:color w:val="0000FF"/>
          </w:rPr>
          <w:t>December 3, 2021)</w:t>
        </w:r>
      </w:hyperlink>
    </w:p>
    <w:p>
      <w:pPr>
        <w:spacing w:after="0" w:line="14" w:lineRule="exact"/>
        <w:rPr>
          <w:rFonts w:ascii="Arial" w:cs="Arial" w:eastAsia="Arial" w:hAnsi="Arial"/>
          <w:sz w:val="17"/>
          <w:szCs w:val="17"/>
          <w:u w:val="single" w:color="auto"/>
          <w:color w:val="0000FF"/>
        </w:rPr>
      </w:pPr>
    </w:p>
    <w:p>
      <w:pPr>
        <w:ind w:right="460"/>
        <w:spacing w:after="0" w:line="229" w:lineRule="auto"/>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Form of Subscription Agreement (incorporated by reference to Exhibit 10.1 of the Company’s Current Report on Form 8-K, filed with the SEC on</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60"/>
        <w:spacing w:after="0" w:line="229" w:lineRule="auto"/>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Form of Amendment No. 1 to the Subscription Agreement (incorporated by reference to Exhibit 10.1 of the Company’s Current Report on Form 8-K,</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filed with the SEC on May 12, 2022).</w:t>
        </w:r>
      </w:hyperlink>
    </w:p>
    <w:p>
      <w:pPr>
        <w:spacing w:after="0" w:line="12" w:lineRule="exact"/>
        <w:rPr>
          <w:sz w:val="20"/>
          <w:szCs w:val="20"/>
          <w:color w:val="auto"/>
        </w:rPr>
      </w:pPr>
    </w:p>
    <w:p>
      <w:pPr>
        <w:ind w:right="260"/>
        <w:spacing w:after="0" w:line="229" w:lineRule="auto"/>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Tax Receivable Agreement, dated July 21, 2022, by and among OPAL Fuels Inc. and the persons named therein (incorporated by reference to Exhibit</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10.6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140"/>
        <w:spacing w:after="0" w:line="246"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Investor Rights Agreement, dated July 21, 2022, by and among OPAL Fuels Inc., ArcLight CTC Holdings II, L.P., and the other persons named therein</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(incorporated by reference to Exhibit 10.7 to the Current Report on Form 8-K filed by the Company on July 27, 2022).</w:t>
        </w:r>
      </w:hyperlink>
    </w:p>
    <w:p>
      <w:pPr>
        <w:spacing w:after="0" w:line="8" w:lineRule="exact"/>
        <w:rPr>
          <w:sz w:val="20"/>
          <w:szCs w:val="20"/>
          <w:color w:val="auto"/>
        </w:rPr>
      </w:pPr>
    </w:p>
    <w:p>
      <w:pPr>
        <w:ind w:right="440"/>
        <w:spacing w:after="0" w:line="229" w:lineRule="auto"/>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Second A&amp;R LLC Agreement of OPAL Fuels, including any Certificates of Designations (incorporated by reference to Exhibit 10.8 to the Current</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380"/>
        <w:spacing w:after="0" w:line="271" w:lineRule="auto"/>
        <w:rPr>
          <w:rFonts w:ascii="Arial" w:cs="Arial" w:eastAsia="Arial" w:hAnsi="Arial"/>
          <w:sz w:val="14"/>
          <w:szCs w:val="14"/>
          <w:u w:val="single" w:color="auto"/>
          <w:color w:val="0000FF"/>
        </w:rPr>
      </w:pPr>
      <w:hyperlink r:id="rId135">
        <w:r>
          <w:rPr>
            <w:rFonts w:ascii="Arial" w:cs="Arial" w:eastAsia="Arial" w:hAnsi="Arial"/>
            <w:sz w:val="14"/>
            <w:szCs w:val="14"/>
            <w:u w:val="single" w:color="auto"/>
            <w:color w:val="0000FF"/>
          </w:rPr>
          <w:t>Delayed Draw Term Loan and Guaranty Agreement, dated October 22, 2021, by and among OPAL Fuels Intermediate Holdco LLC, the Guarantors</w:t>
        </w:r>
      </w:hyperlink>
      <w:r>
        <w:rPr>
          <w:rFonts w:ascii="Arial" w:cs="Arial" w:eastAsia="Arial" w:hAnsi="Arial"/>
          <w:sz w:val="14"/>
          <w:szCs w:val="14"/>
          <w:u w:val="single" w:color="auto"/>
          <w:color w:val="0000FF"/>
        </w:rPr>
        <w:t xml:space="preserve"> </w:t>
      </w:r>
      <w:hyperlink r:id="rId135">
        <w:r>
          <w:rPr>
            <w:rFonts w:ascii="Arial" w:cs="Arial" w:eastAsia="Arial" w:hAnsi="Arial"/>
            <w:sz w:val="14"/>
            <w:szCs w:val="14"/>
            <w:u w:val="single" w:color="auto"/>
            <w:color w:val="0000FF"/>
          </w:rPr>
          <w:t>named on the signature pages thereto, and the Lenders (as defined therein), and Bank of America, N.A., as Administrative Agent for the Lenders</w:t>
        </w:r>
      </w:hyperlink>
      <w:r>
        <w:rPr>
          <w:rFonts w:ascii="Arial" w:cs="Arial" w:eastAsia="Arial" w:hAnsi="Arial"/>
          <w:sz w:val="14"/>
          <w:szCs w:val="14"/>
          <w:u w:val="single" w:color="auto"/>
          <w:color w:val="0000FF"/>
        </w:rPr>
        <w:t xml:space="preserve"> </w:t>
      </w:r>
      <w:hyperlink r:id="rId135">
        <w:r>
          <w:rPr>
            <w:rFonts w:ascii="Arial" w:cs="Arial" w:eastAsia="Arial" w:hAnsi="Arial"/>
            <w:sz w:val="14"/>
            <w:szCs w:val="14"/>
            <w:u w:val="single" w:color="auto"/>
            <w:color w:val="0000FF"/>
          </w:rPr>
          <w:t>(incorporated by reference to Exhibit 10.8 to the Registration Statement on Form S-4 (File No. 333-262583), filed on March 25, 2022).</w:t>
        </w:r>
      </w:hyperlink>
    </w:p>
    <w:p>
      <w:pPr>
        <w:spacing w:after="0" w:line="2" w:lineRule="exact"/>
        <w:rPr>
          <w:rFonts w:ascii="Arial" w:cs="Arial" w:eastAsia="Arial" w:hAnsi="Arial"/>
          <w:sz w:val="14"/>
          <w:szCs w:val="14"/>
          <w:u w:val="single" w:color="auto"/>
          <w:color w:val="0000FF"/>
        </w:rPr>
      </w:pPr>
    </w:p>
    <w:p>
      <w:pPr>
        <w:ind w:right="40"/>
        <w:spacing w:after="0" w:line="229" w:lineRule="auto"/>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Amendment No. 1 to Delayed Draw Term Loan and Guaranty Agreement and Waiver, dated February 1, 2022 (incorporated by reference to Exhibit 10.9</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jc w:val="both"/>
        <w:ind w:right="60"/>
        <w:spacing w:after="0" w:line="218" w:lineRule="auto"/>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Environmental Attributes Purchase and Sale Agreement, dated November 29, 2021, by and between, on the one hand, NextEra Energy Marketing, LLC</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and, on the other hand, TruStar Energy LLC and OPAL Fuels LLC (incorporated by reference to Exhibit 10.10 to the Registration Statement on Form S-</w:t>
        </w:r>
      </w:hyperlink>
      <w:hyperlink r:id="rId138">
        <w:r>
          <w:rPr>
            <w:rFonts w:ascii="Arial" w:cs="Arial" w:eastAsia="Arial" w:hAnsi="Arial"/>
            <w:sz w:val="17"/>
            <w:szCs w:val="17"/>
            <w:u w:val="single" w:color="auto"/>
            <w:color w:val="0000FF"/>
          </w:rPr>
          <w:t>4 (File No. 333-262583), filed on March 25, 2022).</w:t>
        </w:r>
      </w:hyperlink>
    </w:p>
    <w:p>
      <w:pPr>
        <w:spacing w:after="0" w:line="14" w:lineRule="exact"/>
        <w:rPr>
          <w:rFonts w:ascii="Arial" w:cs="Arial" w:eastAsia="Arial" w:hAnsi="Arial"/>
          <w:sz w:val="17"/>
          <w:szCs w:val="17"/>
          <w:u w:val="single" w:color="auto"/>
          <w:color w:val="0000FF"/>
        </w:rPr>
      </w:pPr>
    </w:p>
    <w:p>
      <w:pPr>
        <w:ind w:right="100"/>
        <w:spacing w:after="0" w:line="246" w:lineRule="auto"/>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Administrative Services Agreement, dated December 31, 2021, by and between OPAL Fuels and Fortistar Services 2 LLC (incorporated by reference to</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Exhibit 10.11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-238760</wp:posOffset>
            </wp:positionV>
            <wp:extent cx="7143115" cy="244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280"/>
            <w:col w:w="10180"/>
          </w:cols>
          <w:pgMar w:left="320" w:top="869" w:right="3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74295</wp:posOffset>
            </wp:positionV>
            <wp:extent cx="71685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type w:val="continuous"/>
        </w:sectPr>
      </w:pPr>
    </w:p>
    <w:bookmarkStart w:id="102" w:name="page103"/>
    <w:bookmarkEnd w:id="102"/>
    <w:p>
      <w:pPr>
        <w:spacing w:after="0" w:line="87" w:lineRule="exact"/>
        <w:rPr>
          <w:sz w:val="20"/>
          <w:szCs w:val="20"/>
          <w:color w:val="auto"/>
        </w:rPr>
      </w:pPr>
    </w:p>
    <w:p>
      <w:pPr>
        <w:ind w:left="184"/>
        <w:spacing w:after="0"/>
        <w:rPr>
          <w:sz w:val="20"/>
          <w:szCs w:val="20"/>
          <w:color w:val="auto"/>
        </w:rPr>
      </w:pPr>
      <w:r>
        <w:rPr>
          <w:rFonts w:ascii="Arial" w:cs="Arial" w:eastAsia="Arial" w:hAnsi="Arial"/>
          <w:sz w:val="14"/>
          <w:szCs w:val="14"/>
          <w:color w:val="auto"/>
        </w:rPr>
        <w:t>10.14#*</w:t>
      </w:r>
    </w:p>
    <w:p>
      <w:pPr>
        <w:spacing w:after="0" w:line="224" w:lineRule="exact"/>
        <w:rPr>
          <w:sz w:val="20"/>
          <w:szCs w:val="20"/>
          <w:color w:val="auto"/>
        </w:rPr>
      </w:pPr>
    </w:p>
    <w:p>
      <w:pPr>
        <w:ind w:left="184"/>
        <w:spacing w:after="0"/>
        <w:rPr>
          <w:sz w:val="20"/>
          <w:szCs w:val="20"/>
          <w:color w:val="auto"/>
        </w:rPr>
      </w:pPr>
      <w:r>
        <w:rPr>
          <w:rFonts w:ascii="Arial" w:cs="Arial" w:eastAsia="Arial" w:hAnsi="Arial"/>
          <w:sz w:val="14"/>
          <w:szCs w:val="14"/>
          <w:color w:val="auto"/>
        </w:rPr>
        <w:t>10.15#*</w:t>
      </w:r>
    </w:p>
    <w:p>
      <w:pPr>
        <w:spacing w:after="0" w:line="224" w:lineRule="exact"/>
        <w:rPr>
          <w:sz w:val="20"/>
          <w:szCs w:val="20"/>
          <w:color w:val="auto"/>
        </w:rPr>
      </w:pPr>
    </w:p>
    <w:p>
      <w:pPr>
        <w:ind w:left="224"/>
        <w:spacing w:after="0"/>
        <w:rPr>
          <w:sz w:val="20"/>
          <w:szCs w:val="20"/>
          <w:color w:val="auto"/>
        </w:rPr>
      </w:pPr>
      <w:r>
        <w:rPr>
          <w:rFonts w:ascii="Arial" w:cs="Arial" w:eastAsia="Arial" w:hAnsi="Arial"/>
          <w:sz w:val="17"/>
          <w:szCs w:val="17"/>
          <w:color w:val="auto"/>
        </w:rPr>
        <w:t>10.16*</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10.17*</w:t>
      </w:r>
    </w:p>
    <w:p>
      <w:pPr>
        <w:spacing w:after="0" w:line="264" w:lineRule="exact"/>
        <w:rPr>
          <w:sz w:val="20"/>
          <w:szCs w:val="20"/>
          <w:color w:val="auto"/>
        </w:rPr>
      </w:pPr>
    </w:p>
    <w:p>
      <w:pPr>
        <w:ind w:left="224"/>
        <w:spacing w:after="0"/>
        <w:rPr>
          <w:sz w:val="20"/>
          <w:szCs w:val="20"/>
          <w:color w:val="auto"/>
        </w:rPr>
      </w:pPr>
      <w:r>
        <w:rPr>
          <w:rFonts w:ascii="Arial" w:cs="Arial" w:eastAsia="Arial" w:hAnsi="Arial"/>
          <w:sz w:val="17"/>
          <w:szCs w:val="17"/>
          <w:color w:val="auto"/>
        </w:rPr>
        <w:t>10.18*</w:t>
      </w:r>
    </w:p>
    <w:p>
      <w:pPr>
        <w:spacing w:after="0" w:line="351" w:lineRule="exact"/>
        <w:rPr>
          <w:sz w:val="20"/>
          <w:szCs w:val="20"/>
          <w:color w:val="auto"/>
        </w:rPr>
      </w:pPr>
    </w:p>
    <w:p>
      <w:pPr>
        <w:ind w:left="224"/>
        <w:spacing w:after="0"/>
        <w:rPr>
          <w:sz w:val="20"/>
          <w:szCs w:val="20"/>
          <w:color w:val="auto"/>
        </w:rPr>
      </w:pPr>
      <w:r>
        <w:rPr>
          <w:rFonts w:ascii="Arial" w:cs="Arial" w:eastAsia="Arial" w:hAnsi="Arial"/>
          <w:sz w:val="17"/>
          <w:szCs w:val="17"/>
          <w:color w:val="auto"/>
        </w:rPr>
        <w:t>10.19*</w:t>
      </w:r>
    </w:p>
    <w:p>
      <w:pPr>
        <w:spacing w:after="0" w:line="277" w:lineRule="exact"/>
        <w:rPr>
          <w:sz w:val="20"/>
          <w:szCs w:val="20"/>
          <w:color w:val="auto"/>
        </w:rPr>
      </w:pPr>
    </w:p>
    <w:p>
      <w:pPr>
        <w:ind w:left="224"/>
        <w:spacing w:after="0"/>
        <w:rPr>
          <w:sz w:val="20"/>
          <w:szCs w:val="20"/>
          <w:color w:val="auto"/>
        </w:rPr>
      </w:pPr>
      <w:r>
        <w:rPr>
          <w:rFonts w:ascii="Arial" w:cs="Arial" w:eastAsia="Arial" w:hAnsi="Arial"/>
          <w:sz w:val="17"/>
          <w:szCs w:val="17"/>
          <w:color w:val="auto"/>
        </w:rPr>
        <w:t>10.20*</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31.1**</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31.2**</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31.3**</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32.1**</w:t>
      </w:r>
    </w:p>
    <w:p>
      <w:pPr>
        <w:spacing w:after="0" w:line="190"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32.2**</w:t>
      </w:r>
    </w:p>
    <w:p>
      <w:pPr>
        <w:spacing w:after="0" w:line="103" w:lineRule="exact"/>
        <w:rPr>
          <w:sz w:val="20"/>
          <w:szCs w:val="20"/>
          <w:color w:val="auto"/>
        </w:rPr>
      </w:pPr>
    </w:p>
    <w:p>
      <w:pPr>
        <w:ind w:left="224"/>
        <w:spacing w:after="0"/>
        <w:rPr>
          <w:sz w:val="20"/>
          <w:szCs w:val="20"/>
          <w:color w:val="auto"/>
        </w:rPr>
      </w:pPr>
      <w:r>
        <w:rPr>
          <w:rFonts w:ascii="Arial" w:cs="Arial" w:eastAsia="Arial" w:hAnsi="Arial"/>
          <w:sz w:val="17"/>
          <w:szCs w:val="17"/>
          <w:color w:val="auto"/>
        </w:rPr>
        <w:t>32.3**</w:t>
      </w:r>
    </w:p>
    <w:p>
      <w:pPr>
        <w:spacing w:after="0" w:line="351" w:lineRule="exact"/>
        <w:rPr>
          <w:sz w:val="20"/>
          <w:szCs w:val="20"/>
          <w:color w:val="auto"/>
        </w:rPr>
      </w:pPr>
    </w:p>
    <w:p>
      <w:pPr>
        <w:ind w:left="244"/>
        <w:spacing w:after="0"/>
        <w:rPr>
          <w:sz w:val="20"/>
          <w:szCs w:val="20"/>
          <w:color w:val="auto"/>
        </w:rPr>
      </w:pPr>
      <w:r>
        <w:rPr>
          <w:rFonts w:ascii="Arial" w:cs="Arial" w:eastAsia="Arial" w:hAnsi="Arial"/>
          <w:sz w:val="17"/>
          <w:szCs w:val="17"/>
          <w:color w:val="auto"/>
        </w:rPr>
        <w:t>101**</w:t>
      </w:r>
    </w:p>
    <w:p>
      <w:pPr>
        <w:spacing w:after="0" w:line="351" w:lineRule="exact"/>
        <w:rPr>
          <w:sz w:val="20"/>
          <w:szCs w:val="20"/>
          <w:color w:val="auto"/>
        </w:rPr>
      </w:pPr>
    </w:p>
    <w:p>
      <w:pPr>
        <w:ind w:left="244"/>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ind w:right="540"/>
        <w:spacing w:after="0" w:line="246" w:lineRule="auto"/>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Indemnification and Hold Harmless Agreement, dated December 31, 2020, by and between OPAL Fuels LLC and Fortistar LLC (incorporated by</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reference to Exhibit 10.12 to the Registration Statement on Form S-4 (File No. 333-262583), filed on March 25, 2022).</w:t>
        </w:r>
      </w:hyperlink>
    </w:p>
    <w:p>
      <w:pPr>
        <w:spacing w:after="0" w:line="8" w:lineRule="exact"/>
        <w:rPr>
          <w:sz w:val="20"/>
          <w:szCs w:val="20"/>
          <w:color w:val="auto"/>
        </w:rPr>
      </w:pPr>
    </w:p>
    <w:p>
      <w:pPr>
        <w:ind w:right="140"/>
        <w:spacing w:after="0" w:line="287" w:lineRule="auto"/>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Flue Gas Offtake and Preferred Partner Agreement, dated November 29, 2021, by and between CarbonFree Chemicals Holdings, LLC and OPAL Fuels</w:t>
        </w:r>
      </w:hyperlink>
      <w:r>
        <w:rPr>
          <w:rFonts w:ascii="Arial" w:cs="Arial" w:eastAsia="Arial" w:hAnsi="Arial"/>
          <w:sz w:val="14"/>
          <w:szCs w:val="14"/>
          <w:u w:val="single" w:color="auto"/>
          <w:color w:val="0000FF"/>
        </w:rPr>
        <w:t xml:space="preserve"> </w:t>
      </w:r>
      <w:hyperlink r:id="rId143">
        <w:r>
          <w:rPr>
            <w:rFonts w:ascii="Arial" w:cs="Arial" w:eastAsia="Arial" w:hAnsi="Arial"/>
            <w:sz w:val="14"/>
            <w:szCs w:val="14"/>
            <w:u w:val="single" w:color="auto"/>
            <w:color w:val="0000FF"/>
          </w:rPr>
          <w:t>LLC (incorporated by reference to Exhibit 10.13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-243840</wp:posOffset>
            </wp:positionV>
            <wp:extent cx="7143115" cy="244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40"/>
        <w:spacing w:after="0" w:line="229" w:lineRule="auto"/>
        <w:rPr>
          <w:rFonts w:ascii="Arial" w:cs="Arial" w:eastAsia="Arial" w:hAnsi="Arial"/>
          <w:sz w:val="17"/>
          <w:szCs w:val="17"/>
          <w:u w:val="single" w:color="auto"/>
          <w:color w:val="0000FF"/>
        </w:rPr>
      </w:pPr>
      <w:hyperlink r:id="rId145">
        <w:r>
          <w:rPr>
            <w:rFonts w:ascii="Arial" w:cs="Arial" w:eastAsia="Arial" w:hAnsi="Arial"/>
            <w:sz w:val="17"/>
            <w:szCs w:val="17"/>
            <w:u w:val="single" w:color="auto"/>
            <w:color w:val="0000FF"/>
          </w:rPr>
          <w:t>Amendment No. 3 to Delayed Draw Term Loan and Guaranty Agreement, dated September 29, 2022 (incorporated by reference to Exhibit 10.1 to the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Current Report on Form 8-K filed by the Company on October 3, 2022).</w:t>
        </w:r>
      </w:hyperlink>
    </w:p>
    <w:p>
      <w:pPr>
        <w:spacing w:after="0" w:line="12" w:lineRule="exact"/>
        <w:rPr>
          <w:sz w:val="20"/>
          <w:szCs w:val="20"/>
          <w:color w:val="auto"/>
        </w:rPr>
      </w:pPr>
    </w:p>
    <w:p>
      <w:pPr>
        <w:ind w:right="220"/>
        <w:spacing w:after="0" w:line="229" w:lineRule="auto"/>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Form of Stock Award Agreement dated September 15, 2022 (incorporated by reference to Exhibit 10.1 to the Current Report on Form 8-K filed by the</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Company on September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100"/>
        <w:spacing w:after="0" w:line="260" w:lineRule="auto"/>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Forward Purchase Agreement, dated July 18, 2022, among ArcLight Clean Transition Corp. II, Meteora Special Opportunity Fund I, LP, Meteora Select</w:t>
        </w:r>
      </w:hyperlink>
      <w:r>
        <w:rPr>
          <w:rFonts w:ascii="Arial" w:cs="Arial" w:eastAsia="Arial" w:hAnsi="Arial"/>
          <w:sz w:val="14"/>
          <w:szCs w:val="14"/>
          <w:u w:val="single" w:color="auto"/>
          <w:color w:val="0000FF"/>
        </w:rPr>
        <w:t xml:space="preserve"> </w:t>
      </w:r>
      <w:hyperlink r:id="rId148">
        <w:r>
          <w:rPr>
            <w:rFonts w:ascii="Arial" w:cs="Arial" w:eastAsia="Arial" w:hAnsi="Arial"/>
            <w:sz w:val="14"/>
            <w:szCs w:val="14"/>
            <w:u w:val="single" w:color="auto"/>
            <w:color w:val="0000FF"/>
          </w:rPr>
          <w:t>Trading Opportunities Master, LP and Meteora Capital Partners, LP (incorporated by reference to Exhibit 10.1 to the Current Report on Form 8-K filed</w:t>
        </w:r>
      </w:hyperlink>
    </w:p>
    <w:p>
      <w:pPr>
        <w:spacing w:after="0" w:line="1" w:lineRule="exact"/>
        <w:rPr>
          <w:sz w:val="20"/>
          <w:szCs w:val="20"/>
          <w:color w:val="auto"/>
        </w:rPr>
      </w:pPr>
    </w:p>
    <w:p>
      <w:pPr>
        <w:spacing w:after="0"/>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by the Company on July 18,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1270</wp:posOffset>
            </wp:positionV>
            <wp:extent cx="7143115" cy="347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43115" cy="347345"/>
                    </a:xfrm>
                    <a:prstGeom prst="rect">
                      <a:avLst/>
                    </a:prstGeom>
                    <a:noFill/>
                  </pic:spPr>
                </pic:pic>
              </a:graphicData>
            </a:graphic>
          </wp:anchor>
        </w:drawing>
      </w:r>
    </w:p>
    <w:p>
      <w:pPr>
        <w:ind w:right="300"/>
        <w:spacing w:after="0" w:line="260" w:lineRule="auto"/>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Credit Agreement, dated August 4, 2022, made by and among OPAL Intermediate Holdco 2 as Borrower, the guarantors, the lenders thereto, Bank of</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Montreal as the administration agent, Wilmington Trust as collateral agent and Bank of Montreal, Investec Inc. and Comerica Bank as joint lead</w:t>
        </w:r>
      </w:hyperlink>
    </w:p>
    <w:p>
      <w:pPr>
        <w:spacing w:after="0"/>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arrangers (incorporated by reference to Exhibit 10.1 to the Current Report on Form 8-K filed by the Company on August 8, 2022).</w:t>
        </w:r>
      </w:hyperlink>
    </w:p>
    <w:p>
      <w:pPr>
        <w:spacing w:after="0" w:line="2" w:lineRule="exact"/>
        <w:rPr>
          <w:sz w:val="20"/>
          <w:szCs w:val="20"/>
          <w:color w:val="auto"/>
        </w:rPr>
      </w:pPr>
    </w:p>
    <w:p>
      <w:pPr>
        <w:ind w:right="100"/>
        <w:spacing w:after="0" w:line="228" w:lineRule="auto"/>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Promissory Note, dated as of May 16, 2022, by and between Arclight and Sponsor (incorporated by reference to Exhibit 10.6 to the Quarterly Report on</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Form 10-Q filed by the Company on August 10, 2022).</w:t>
        </w:r>
      </w:hyperlink>
    </w:p>
    <w:p>
      <w:pPr>
        <w:spacing w:after="0" w:line="14" w:lineRule="exact"/>
        <w:rPr>
          <w:sz w:val="20"/>
          <w:szCs w:val="20"/>
          <w:color w:val="auto"/>
        </w:rPr>
      </w:pPr>
    </w:p>
    <w:p>
      <w:pPr>
        <w:ind w:right="480"/>
        <w:spacing w:after="0" w:line="229" w:lineRule="auto"/>
        <w:rPr>
          <w:sz w:val="20"/>
          <w:szCs w:val="20"/>
          <w:color w:val="auto"/>
        </w:rPr>
      </w:pPr>
      <w:r>
        <w:rPr>
          <w:rFonts w:ascii="Arial" w:cs="Arial" w:eastAsia="Arial" w:hAnsi="Arial"/>
          <w:sz w:val="17"/>
          <w:szCs w:val="17"/>
          <w:u w:val="single" w:color="auto"/>
          <w:color w:val="0000FF"/>
        </w:rPr>
        <w:t>Certification of Co-Principal Executive Officer Pursuant to Rules 13a-14(a) and 15d-14(a) under the Securities Exchange Act of 1934, as Adopted Pursuant to Section 302 of the Sarbanes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480"/>
        <w:spacing w:after="0" w:line="229" w:lineRule="auto"/>
        <w:rPr>
          <w:sz w:val="20"/>
          <w:szCs w:val="20"/>
          <w:color w:val="auto"/>
        </w:rPr>
      </w:pPr>
      <w:r>
        <w:rPr>
          <w:rFonts w:ascii="Arial" w:cs="Arial" w:eastAsia="Arial" w:hAnsi="Arial"/>
          <w:sz w:val="17"/>
          <w:szCs w:val="17"/>
          <w:u w:val="single" w:color="auto"/>
          <w:color w:val="0000FF"/>
        </w:rPr>
        <w:t>Certification of Co-Principal Executive Officer Pursuant to Rules 13a-14(a) and 15d-14(a) under the Securities Exchange Act of 1934, as Adopted Pursuant to Section 302 of the Sarbanes -Oxley Act of 2002.</w:t>
      </w:r>
    </w:p>
    <w:p>
      <w:pPr>
        <w:spacing w:after="0" w:line="12"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40"/>
        <w:spacing w:after="0" w:line="229" w:lineRule="auto"/>
        <w:rPr>
          <w:sz w:val="20"/>
          <w:szCs w:val="20"/>
          <w:color w:val="auto"/>
        </w:rPr>
      </w:pPr>
      <w:r>
        <w:rPr>
          <w:rFonts w:ascii="Arial" w:cs="Arial" w:eastAsia="Arial" w:hAnsi="Arial"/>
          <w:sz w:val="17"/>
          <w:szCs w:val="17"/>
          <w:u w:val="single" w:color="auto"/>
          <w:color w:val="0000FF"/>
        </w:rPr>
        <w:t>Certification of Co-Principal Executive Officer Pursuant to 18 U.S.C. Section 1350, as Adopted Pursuant to Section 906 of the Sarbanes-Oxley Act of 2002.</w:t>
      </w:r>
    </w:p>
    <w:p>
      <w:pPr>
        <w:spacing w:after="0" w:line="12"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-236220</wp:posOffset>
            </wp:positionV>
            <wp:extent cx="7143115" cy="2444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31750</wp:posOffset>
            </wp:positionV>
            <wp:extent cx="7143115" cy="560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43115" cy="560705"/>
                    </a:xfrm>
                    <a:prstGeom prst="rect">
                      <a:avLst/>
                    </a:prstGeom>
                    <a:noFill/>
                  </pic:spPr>
                </pic:pic>
              </a:graphicData>
            </a:graphic>
          </wp:anchor>
        </w:drawing>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materials from OPAL Fuels Inc.'s Quarterly Report on Form 10Q for the quarter ended September 30, 2022, formatted in eXtensible Business Reporting Language (XBRL): (i) Condensed Consolidated Balance Sheets ( unaudited), (ii) Condensed Consolidated Statements of Operations</w:t>
      </w:r>
    </w:p>
    <w:p>
      <w:pPr>
        <w:jc w:val="both"/>
        <w:spacing w:after="0" w:line="213" w:lineRule="auto"/>
        <w:rPr>
          <w:sz w:val="20"/>
          <w:szCs w:val="20"/>
          <w:color w:val="auto"/>
        </w:rPr>
      </w:pPr>
      <w:r>
        <w:rPr>
          <w:rFonts w:ascii="Arial" w:cs="Arial" w:eastAsia="Arial" w:hAnsi="Arial"/>
          <w:sz w:val="17"/>
          <w:szCs w:val="17"/>
          <w:color w:val="auto"/>
        </w:rPr>
        <w:t>(unaudited),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724" w:space="300"/>
            <w:col w:w="10200"/>
          </w:cols>
          <w:pgMar w:left="336" w:top="910" w:right="339" w:bottom="1440" w:gutter="0" w:footer="0" w:header="0"/>
        </w:sectPr>
      </w:pPr>
    </w:p>
    <w:p>
      <w:pPr>
        <w:spacing w:after="0" w:line="151" w:lineRule="exact"/>
        <w:rPr>
          <w:sz w:val="20"/>
          <w:szCs w:val="20"/>
          <w:color w:val="auto"/>
        </w:rPr>
      </w:pPr>
    </w:p>
    <w:p>
      <w:pPr>
        <w:ind w:left="624" w:hanging="624"/>
        <w:spacing w:after="0"/>
        <w:tabs>
          <w:tab w:leader="none" w:pos="6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16"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4"/>
          <w:szCs w:val="14"/>
          <w:color w:val="auto"/>
        </w:rPr>
        <w:t>Filed herewith.</w:t>
      </w:r>
    </w:p>
    <w:p>
      <w:pPr>
        <w:spacing w:after="0" w:line="16" w:lineRule="exact"/>
        <w:rPr>
          <w:sz w:val="20"/>
          <w:szCs w:val="20"/>
          <w:color w:val="auto"/>
        </w:rPr>
      </w:pPr>
    </w:p>
    <w:p>
      <w:pPr>
        <w:ind w:left="624"/>
        <w:spacing w:after="0"/>
        <w:rPr>
          <w:sz w:val="20"/>
          <w:szCs w:val="20"/>
          <w:color w:val="auto"/>
        </w:rPr>
      </w:pPr>
      <w:r>
        <w:rPr>
          <w:rFonts w:ascii="Arial" w:cs="Arial" w:eastAsia="Arial" w:hAnsi="Arial"/>
          <w:sz w:val="14"/>
          <w:szCs w:val="14"/>
          <w:color w:val="auto"/>
        </w:rPr>
        <w:t>Schedules and exhibits to this Exhibit omitted pursuant to Regulation S-K Item 601(b)(2). The Company agrees to furnish supplementally a copy of</w:t>
      </w:r>
    </w:p>
    <w:p>
      <w:pPr>
        <w:spacing w:after="0" w:line="14" w:lineRule="exact"/>
        <w:rPr>
          <w:sz w:val="20"/>
          <w:szCs w:val="20"/>
          <w:color w:val="auto"/>
        </w:rPr>
      </w:pPr>
    </w:p>
    <w:p>
      <w:pPr>
        <w:ind w:left="624" w:hanging="624"/>
        <w:spacing w:after="0"/>
        <w:tabs>
          <w:tab w:leader="none" w:pos="62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omitted schedule or exhibit to the SEC upon request.</w:t>
      </w:r>
    </w:p>
    <w:p>
      <w:pPr>
        <w:spacing w:after="0" w:line="15" w:lineRule="exact"/>
        <w:rPr>
          <w:sz w:val="20"/>
          <w:szCs w:val="20"/>
          <w:color w:val="auto"/>
        </w:rPr>
      </w:pPr>
    </w:p>
    <w:p>
      <w:pPr>
        <w:ind w:left="624"/>
        <w:spacing w:after="0"/>
        <w:rPr>
          <w:sz w:val="20"/>
          <w:szCs w:val="20"/>
          <w:color w:val="auto"/>
        </w:rPr>
      </w:pPr>
      <w:r>
        <w:rPr>
          <w:rFonts w:ascii="Arial" w:cs="Arial" w:eastAsia="Arial" w:hAnsi="Arial"/>
          <w:sz w:val="14"/>
          <w:szCs w:val="14"/>
          <w:color w:val="auto"/>
        </w:rPr>
        <w:t>Pursuant to Item 601(b)(10) of Regulation S-K, certain confidential portions of this exhibit were omitted by means of marking such portions with an</w:t>
      </w:r>
    </w:p>
    <w:p>
      <w:pPr>
        <w:spacing w:after="0" w:line="14" w:lineRule="exact"/>
        <w:rPr>
          <w:sz w:val="20"/>
          <w:szCs w:val="20"/>
          <w:color w:val="auto"/>
        </w:rPr>
      </w:pPr>
    </w:p>
    <w:p>
      <w:pPr>
        <w:ind w:left="624" w:hanging="624"/>
        <w:spacing w:after="0"/>
        <w:tabs>
          <w:tab w:leader="none" w:pos="62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asterisk because the identified confidential portions (i) are not material and (ii) would be competitively harmful if publicly disclosed.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5524"/>
        <w:spacing w:after="0"/>
        <w:rPr>
          <w:rFonts w:ascii="Arial" w:cs="Arial" w:eastAsia="Arial" w:hAnsi="Arial"/>
          <w:sz w:val="17"/>
          <w:szCs w:val="17"/>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52705</wp:posOffset>
            </wp:positionV>
            <wp:extent cx="71685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4"/>
          </w:cols>
          <w:pgMar w:left="336" w:top="910"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SIGNATURES</w:t>
      </w:r>
    </w:p>
    <w:p>
      <w:pPr>
        <w:spacing w:after="0" w:line="144" w:lineRule="exact"/>
        <w:rPr>
          <w:sz w:val="20"/>
          <w:szCs w:val="20"/>
          <w:color w:val="auto"/>
        </w:rPr>
      </w:pPr>
    </w:p>
    <w:p>
      <w:pPr>
        <w:ind w:right="640" w:firstLine="298"/>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 November 14, 2022</w:t>
      </w:r>
    </w:p>
    <w:p>
      <w:pPr>
        <w:spacing w:after="0" w:line="223"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OPAL Fuels Inc.</w:t>
      </w:r>
    </w:p>
    <w:p>
      <w:pPr>
        <w:spacing w:after="0" w:line="144" w:lineRule="exact"/>
        <w:rPr>
          <w:sz w:val="20"/>
          <w:szCs w:val="20"/>
          <w:color w:val="auto"/>
        </w:rPr>
      </w:pPr>
    </w:p>
    <w:tbl>
      <w:tblPr>
        <w:tblLayout w:type="fixed"/>
        <w:tblInd w:w="592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Jonathan Maurer</w:t>
            </w:r>
          </w:p>
        </w:tc>
      </w:tr>
      <w:tr>
        <w:trPr>
          <w:trHeight w:val="224"/>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4500" w:type="dxa"/>
            <w:vAlign w:val="bottom"/>
          </w:tcPr>
          <w:p>
            <w:pPr>
              <w:ind w:left="20"/>
              <w:spacing w:after="0"/>
              <w:rPr>
                <w:sz w:val="20"/>
                <w:szCs w:val="20"/>
                <w:color w:val="auto"/>
              </w:rPr>
            </w:pPr>
            <w:r>
              <w:rPr>
                <w:rFonts w:ascii="Arial" w:cs="Arial" w:eastAsia="Arial" w:hAnsi="Arial"/>
                <w:sz w:val="17"/>
                <w:szCs w:val="17"/>
                <w:color w:val="auto"/>
              </w:rPr>
              <w:t>Jonathan Maurer</w:t>
            </w:r>
          </w:p>
        </w:tc>
      </w:tr>
      <w:tr>
        <w:trPr>
          <w:trHeight w:val="236"/>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500" w:type="dxa"/>
            <w:vAlign w:val="bottom"/>
          </w:tcPr>
          <w:p>
            <w:pPr>
              <w:ind w:left="20"/>
              <w:spacing w:after="0"/>
              <w:rPr>
                <w:sz w:val="20"/>
                <w:szCs w:val="20"/>
                <w:color w:val="auto"/>
              </w:rPr>
            </w:pPr>
            <w:r>
              <w:rPr>
                <w:rFonts w:ascii="Arial" w:cs="Arial" w:eastAsia="Arial" w:hAnsi="Arial"/>
                <w:sz w:val="17"/>
                <w:szCs w:val="17"/>
                <w:color w:val="auto"/>
              </w:rPr>
              <w:t>Co- Chief Executive Officer</w:t>
            </w:r>
          </w:p>
        </w:tc>
      </w:tr>
    </w:tbl>
    <w:p>
      <w:pPr>
        <w:spacing w:after="0" w:line="319" w:lineRule="exact"/>
        <w:rPr>
          <w:sz w:val="20"/>
          <w:szCs w:val="20"/>
          <w:color w:val="auto"/>
        </w:rPr>
      </w:pPr>
    </w:p>
    <w:p>
      <w:pPr>
        <w:ind w:left="9080"/>
        <w:spacing w:after="0"/>
        <w:rPr>
          <w:sz w:val="20"/>
          <w:szCs w:val="20"/>
          <w:color w:val="auto"/>
        </w:rPr>
      </w:pPr>
      <w:r>
        <w:rPr>
          <w:rFonts w:ascii="Arial" w:cs="Arial" w:eastAsia="Arial" w:hAnsi="Arial"/>
          <w:sz w:val="17"/>
          <w:szCs w:val="17"/>
          <w:b w:val="1"/>
          <w:bCs w:val="1"/>
          <w:color w:val="auto"/>
        </w:rPr>
        <w:t>OPAL Fuels Inc.</w:t>
      </w:r>
    </w:p>
    <w:p>
      <w:pPr>
        <w:spacing w:after="0" w:line="144" w:lineRule="exact"/>
        <w:rPr>
          <w:sz w:val="20"/>
          <w:szCs w:val="20"/>
          <w:color w:val="auto"/>
        </w:rPr>
      </w:pPr>
    </w:p>
    <w:p>
      <w:pPr>
        <w:ind w:left="9080"/>
        <w:spacing w:after="0"/>
        <w:tabs>
          <w:tab w:leader="none" w:pos="9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17780</wp:posOffset>
            </wp:positionV>
            <wp:extent cx="10731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1073150" cy="7620"/>
                    </a:xfrm>
                    <a:prstGeom prst="rect">
                      <a:avLst/>
                    </a:prstGeom>
                    <a:noFill/>
                  </pic:spPr>
                </pic:pic>
              </a:graphicData>
            </a:graphic>
          </wp:anchor>
        </w:drawing>
      </w:r>
    </w:p>
    <w:p>
      <w:pPr>
        <w:spacing w:after="0" w:line="21"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Name: Adam Comora</w:t>
      </w:r>
    </w:p>
    <w:p>
      <w:pPr>
        <w:spacing w:after="0" w:line="53" w:lineRule="exact"/>
        <w:rPr>
          <w:sz w:val="20"/>
          <w:szCs w:val="20"/>
          <w:color w:val="auto"/>
        </w:rPr>
      </w:pPr>
    </w:p>
    <w:p>
      <w:pPr>
        <w:jc w:val="right"/>
        <w:ind w:right="300"/>
        <w:spacing w:after="0"/>
        <w:tabs>
          <w:tab w:leader="none" w:pos="16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Co- Chief Executive</w:t>
      </w:r>
    </w:p>
    <w:p>
      <w:pPr>
        <w:spacing w:after="0" w:line="5" w:lineRule="exact"/>
        <w:rPr>
          <w:sz w:val="20"/>
          <w:szCs w:val="20"/>
          <w:color w:val="auto"/>
        </w:rPr>
      </w:pPr>
    </w:p>
    <w:p>
      <w:pPr>
        <w:ind w:left="9580"/>
        <w:spacing w:after="0"/>
        <w:rPr>
          <w:sz w:val="20"/>
          <w:szCs w:val="20"/>
          <w:color w:val="auto"/>
        </w:rPr>
      </w:pPr>
      <w:r>
        <w:rPr>
          <w:rFonts w:ascii="Arial" w:cs="Arial" w:eastAsia="Arial" w:hAnsi="Arial"/>
          <w:sz w:val="17"/>
          <w:szCs w:val="17"/>
          <w:color w:val="auto"/>
        </w:rPr>
        <w:t>Officer</w:t>
      </w:r>
    </w:p>
    <w:p>
      <w:pPr>
        <w:spacing w:after="0" w:line="333"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OPAL Fuels Inc.</w:t>
      </w:r>
    </w:p>
    <w:p>
      <w:pPr>
        <w:spacing w:after="0" w:line="144" w:lineRule="exact"/>
        <w:rPr>
          <w:sz w:val="20"/>
          <w:szCs w:val="20"/>
          <w:color w:val="auto"/>
        </w:rPr>
      </w:pPr>
    </w:p>
    <w:p>
      <w:pPr>
        <w:ind w:left="7940"/>
        <w:spacing w:after="0"/>
        <w:tabs>
          <w:tab w:leader="none" w:pos="8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17780</wp:posOffset>
            </wp:positionV>
            <wp:extent cx="178371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Name: Ann Anthony</w:t>
      </w:r>
    </w:p>
    <w:p>
      <w:pPr>
        <w:spacing w:after="0" w:line="53" w:lineRule="exact"/>
        <w:rPr>
          <w:sz w:val="20"/>
          <w:szCs w:val="20"/>
          <w:color w:val="auto"/>
        </w:rPr>
      </w:pPr>
    </w:p>
    <w:p>
      <w:pPr>
        <w:ind w:left="7940"/>
        <w:spacing w:after="0"/>
        <w:tabs>
          <w:tab w:leader="none" w:pos="8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06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31.1</w:t>
      </w:r>
    </w:p>
    <w:p>
      <w:pPr>
        <w:spacing w:after="0" w:line="376" w:lineRule="exact"/>
        <w:rPr>
          <w:sz w:val="20"/>
          <w:szCs w:val="20"/>
          <w:color w:val="auto"/>
        </w:rPr>
      </w:pPr>
    </w:p>
    <w:p>
      <w:pPr>
        <w:jc w:val="center"/>
        <w:ind w:left="340" w:right="2400"/>
        <w:spacing w:after="0" w:line="220"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Adam Comora, certify that:</w:t>
      </w:r>
    </w:p>
    <w:p>
      <w:pPr>
        <w:spacing w:after="0" w:line="128" w:lineRule="exact"/>
        <w:rPr>
          <w:sz w:val="20"/>
          <w:szCs w:val="20"/>
          <w:color w:val="auto"/>
        </w:rPr>
      </w:pPr>
    </w:p>
    <w:p>
      <w:pPr>
        <w:ind w:left="460" w:hanging="444"/>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OPAL Fuels Inc.;</w:t>
      </w:r>
    </w:p>
    <w:p>
      <w:pPr>
        <w:spacing w:after="0" w:line="276" w:lineRule="exact"/>
        <w:rPr>
          <w:rFonts w:ascii="Arial" w:cs="Arial" w:eastAsia="Arial" w:hAnsi="Arial"/>
          <w:sz w:val="17"/>
          <w:szCs w:val="17"/>
          <w:color w:val="auto"/>
        </w:rPr>
      </w:pPr>
    </w:p>
    <w:p>
      <w:pPr>
        <w:ind w:left="460" w:right="400" w:hanging="444"/>
        <w:spacing w:after="0" w:line="371" w:lineRule="auto"/>
        <w:tabs>
          <w:tab w:leader="none" w:pos="4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4"/>
          <w:szCs w:val="14"/>
          <w:color w:val="auto"/>
        </w:rPr>
      </w:pPr>
    </w:p>
    <w:p>
      <w:pPr>
        <w:ind w:left="460" w:right="480" w:hanging="444"/>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left="460" w:right="160" w:hanging="444"/>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16" w:lineRule="exact"/>
        <w:rPr>
          <w:rFonts w:ascii="Arial" w:cs="Arial" w:eastAsia="Arial" w:hAnsi="Arial"/>
          <w:sz w:val="17"/>
          <w:szCs w:val="17"/>
          <w:color w:val="auto"/>
        </w:rPr>
      </w:pPr>
    </w:p>
    <w:p>
      <w:pPr>
        <w:ind w:left="1040" w:right="40" w:hanging="577"/>
        <w:spacing w:after="0" w:line="261" w:lineRule="auto"/>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2" w:lineRule="exact"/>
        <w:rPr>
          <w:rFonts w:ascii="Arial" w:cs="Arial" w:eastAsia="Arial" w:hAnsi="Arial"/>
          <w:sz w:val="17"/>
          <w:szCs w:val="17"/>
          <w:color w:val="auto"/>
        </w:rPr>
      </w:pPr>
    </w:p>
    <w:p>
      <w:pPr>
        <w:ind w:left="1040" w:hanging="577"/>
        <w:spacing w:after="0"/>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76" w:lineRule="exact"/>
        <w:rPr>
          <w:rFonts w:ascii="Arial" w:cs="Arial" w:eastAsia="Arial" w:hAnsi="Arial"/>
          <w:sz w:val="17"/>
          <w:szCs w:val="17"/>
          <w:color w:val="auto"/>
        </w:rPr>
      </w:pPr>
    </w:p>
    <w:p>
      <w:pPr>
        <w:ind w:left="1040" w:right="200" w:hanging="577"/>
        <w:spacing w:after="0" w:line="311" w:lineRule="auto"/>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6"/>
          <w:szCs w:val="16"/>
          <w:color w:val="auto"/>
        </w:rPr>
      </w:pPr>
    </w:p>
    <w:p>
      <w:pPr>
        <w:ind w:left="1040" w:right="240" w:hanging="577"/>
        <w:spacing w:after="0" w:line="261" w:lineRule="auto"/>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7"/>
          <w:szCs w:val="17"/>
          <w:color w:val="auto"/>
        </w:rPr>
      </w:pPr>
    </w:p>
    <w:p>
      <w:pPr>
        <w:ind w:left="460" w:right="80" w:hanging="444"/>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1040" w:right="120" w:hanging="577"/>
        <w:spacing w:after="0" w:line="279" w:lineRule="auto"/>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left="1040" w:right="340" w:hanging="577"/>
        <w:spacing w:after="0" w:line="264" w:lineRule="auto"/>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5740" w:val="left"/>
          <w:tab w:leader="none" w:pos="6240" w:val="left"/>
        </w:tabs>
        <w:rPr>
          <w:sz w:val="20"/>
          <w:szCs w:val="20"/>
          <w:color w:val="auto"/>
        </w:rPr>
      </w:pPr>
      <w:r>
        <w:rPr>
          <w:rFonts w:ascii="Arial" w:cs="Arial" w:eastAsia="Arial" w:hAnsi="Arial"/>
          <w:sz w:val="17"/>
          <w:szCs w:val="17"/>
          <w:color w:val="auto"/>
        </w:rPr>
        <w:t>Date: November 14,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33655</wp:posOffset>
            </wp:positionV>
            <wp:extent cx="31807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3180715" cy="7620"/>
                    </a:xfrm>
                    <a:prstGeom prst="rect">
                      <a:avLst/>
                    </a:prstGeom>
                    <a:noFill/>
                  </pic:spPr>
                </pic:pic>
              </a:graphicData>
            </a:graphic>
          </wp:anchor>
        </w:drawing>
      </w:r>
    </w:p>
    <w:p>
      <w:pPr>
        <w:spacing w:after="0" w:line="58"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Co-Chief Executive Officer</w:t>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(Co-Principal Executive Officer)</w:t>
      </w:r>
    </w:p>
    <w:p>
      <w:pPr>
        <w:sectPr>
          <w:pgSz w:w="11900" w:h="16838" w:orient="portrait"/>
          <w:cols w:equalWidth="0" w:num="1">
            <w:col w:w="11240"/>
          </w:cols>
          <w:pgMar w:left="320" w:top="58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31.2</w:t>
      </w:r>
    </w:p>
    <w:p>
      <w:pPr>
        <w:spacing w:after="0" w:line="376" w:lineRule="exact"/>
        <w:rPr>
          <w:sz w:val="20"/>
          <w:szCs w:val="20"/>
          <w:color w:val="auto"/>
        </w:rPr>
      </w:pPr>
    </w:p>
    <w:p>
      <w:pPr>
        <w:jc w:val="center"/>
        <w:ind w:left="340" w:right="2400"/>
        <w:spacing w:after="0" w:line="220"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Jonathan Maurer, certify that:</w:t>
      </w:r>
    </w:p>
    <w:p>
      <w:pPr>
        <w:spacing w:after="0" w:line="128" w:lineRule="exact"/>
        <w:rPr>
          <w:sz w:val="20"/>
          <w:szCs w:val="20"/>
          <w:color w:val="auto"/>
        </w:rPr>
      </w:pPr>
    </w:p>
    <w:p>
      <w:pPr>
        <w:ind w:left="460" w:hanging="444"/>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OPAL Fuels Inc.;</w:t>
      </w:r>
    </w:p>
    <w:p>
      <w:pPr>
        <w:spacing w:after="0" w:line="276" w:lineRule="exact"/>
        <w:rPr>
          <w:rFonts w:ascii="Arial" w:cs="Arial" w:eastAsia="Arial" w:hAnsi="Arial"/>
          <w:sz w:val="17"/>
          <w:szCs w:val="17"/>
          <w:color w:val="auto"/>
        </w:rPr>
      </w:pPr>
    </w:p>
    <w:p>
      <w:pPr>
        <w:ind w:left="460" w:right="400" w:hanging="444"/>
        <w:spacing w:after="0" w:line="37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4"/>
          <w:szCs w:val="14"/>
          <w:color w:val="auto"/>
        </w:rPr>
      </w:pPr>
    </w:p>
    <w:p>
      <w:pPr>
        <w:ind w:left="460" w:right="480" w:hanging="444"/>
        <w:spacing w:after="0" w:line="279"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left="460" w:right="160" w:hanging="444"/>
        <w:spacing w:after="0" w:line="279"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16" w:lineRule="exact"/>
        <w:rPr>
          <w:rFonts w:ascii="Arial" w:cs="Arial" w:eastAsia="Arial" w:hAnsi="Arial"/>
          <w:sz w:val="17"/>
          <w:szCs w:val="17"/>
          <w:color w:val="auto"/>
        </w:rPr>
      </w:pPr>
    </w:p>
    <w:p>
      <w:pPr>
        <w:ind w:left="1040" w:right="40" w:hanging="577"/>
        <w:spacing w:after="0" w:line="261" w:lineRule="auto"/>
        <w:tabs>
          <w:tab w:leader="none" w:pos="10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2" w:lineRule="exact"/>
        <w:rPr>
          <w:rFonts w:ascii="Arial" w:cs="Arial" w:eastAsia="Arial" w:hAnsi="Arial"/>
          <w:sz w:val="17"/>
          <w:szCs w:val="17"/>
          <w:color w:val="auto"/>
        </w:rPr>
      </w:pPr>
    </w:p>
    <w:p>
      <w:pPr>
        <w:ind w:left="1040" w:hanging="577"/>
        <w:spacing w:after="0"/>
        <w:tabs>
          <w:tab w:leader="none" w:pos="10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76" w:lineRule="exact"/>
        <w:rPr>
          <w:rFonts w:ascii="Arial" w:cs="Arial" w:eastAsia="Arial" w:hAnsi="Arial"/>
          <w:sz w:val="17"/>
          <w:szCs w:val="17"/>
          <w:color w:val="auto"/>
        </w:rPr>
      </w:pPr>
    </w:p>
    <w:p>
      <w:pPr>
        <w:ind w:left="1040" w:right="200" w:hanging="577"/>
        <w:spacing w:after="0" w:line="311"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6"/>
          <w:szCs w:val="16"/>
          <w:color w:val="auto"/>
        </w:rPr>
      </w:pPr>
    </w:p>
    <w:p>
      <w:pPr>
        <w:ind w:left="1040" w:right="240" w:hanging="577"/>
        <w:spacing w:after="0" w:line="261" w:lineRule="auto"/>
        <w:tabs>
          <w:tab w:leader="none" w:pos="10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7"/>
          <w:szCs w:val="17"/>
          <w:color w:val="auto"/>
        </w:rPr>
      </w:pPr>
    </w:p>
    <w:p>
      <w:pPr>
        <w:ind w:left="460" w:right="80" w:hanging="444"/>
        <w:spacing w:after="0" w:line="279"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1040" w:right="120" w:hanging="577"/>
        <w:spacing w:after="0" w:line="279" w:lineRule="auto"/>
        <w:tabs>
          <w:tab w:leader="none" w:pos="10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left="1040" w:right="340" w:hanging="577"/>
        <w:spacing w:after="0" w:line="264" w:lineRule="auto"/>
        <w:tabs>
          <w:tab w:leader="none" w:pos="10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5740" w:val="left"/>
          <w:tab w:leader="none" w:pos="6240" w:val="left"/>
        </w:tabs>
        <w:rPr>
          <w:sz w:val="20"/>
          <w:szCs w:val="20"/>
          <w:color w:val="auto"/>
        </w:rPr>
      </w:pPr>
      <w:r>
        <w:rPr>
          <w:rFonts w:ascii="Arial" w:cs="Arial" w:eastAsia="Arial" w:hAnsi="Arial"/>
          <w:sz w:val="17"/>
          <w:szCs w:val="17"/>
          <w:color w:val="auto"/>
        </w:rPr>
        <w:t>Date: November 14,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33655</wp:posOffset>
            </wp:positionV>
            <wp:extent cx="31807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3180715" cy="7620"/>
                    </a:xfrm>
                    <a:prstGeom prst="rect">
                      <a:avLst/>
                    </a:prstGeom>
                    <a:noFill/>
                  </pic:spPr>
                </pic:pic>
              </a:graphicData>
            </a:graphic>
          </wp:anchor>
        </w:drawing>
      </w:r>
    </w:p>
    <w:p>
      <w:pPr>
        <w:spacing w:after="0" w:line="58"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Co-Chief Executive Officer</w:t>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(Co-Principal Executive Officer)</w:t>
      </w:r>
    </w:p>
    <w:p>
      <w:pPr>
        <w:sectPr>
          <w:pgSz w:w="11900" w:h="16838" w:orient="portrait"/>
          <w:cols w:equalWidth="0" w:num="1">
            <w:col w:w="11240"/>
          </w:cols>
          <w:pgMar w:left="320" w:top="583" w:right="339" w:bottom="1440"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31.3</w:t>
      </w:r>
    </w:p>
    <w:p>
      <w:pPr>
        <w:spacing w:after="0" w:line="360"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CERTIFICATION PURSUANT TO RULES 13a-14(a) AND 15d-14(a)</w:t>
      </w:r>
    </w:p>
    <w:p>
      <w:pPr>
        <w:ind w:left="2420"/>
        <w:spacing w:after="0" w:line="198" w:lineRule="auto"/>
        <w:rPr>
          <w:sz w:val="20"/>
          <w:szCs w:val="20"/>
          <w:color w:val="auto"/>
        </w:rPr>
      </w:pPr>
      <w:r>
        <w:rPr>
          <w:rFonts w:ascii="Arial" w:cs="Arial" w:eastAsia="Arial" w:hAnsi="Arial"/>
          <w:sz w:val="17"/>
          <w:szCs w:val="17"/>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 Ann Anthony, certify that:</w:t>
      </w:r>
    </w:p>
    <w:p>
      <w:pPr>
        <w:spacing w:after="0" w:line="140" w:lineRule="exact"/>
        <w:rPr>
          <w:sz w:val="20"/>
          <w:szCs w:val="20"/>
          <w:color w:val="auto"/>
        </w:rPr>
      </w:pPr>
    </w:p>
    <w:p>
      <w:pPr>
        <w:ind w:left="460" w:hanging="444"/>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OPAL Fuels Inc.;</w:t>
      </w:r>
    </w:p>
    <w:p>
      <w:pPr>
        <w:spacing w:after="0" w:line="264" w:lineRule="exact"/>
        <w:rPr>
          <w:rFonts w:ascii="Arial" w:cs="Arial" w:eastAsia="Arial" w:hAnsi="Arial"/>
          <w:sz w:val="17"/>
          <w:szCs w:val="17"/>
          <w:color w:val="auto"/>
        </w:rPr>
      </w:pPr>
    </w:p>
    <w:p>
      <w:pPr>
        <w:ind w:left="460" w:right="400" w:hanging="444"/>
        <w:spacing w:after="0" w:line="390"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4"/>
          <w:szCs w:val="14"/>
          <w:color w:val="auto"/>
        </w:rPr>
      </w:pPr>
    </w:p>
    <w:p>
      <w:pPr>
        <w:ind w:left="460" w:right="480" w:hanging="444"/>
        <w:spacing w:after="0" w:line="279"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left="460" w:right="160" w:hanging="444"/>
        <w:spacing w:after="0" w:line="264"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28" w:lineRule="exact"/>
        <w:rPr>
          <w:rFonts w:ascii="Arial" w:cs="Arial" w:eastAsia="Arial" w:hAnsi="Arial"/>
          <w:sz w:val="17"/>
          <w:szCs w:val="17"/>
          <w:color w:val="auto"/>
        </w:rPr>
      </w:pPr>
    </w:p>
    <w:p>
      <w:pPr>
        <w:ind w:left="1040" w:right="20" w:hanging="577"/>
        <w:spacing w:after="0" w:line="269" w:lineRule="auto"/>
        <w:tabs>
          <w:tab w:leader="none" w:pos="10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Arial" w:cs="Arial" w:eastAsia="Arial" w:hAnsi="Arial"/>
          <w:sz w:val="17"/>
          <w:szCs w:val="17"/>
          <w:color w:val="auto"/>
        </w:rPr>
      </w:pPr>
    </w:p>
    <w:p>
      <w:pPr>
        <w:ind w:left="1040" w:hanging="577"/>
        <w:spacing w:after="0"/>
        <w:tabs>
          <w:tab w:leader="none" w:pos="10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76" w:lineRule="exact"/>
        <w:rPr>
          <w:rFonts w:ascii="Arial" w:cs="Arial" w:eastAsia="Arial" w:hAnsi="Arial"/>
          <w:sz w:val="17"/>
          <w:szCs w:val="17"/>
          <w:color w:val="auto"/>
        </w:rPr>
      </w:pPr>
    </w:p>
    <w:p>
      <w:pPr>
        <w:ind w:left="1040" w:right="180" w:hanging="577"/>
        <w:spacing w:after="0" w:line="295" w:lineRule="auto"/>
        <w:tabs>
          <w:tab w:leader="none" w:pos="10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6"/>
          <w:szCs w:val="16"/>
          <w:color w:val="auto"/>
        </w:rPr>
      </w:pPr>
    </w:p>
    <w:p>
      <w:pPr>
        <w:ind w:left="1040" w:right="220" w:hanging="577"/>
        <w:spacing w:after="0" w:line="269" w:lineRule="auto"/>
        <w:tabs>
          <w:tab w:leader="none" w:pos="10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5" w:lineRule="exact"/>
        <w:rPr>
          <w:rFonts w:ascii="Arial" w:cs="Arial" w:eastAsia="Arial" w:hAnsi="Arial"/>
          <w:sz w:val="17"/>
          <w:szCs w:val="17"/>
          <w:color w:val="auto"/>
        </w:rPr>
      </w:pPr>
    </w:p>
    <w:p>
      <w:pPr>
        <w:ind w:left="460" w:right="80" w:hanging="444"/>
        <w:spacing w:after="0" w:line="279"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1040" w:right="120" w:hanging="577"/>
        <w:spacing w:after="0" w:line="264" w:lineRule="auto"/>
        <w:tabs>
          <w:tab w:leader="none" w:pos="10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7"/>
          <w:szCs w:val="17"/>
          <w:color w:val="auto"/>
        </w:rPr>
      </w:pPr>
    </w:p>
    <w:p>
      <w:pPr>
        <w:ind w:left="1040" w:right="320" w:hanging="577"/>
        <w:spacing w:after="0" w:line="279" w:lineRule="auto"/>
        <w:tabs>
          <w:tab w:leader="none" w:pos="10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04" w:right="339" w:bottom="1440" w:gutter="0" w:footer="0" w:header="0"/>
        </w:sectPr>
      </w:pPr>
    </w:p>
    <w:bookmarkStart w:id="108" w:name="page109"/>
    <w:bookmarkEnd w:id="108"/>
    <w:p>
      <w:pPr>
        <w:spacing w:after="0" w:line="179" w:lineRule="exact"/>
        <w:rPr>
          <w:sz w:val="20"/>
          <w:szCs w:val="20"/>
          <w:color w:val="auto"/>
        </w:rPr>
      </w:pPr>
    </w:p>
    <w:p>
      <w:pPr>
        <w:spacing w:after="0"/>
        <w:tabs>
          <w:tab w:leader="none" w:pos="5680" w:val="left"/>
          <w:tab w:leader="none" w:pos="6200" w:val="left"/>
        </w:tabs>
        <w:rPr>
          <w:sz w:val="20"/>
          <w:szCs w:val="20"/>
          <w:color w:val="auto"/>
        </w:rPr>
      </w:pPr>
      <w:r>
        <w:rPr>
          <w:rFonts w:ascii="Arial" w:cs="Arial" w:eastAsia="Arial" w:hAnsi="Arial"/>
          <w:sz w:val="17"/>
          <w:szCs w:val="17"/>
          <w:color w:val="auto"/>
        </w:rPr>
        <w:t>Date: November 14,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33655</wp:posOffset>
            </wp:positionV>
            <wp:extent cx="318897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3188970" cy="7620"/>
                    </a:xfrm>
                    <a:prstGeom prst="rect">
                      <a:avLst/>
                    </a:prstGeom>
                    <a:noFill/>
                  </pic:spPr>
                </pic:pic>
              </a:graphicData>
            </a:graphic>
          </wp:anchor>
        </w:drawing>
      </w:r>
    </w:p>
    <w:p>
      <w:pPr>
        <w:spacing w:after="0" w:line="5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Chief Financial Officer</w:t>
      </w:r>
    </w:p>
    <w:p>
      <w:pPr>
        <w:spacing w:after="0" w:line="66"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0119"/>
          </w:cols>
          <w:pgMar w:left="340" w:top="1440" w:right="1440" w:bottom="1440" w:gutter="0" w:footer="0" w:header="0"/>
        </w:sectPr>
      </w:pPr>
    </w:p>
    <w:bookmarkStart w:id="109" w:name="page110"/>
    <w:bookmarkEnd w:id="1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ind w:left="3520"/>
        <w:spacing w:after="0" w:line="198" w:lineRule="auto"/>
        <w:rPr>
          <w:sz w:val="20"/>
          <w:szCs w:val="20"/>
          <w:color w:val="auto"/>
        </w:rPr>
      </w:pPr>
      <w:r>
        <w:rPr>
          <w:rFonts w:ascii="Arial" w:cs="Arial" w:eastAsia="Arial" w:hAnsi="Arial"/>
          <w:sz w:val="17"/>
          <w:szCs w:val="17"/>
          <w:b w:val="1"/>
          <w:bCs w:val="1"/>
          <w:color w:val="auto"/>
        </w:rPr>
        <w:t>18 U.S.C. SECTION 1350, AS ADOPTED PURSUANT TO</w:t>
      </w: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Quarterly Report of OPAL Fuels Inc. (the “</w:t>
      </w:r>
      <w:r>
        <w:rPr>
          <w:rFonts w:ascii="Arial" w:cs="Arial" w:eastAsia="Arial" w:hAnsi="Arial"/>
          <w:sz w:val="14"/>
          <w:szCs w:val="14"/>
          <w:u w:val="single" w:color="auto"/>
          <w:color w:val="auto"/>
        </w:rPr>
        <w:t>Company</w:t>
      </w:r>
      <w:r>
        <w:rPr>
          <w:rFonts w:ascii="Arial" w:cs="Arial" w:eastAsia="Arial" w:hAnsi="Arial"/>
          <w:sz w:val="14"/>
          <w:szCs w:val="14"/>
          <w:color w:val="auto"/>
        </w:rPr>
        <w:t>”) on Form 10-Q for the three months ended September 30, 2022, as filed with the Securities</w:t>
      </w:r>
    </w:p>
    <w:p>
      <w:pPr>
        <w:spacing w:after="0" w:line="2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 xml:space="preserve">and Exchange Commission on the date hereof (the “Report”), I, Adam Comora, Co-Chief Executive Officer of the Company, certify, pursuant to 18 U.S.C. Section 1350, </w:t>
      </w:r>
      <w:r>
        <w:rPr>
          <w:rFonts w:ascii="Arial" w:cs="Arial" w:eastAsia="Arial" w:hAnsi="Arial"/>
          <w:sz w:val="17"/>
          <w:szCs w:val="17"/>
          <w:color w:val="auto"/>
          <w:highlight w:val="white"/>
        </w:rPr>
        <w:t>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75" cy="711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5875" cy="71120"/>
                    </a:xfrm>
                    <a:prstGeom prst="rect">
                      <a:avLst/>
                    </a:prstGeom>
                    <a:noFill/>
                  </pic:spPr>
                </pic:pic>
              </a:graphicData>
            </a:graphic>
          </wp:anchor>
        </w:drawing>
      </w:r>
    </w:p>
    <w:p>
      <w:pPr>
        <w:spacing w:after="0" w:line="92" w:lineRule="exact"/>
        <w:rPr>
          <w:sz w:val="20"/>
          <w:szCs w:val="20"/>
          <w:color w:val="auto"/>
        </w:rPr>
      </w:pPr>
    </w:p>
    <w:p>
      <w:pPr>
        <w:ind w:left="460" w:hanging="444"/>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76" w:lineRule="exact"/>
        <w:rPr>
          <w:rFonts w:ascii="Arial" w:cs="Arial" w:eastAsia="Arial" w:hAnsi="Arial"/>
          <w:sz w:val="17"/>
          <w:szCs w:val="17"/>
          <w:color w:val="auto"/>
        </w:rPr>
      </w:pPr>
    </w:p>
    <w:p>
      <w:pPr>
        <w:ind w:left="460" w:hanging="444"/>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14, 2022</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33655</wp:posOffset>
            </wp:positionV>
            <wp:extent cx="32442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Adam Comora</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 Co-Chief Executive Officer</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(Co-Principal Executive Officer)</w:t>
      </w:r>
    </w:p>
    <w:p>
      <w:pPr>
        <w:sectPr>
          <w:pgSz w:w="11900" w:h="16838" w:orient="portrait"/>
          <w:cols w:equalWidth="0" w:num="1">
            <w:col w:w="11240"/>
          </w:cols>
          <w:pgMar w:left="320" w:top="1304" w:right="339" w:bottom="1440"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spacing w:after="0" w:line="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ind w:left="3520"/>
        <w:spacing w:after="0" w:line="198" w:lineRule="auto"/>
        <w:rPr>
          <w:sz w:val="20"/>
          <w:szCs w:val="20"/>
          <w:color w:val="auto"/>
        </w:rPr>
      </w:pPr>
      <w:r>
        <w:rPr>
          <w:rFonts w:ascii="Arial" w:cs="Arial" w:eastAsia="Arial" w:hAnsi="Arial"/>
          <w:sz w:val="17"/>
          <w:szCs w:val="17"/>
          <w:b w:val="1"/>
          <w:bCs w:val="1"/>
          <w:color w:val="auto"/>
        </w:rPr>
        <w:t>18 U.S.C. SECTION 1350, AS ADOPTED PURSUANT TO</w:t>
      </w: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Quarterly Report of OPAL Fuels Inc. (the “</w:t>
      </w:r>
      <w:r>
        <w:rPr>
          <w:rFonts w:ascii="Arial" w:cs="Arial" w:eastAsia="Arial" w:hAnsi="Arial"/>
          <w:sz w:val="14"/>
          <w:szCs w:val="14"/>
          <w:u w:val="single" w:color="auto"/>
          <w:color w:val="auto"/>
        </w:rPr>
        <w:t>Company</w:t>
      </w:r>
      <w:r>
        <w:rPr>
          <w:rFonts w:ascii="Arial" w:cs="Arial" w:eastAsia="Arial" w:hAnsi="Arial"/>
          <w:sz w:val="14"/>
          <w:szCs w:val="14"/>
          <w:color w:val="auto"/>
        </w:rPr>
        <w:t>”) on Form 10-Q for the three months ended September 30, 2022, as filed with the Securities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Exchange Commission on the date hereof (the “Report”), I, Jonathan Maurer, Co-Chief Executive Officer of the Company, certify, pursuant to 18 U.S.C.</w:t>
      </w:r>
    </w:p>
    <w:p>
      <w:pPr>
        <w:spacing w:after="0"/>
        <w:rPr>
          <w:sz w:val="20"/>
          <w:szCs w:val="20"/>
          <w:color w:val="auto"/>
        </w:rPr>
      </w:pPr>
      <w:r>
        <w:rPr>
          <w:rFonts w:ascii="Arial" w:cs="Arial" w:eastAsia="Arial" w:hAnsi="Arial"/>
          <w:sz w:val="17"/>
          <w:szCs w:val="17"/>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875" cy="711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15875" cy="71120"/>
                    </a:xfrm>
                    <a:prstGeom prst="rect">
                      <a:avLst/>
                    </a:prstGeom>
                    <a:noFill/>
                  </pic:spPr>
                </pic:pic>
              </a:graphicData>
            </a:graphic>
          </wp:anchor>
        </w:drawing>
      </w:r>
    </w:p>
    <w:p>
      <w:pPr>
        <w:spacing w:after="0" w:line="94" w:lineRule="exact"/>
        <w:rPr>
          <w:sz w:val="20"/>
          <w:szCs w:val="20"/>
          <w:color w:val="auto"/>
        </w:rPr>
      </w:pPr>
    </w:p>
    <w:p>
      <w:pPr>
        <w:ind w:left="460" w:hanging="444"/>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76" w:lineRule="exact"/>
        <w:rPr>
          <w:rFonts w:ascii="Arial" w:cs="Arial" w:eastAsia="Arial" w:hAnsi="Arial"/>
          <w:sz w:val="17"/>
          <w:szCs w:val="17"/>
          <w:color w:val="auto"/>
        </w:rPr>
      </w:pPr>
    </w:p>
    <w:p>
      <w:pPr>
        <w:ind w:left="460" w:hanging="444"/>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14, 2022</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33655</wp:posOffset>
            </wp:positionV>
            <wp:extent cx="32442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Jonathan Maurer</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 Co-Chief Executive Officer</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(Co-Principal Executive Officer)</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ind w:left="3520"/>
        <w:spacing w:after="0" w:line="198" w:lineRule="auto"/>
        <w:rPr>
          <w:sz w:val="20"/>
          <w:szCs w:val="20"/>
          <w:color w:val="auto"/>
        </w:rPr>
      </w:pPr>
      <w:r>
        <w:rPr>
          <w:rFonts w:ascii="Arial" w:cs="Arial" w:eastAsia="Arial" w:hAnsi="Arial"/>
          <w:sz w:val="17"/>
          <w:szCs w:val="17"/>
          <w:b w:val="1"/>
          <w:bCs w:val="1"/>
          <w:color w:val="auto"/>
        </w:rPr>
        <w:t>18 U.S.C. SECTION 1350, AS ADOPTED PURSUANT TO</w:t>
      </w: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Quarterly Report of OPAL Fuels Inc. (the “</w:t>
      </w:r>
      <w:r>
        <w:rPr>
          <w:rFonts w:ascii="Arial" w:cs="Arial" w:eastAsia="Arial" w:hAnsi="Arial"/>
          <w:sz w:val="14"/>
          <w:szCs w:val="14"/>
          <w:u w:val="single" w:color="auto"/>
          <w:color w:val="auto"/>
        </w:rPr>
        <w:t>Company</w:t>
      </w:r>
      <w:r>
        <w:rPr>
          <w:rFonts w:ascii="Arial" w:cs="Arial" w:eastAsia="Arial" w:hAnsi="Arial"/>
          <w:sz w:val="14"/>
          <w:szCs w:val="14"/>
          <w:color w:val="auto"/>
        </w:rPr>
        <w:t>”) on Form 10-Q for the three months ended September 30, 2022, as filed with the Securities</w:t>
      </w:r>
    </w:p>
    <w:p>
      <w:pPr>
        <w:spacing w:after="0" w:line="2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 xml:space="preserve">and Exchange Commission on the date hereof (the “Report”), I, Ann Anthony, Chief Financial Officer of the Company, certify, pursuant to 18 U.S.C. Section 1350, as </w:t>
      </w:r>
      <w:r>
        <w:rPr>
          <w:rFonts w:ascii="Arial" w:cs="Arial" w:eastAsia="Arial" w:hAnsi="Arial"/>
          <w:sz w:val="17"/>
          <w:szCs w:val="17"/>
          <w:color w:val="auto"/>
          <w:highlight w:val="white"/>
        </w:rPr>
        <w:t>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75" cy="71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15875" cy="71120"/>
                    </a:xfrm>
                    <a:prstGeom prst="rect">
                      <a:avLst/>
                    </a:prstGeom>
                    <a:noFill/>
                  </pic:spPr>
                </pic:pic>
              </a:graphicData>
            </a:graphic>
          </wp:anchor>
        </w:drawing>
      </w:r>
    </w:p>
    <w:p>
      <w:pPr>
        <w:spacing w:after="0" w:line="92" w:lineRule="exact"/>
        <w:rPr>
          <w:sz w:val="20"/>
          <w:szCs w:val="20"/>
          <w:color w:val="auto"/>
        </w:rPr>
      </w:pPr>
    </w:p>
    <w:p>
      <w:pPr>
        <w:ind w:left="460" w:hanging="444"/>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76" w:lineRule="exact"/>
        <w:rPr>
          <w:rFonts w:ascii="Arial" w:cs="Arial" w:eastAsia="Arial" w:hAnsi="Arial"/>
          <w:sz w:val="17"/>
          <w:szCs w:val="17"/>
          <w:color w:val="auto"/>
        </w:rPr>
      </w:pPr>
    </w:p>
    <w:p>
      <w:pPr>
        <w:ind w:left="460" w:hanging="444"/>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14, 2022</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33655</wp:posOffset>
            </wp:positionV>
            <wp:extent cx="324421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Ann Anthony</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 Chief Financial Officer</w:t>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lvl w:ilvl="1">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
      <w:numFmt w:val="bullet"/>
      <w:start w:val="1"/>
    </w:lvl>
  </w:abstractNum>
  <w:abstractNum w:abstractNumId="19">
    <w:nsid w:val="70A64E2A"/>
    <w:multiLevelType w:val="hybridMultilevel"/>
    <w:lvl w:ilvl="0">
      <w:lvlJc w:val="left"/>
      <w:lvlText w:val="•"/>
      <w:numFmt w:val="bullet"/>
      <w:start w:val="1"/>
    </w:lvl>
    <w:lvl w:ilvl="1">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lvl w:ilvl="1">
      <w:lvlJc w:val="left"/>
      <w:lvlText w:val="(%2)"/>
      <w:numFmt w:val="decimal"/>
      <w:start w:val="1"/>
    </w:lvl>
  </w:abstractNum>
  <w:abstractNum w:abstractNumId="25">
    <w:nsid w:val="57E4CCAF"/>
    <w:multiLevelType w:val="hybridMultilevel"/>
    <w:lvl w:ilvl="0">
      <w:lvlJc w:val="left"/>
      <w:lvlText w:val="%1."/>
      <w:numFmt w:val="decimal"/>
      <w:start w:val="14"/>
    </w:lvl>
    <w:lvl w:ilvl="1">
      <w:lvlJc w:val="left"/>
      <w:lvlText w:val="%2"/>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7"/>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lvl w:ilvl="1">
      <w:lvlJc w:val="left"/>
      <w:lvlText w:val="◦"/>
      <w:numFmt w:val="bullet"/>
      <w:start w:val="1"/>
    </w:lvl>
  </w:abstractNum>
  <w:abstractNum w:abstractNumId="34">
    <w:nsid w:val="579478FE"/>
    <w:multiLevelType w:val="hybridMultilevel"/>
    <w:lvl w:ilvl="0">
      <w:lvlJc w:val="left"/>
      <w:lvlText w:val="•"/>
      <w:numFmt w:val="bullet"/>
      <w:start w:val="1"/>
    </w:lvl>
    <w:lvl w:ilvl="1">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upperLetter"/>
      <w:start w:val="35"/>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lowerRoman"/>
      <w:start w:val="3"/>
    </w:lvl>
  </w:abstractNum>
  <w:abstractNum w:abstractNumId="45">
    <w:nsid w:val="23F9C13C"/>
    <w:multiLevelType w:val="hybridMultilevel"/>
    <w:lvl w:ilvl="0">
      <w:lvlJc w:val="left"/>
      <w:lvlText w:val="(%1)"/>
      <w:numFmt w:val="lowerRoman"/>
      <w:start w:val="2"/>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lvl w:ilvl="1">
      <w:lvlJc w:val="left"/>
      <w:lvlText w:val="%2."/>
      <w:numFmt w:val="lowerLetter"/>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6" Type="http://schemas.openxmlformats.org/officeDocument/2006/relationships/image" Target="media/image107.png"/><Relationship Id="rId118" Type="http://schemas.openxmlformats.org/officeDocument/2006/relationships/image" Target="media/image108.png"/><Relationship Id="rId122" Type="http://schemas.openxmlformats.org/officeDocument/2006/relationships/image" Target="media/image109.png"/><Relationship Id="rId125" Type="http://schemas.openxmlformats.org/officeDocument/2006/relationships/image" Target="media/image110.png"/><Relationship Id="rId128" Type="http://schemas.openxmlformats.org/officeDocument/2006/relationships/image" Target="media/image111.png"/><Relationship Id="rId131" Type="http://schemas.openxmlformats.org/officeDocument/2006/relationships/image" Target="media/image112.png"/><Relationship Id="rId134" Type="http://schemas.openxmlformats.org/officeDocument/2006/relationships/image" Target="media/image113.png"/><Relationship Id="rId137"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4" Type="http://schemas.openxmlformats.org/officeDocument/2006/relationships/image" Target="media/image117.png"/><Relationship Id="rId147" Type="http://schemas.openxmlformats.org/officeDocument/2006/relationships/image" Target="media/image118.png"/><Relationship Id="rId149"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14" Type="http://schemas.openxmlformats.org/officeDocument/2006/relationships/hyperlink" Target="https://www.sec.gov/Archives/edgar/data/1842279/000119312521347023/d270539dex21.htm" TargetMode="External"/><Relationship Id="rId115" Type="http://schemas.openxmlformats.org/officeDocument/2006/relationships/hyperlink" Target="https://www.sec.gov/Archives/edgar/data/1842279/000121390022046338/ea164030ex3-1_opal.htm" TargetMode="External"/><Relationship Id="rId117" Type="http://schemas.openxmlformats.org/officeDocument/2006/relationships/hyperlink" Target="https://www.sec.gov/Archives/edgar/data/1842279/000121390022042020/ea163248ex3-2_opal.htm" TargetMode="External"/><Relationship Id="rId119" Type="http://schemas.openxmlformats.org/officeDocument/2006/relationships/hyperlink" Target="https://www.sec.gov/Archives/edgar/data/1842279/000119312521073580/d118209dex43.htm" TargetMode="External"/><Relationship Id="rId120" Type="http://schemas.openxmlformats.org/officeDocument/2006/relationships/hyperlink" Target="https://www.sec.gov/Archives/edgar/data/1842279/000119312521096722/d167128dex41.htm" TargetMode="External"/><Relationship Id="rId121" Type="http://schemas.openxmlformats.org/officeDocument/2006/relationships/hyperlink" Target="https://www.sec.gov/Archives/edgar/data/1842279/000121390022024612/fs42022a3ex10-1_arclight2.htm" TargetMode="External"/><Relationship Id="rId123" Type="http://schemas.openxmlformats.org/officeDocument/2006/relationships/hyperlink" Target="https://www.sec.gov/Archives/edgar/data/1842279/000121390022042020/ea163248ex10-2_opal.htm" TargetMode="External"/><Relationship Id="rId124" Type="http://schemas.openxmlformats.org/officeDocument/2006/relationships/hyperlink" Target="https://www.sec.gov/Archives/edgar/data/1842279/000119312521096722/d167128dex104.htm" TargetMode="External"/><Relationship Id="rId126" Type="http://schemas.openxmlformats.org/officeDocument/2006/relationships/hyperlink" Target="https://www.sec.gov/Archives/edgar/data/1842279/000119312521347023/d270539dex102.htm" TargetMode="External"/><Relationship Id="rId127" Type="http://schemas.openxmlformats.org/officeDocument/2006/relationships/hyperlink" Target="https://www.sec.gov/Archives/edgar/data/1842279/000119312521347023/d270539dex101.htm" TargetMode="External"/><Relationship Id="rId129" Type="http://schemas.openxmlformats.org/officeDocument/2006/relationships/hyperlink" Target="https://www.sec.gov/Archives/edgar/data/1842279/000121390022025716/ea159809ex10-1_arclight2.htm" TargetMode="External"/><Relationship Id="rId130" Type="http://schemas.openxmlformats.org/officeDocument/2006/relationships/hyperlink" Target="https://www.sec.gov/Archives/edgar/data/1842279/000121390022042020/ea163248ex10-6_opal.htm" TargetMode="External"/><Relationship Id="rId132" Type="http://schemas.openxmlformats.org/officeDocument/2006/relationships/hyperlink" Target="https://www.sec.gov/Archives/edgar/data/1842279/000121390022042020/ea163248ex10-7_opal.htm" TargetMode="External"/><Relationship Id="rId133" Type="http://schemas.openxmlformats.org/officeDocument/2006/relationships/hyperlink" Target="https://www.sec.gov/Archives/edgar/data/1842279/000121390022042020/ea163248ex10-8_opal.htm" TargetMode="External"/><Relationship Id="rId135" Type="http://schemas.openxmlformats.org/officeDocument/2006/relationships/hyperlink" Target="https://www.sec.gov/Archives/edgar/data/1842279/000121390022015221/ea157420ex10-8_arclight2.htm" TargetMode="External"/><Relationship Id="rId136" Type="http://schemas.openxmlformats.org/officeDocument/2006/relationships/hyperlink" Target="https://www.sec.gov/Archives/edgar/data/1842279/000121390022015221/ea157420ex10-9_arclight2.htm" TargetMode="External"/><Relationship Id="rId138" Type="http://schemas.openxmlformats.org/officeDocument/2006/relationships/hyperlink" Target="https://www.sec.gov/Archives/edgar/data/1842279/000121390022015221/ea157420ex10-10_arclight2.htm" TargetMode="External"/><Relationship Id="rId139" Type="http://schemas.openxmlformats.org/officeDocument/2006/relationships/hyperlink" Target="https://www.sec.gov/Archives/edgar/data/1842279/000121390022015221/ea157420ex10-11_arclight2.htm" TargetMode="External"/><Relationship Id="rId142" Type="http://schemas.openxmlformats.org/officeDocument/2006/relationships/hyperlink" Target="https://www.sec.gov/Archives/edgar/data/1842279/000121390022015221/ea157420ex10-12_arclight2.htm" TargetMode="External"/><Relationship Id="rId143" Type="http://schemas.openxmlformats.org/officeDocument/2006/relationships/hyperlink" Target="https://www.sec.gov/Archives/edgar/data/1842279/000121390022015221/ea157420ex10-13_arclight2.htm" TargetMode="External"/><Relationship Id="rId145" Type="http://schemas.openxmlformats.org/officeDocument/2006/relationships/hyperlink" Target="https://www.sec.gov/Archives/edgar/data/1842279/000184227922000027/executedamendmentno3todd.htm" TargetMode="External"/><Relationship Id="rId146" Type="http://schemas.openxmlformats.org/officeDocument/2006/relationships/hyperlink" Target="https://www.sec.gov/Archives/edgar/data/1842279/000184227922000016/opalfuelsinc-formrestricte.htm" TargetMode="External"/><Relationship Id="rId148" Type="http://schemas.openxmlformats.org/officeDocument/2006/relationships/hyperlink" Target="https://www.sec.gov/Archives/edgar/data/1842279/000121390022039824/ea162977ex10-1_arclight2.htm" TargetMode="External"/><Relationship Id="rId150" Type="http://schemas.openxmlformats.org/officeDocument/2006/relationships/hyperlink" Target="https://www.sec.gov/Archives/edgar/data/1842279/000184227922000009/projectopal-creditagreemen.htm" TargetMode="External"/><Relationship Id="rId151" Type="http://schemas.openxmlformats.org/officeDocument/2006/relationships/hyperlink" Target="https://www.sec.gov/Archives/edgar/data/1842279/000119312522216411/d251514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2022-11-14T19:43:12Z</dcterms:created>
  <dcterms:modified xsi:type="dcterms:W3CDTF">2022-11-14T19:43:12Z</dcterms:modified>
</cp:coreProperties>
</file>