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6"/>
          <w:szCs w:val="16"/>
          <w:b w:val="1"/>
          <w:bCs w:val="1"/>
          <w:color w:val="auto"/>
        </w:rPr>
        <w:t>Prospectus Supplement No. 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Filed pursuant to Rule 424(b)(3)</w:t>
      </w:r>
    </w:p>
    <w:p>
      <w:pPr>
        <w:spacing w:after="0" w:line="77" w:lineRule="exact"/>
        <w:rPr>
          <w:sz w:val="24"/>
          <w:szCs w:val="24"/>
          <w:color w:val="auto"/>
        </w:rPr>
      </w:pPr>
    </w:p>
    <w:p>
      <w:pPr>
        <w:sectPr>
          <w:pgSz w:w="11900" w:h="16838" w:orient="portrait"/>
          <w:cols w:equalWidth="0" w:num="2">
            <w:col w:w="8220" w:space="720"/>
            <w:col w:w="2300"/>
          </w:cols>
          <w:pgMar w:left="320" w:top="1275"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(To Prospectus dated November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519430</wp:posOffset>
            </wp:positionV>
            <wp:extent cx="2320290" cy="544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20290" cy="5448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Registration Statement No. 333-266757</w:t>
      </w:r>
    </w:p>
    <w:p>
      <w:pPr>
        <w:spacing w:after="0" w:line="200" w:lineRule="exact"/>
        <w:rPr>
          <w:sz w:val="24"/>
          <w:szCs w:val="24"/>
          <w:color w:val="auto"/>
        </w:rPr>
      </w:pPr>
    </w:p>
    <w:p>
      <w:pPr>
        <w:sectPr>
          <w:pgSz w:w="11900" w:h="16838" w:orient="portrait"/>
          <w:cols w:equalWidth="0" w:num="2">
            <w:col w:w="7760" w:space="720"/>
            <w:col w:w="2760"/>
          </w:cols>
          <w:pgMar w:left="320" w:top="1275"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OPAL FUELS INC.</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This prospectus supplement updates, amends and supplements the prospectus dated November 8, 2022 (the “Prospectus”), which forms a part of our Registration</w:t>
      </w:r>
    </w:p>
    <w:p>
      <w:pPr>
        <w:spacing w:after="0" w:line="220" w:lineRule="auto"/>
        <w:rPr>
          <w:sz w:val="20"/>
          <w:szCs w:val="20"/>
          <w:color w:val="auto"/>
        </w:rPr>
      </w:pPr>
      <w:r>
        <w:rPr>
          <w:rFonts w:ascii="Times New Roman" w:cs="Times New Roman" w:eastAsia="Times New Roman" w:hAnsi="Times New Roman"/>
          <w:sz w:val="17"/>
          <w:szCs w:val="17"/>
          <w:color w:val="auto"/>
        </w:rPr>
        <w:t>Statement on Form S-1 (Registration No. 333-266757). Capitalized terms used in this prospectus supplement and not otherwise defined herein have the meanings specified in the Prospectus.</w:t>
      </w:r>
    </w:p>
    <w:p>
      <w:pPr>
        <w:spacing w:after="0" w:line="171"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This prospectus supplement is being filed to update, amend, and supplement the information included in the Prospectus with the information contained in our Quarterly Report on Form 10-Q filed with the SEC on November 14, 2022, which is set forth below.</w:t>
      </w:r>
    </w:p>
    <w:p>
      <w:pPr>
        <w:spacing w:after="0" w:line="170" w:lineRule="exact"/>
        <w:rPr>
          <w:sz w:val="24"/>
          <w:szCs w:val="24"/>
          <w:color w:val="auto"/>
        </w:rPr>
      </w:pPr>
    </w:p>
    <w:p>
      <w:pPr>
        <w:spacing w:after="0" w:line="217" w:lineRule="auto"/>
        <w:rPr>
          <w:sz w:val="20"/>
          <w:szCs w:val="20"/>
          <w:color w:val="auto"/>
        </w:rPr>
      </w:pPr>
      <w:r>
        <w:rPr>
          <w:rFonts w:ascii="Times New Roman" w:cs="Times New Roman" w:eastAsia="Times New Roman" w:hAnsi="Times New Roman"/>
          <w:sz w:val="17"/>
          <w:szCs w:val="17"/>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w:t>
      </w:r>
    </w:p>
    <w:p>
      <w:pPr>
        <w:spacing w:after="0"/>
        <w:rPr>
          <w:sz w:val="20"/>
          <w:szCs w:val="20"/>
          <w:color w:val="auto"/>
        </w:rPr>
      </w:pPr>
      <w:r>
        <w:rPr>
          <w:rFonts w:ascii="Times New Roman" w:cs="Times New Roman" w:eastAsia="Times New Roman" w:hAnsi="Times New Roman"/>
          <w:sz w:val="17"/>
          <w:szCs w:val="17"/>
          <w:color w:val="auto"/>
        </w:rPr>
        <w:t>supersedes the information contained in the Prospectus. Please keep this prospectus supplement with your Prospectus for future reference.</w:t>
      </w:r>
    </w:p>
    <w:p>
      <w:pPr>
        <w:spacing w:after="0" w:line="172" w:lineRule="exact"/>
        <w:rPr>
          <w:sz w:val="24"/>
          <w:szCs w:val="24"/>
          <w:color w:val="auto"/>
        </w:rPr>
      </w:pPr>
    </w:p>
    <w:p>
      <w:pPr>
        <w:spacing w:after="0" w:line="230" w:lineRule="auto"/>
        <w:rPr>
          <w:sz w:val="20"/>
          <w:szCs w:val="20"/>
          <w:color w:val="auto"/>
        </w:rPr>
      </w:pPr>
      <w:r>
        <w:rPr>
          <w:rFonts w:ascii="Times New Roman" w:cs="Times New Roman" w:eastAsia="Times New Roman" w:hAnsi="Times New Roman"/>
          <w:sz w:val="16"/>
          <w:szCs w:val="16"/>
          <w:color w:val="auto"/>
        </w:rPr>
        <w:t>Our shares of Class A common stock are listed on the Nasdaq Capital Market (the “Nasdaq”) under the symbol “OPAL.” On November 14, 2022 the closing sale price of our Class A common stock was $8.50 per share. Our public warrants are listed on the Nasdaq under the symbol “OPALW.” On November 14, 2022, the closing sale price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of our public warrants was $1.31 per warrant.</w:t>
      </w:r>
    </w:p>
    <w:p>
      <w:pPr>
        <w:spacing w:after="0" w:line="168" w:lineRule="exact"/>
        <w:rPr>
          <w:sz w:val="24"/>
          <w:szCs w:val="24"/>
          <w:color w:val="auto"/>
        </w:rPr>
      </w:pPr>
    </w:p>
    <w:p>
      <w:pPr>
        <w:spacing w:after="0" w:line="234" w:lineRule="auto"/>
        <w:rPr>
          <w:sz w:val="20"/>
          <w:szCs w:val="20"/>
          <w:color w:val="auto"/>
        </w:rPr>
      </w:pPr>
      <w:r>
        <w:rPr>
          <w:rFonts w:ascii="Times New Roman" w:cs="Times New Roman" w:eastAsia="Times New Roman" w:hAnsi="Times New Roman"/>
          <w:sz w:val="17"/>
          <w:szCs w:val="17"/>
          <w:b w:val="1"/>
          <w:bCs w:val="1"/>
          <w:color w:val="auto"/>
        </w:rPr>
        <w:t>Investing in shares of our Class A common stock or warrants involves risks that are described in the “Risk Factors” section beginning on page 12 of the Prospectus.</w:t>
      </w:r>
    </w:p>
    <w:p>
      <w:pPr>
        <w:spacing w:after="0" w:line="182" w:lineRule="exact"/>
        <w:rPr>
          <w:sz w:val="24"/>
          <w:szCs w:val="24"/>
          <w:color w:val="auto"/>
        </w:rPr>
      </w:pPr>
    </w:p>
    <w:p>
      <w:pPr>
        <w:spacing w:after="0" w:line="231" w:lineRule="auto"/>
        <w:rPr>
          <w:sz w:val="20"/>
          <w:szCs w:val="20"/>
          <w:color w:val="auto"/>
        </w:rPr>
      </w:pPr>
      <w:r>
        <w:rPr>
          <w:rFonts w:ascii="Times New Roman" w:cs="Times New Roman" w:eastAsia="Times New Roman" w:hAnsi="Times New Roman"/>
          <w:sz w:val="17"/>
          <w:szCs w:val="17"/>
          <w:color w:val="auto"/>
        </w:rPr>
        <w:t>Neither the U.S. Securities and Exchange Commission nor any state securities commission has approved or disapproved of the securities to be issued under the Prospectus or determined if the Prospectus or this prospectus supplement is truthful or complete. Any representation to the contrary is a criminal offense.</w:t>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November 15, 2022</w:t>
      </w:r>
    </w:p>
    <w:p>
      <w:pPr>
        <w:sectPr>
          <w:pgSz w:w="11900" w:h="16838" w:orient="portrait"/>
          <w:cols w:equalWidth="0" w:num="1">
            <w:col w:w="11240"/>
          </w:cols>
          <w:pgMar w:left="320" w:top="1275"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202565</wp:posOffset>
            </wp:positionH>
            <wp:positionV relativeFrom="page">
              <wp:posOffset>601980</wp:posOffset>
            </wp:positionV>
            <wp:extent cx="7143115"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115" cy="15875"/>
                    </a:xfrm>
                    <a:prstGeom prst="rect">
                      <a:avLst/>
                    </a:prstGeom>
                    <a:noFill/>
                  </pic:spPr>
                </pic:pic>
              </a:graphicData>
            </a:graphic>
          </wp:anchor>
        </w:drawing>
        <w:t>UNITED STATES</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80" w:lineRule="exact"/>
        <w:rPr>
          <w:sz w:val="20"/>
          <w:szCs w:val="20"/>
          <w:color w:val="auto"/>
        </w:rPr>
      </w:pPr>
    </w:p>
    <w:p>
      <w:pPr>
        <w:ind w:left="3820" w:right="2240" w:hanging="3804"/>
        <w:spacing w:after="0" w:line="411" w:lineRule="auto"/>
        <w:tabs>
          <w:tab w:leader="none" w:pos="609"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2022</w:t>
      </w:r>
    </w:p>
    <w:p>
      <w:pPr>
        <w:spacing w:after="0" w:line="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200" w:lineRule="exact"/>
        <w:rPr>
          <w:sz w:val="20"/>
          <w:szCs w:val="20"/>
          <w:color w:val="auto"/>
        </w:rPr>
      </w:pPr>
    </w:p>
    <w:p>
      <w:pPr>
        <w:spacing w:after="0" w:line="224" w:lineRule="exact"/>
        <w:rPr>
          <w:sz w:val="20"/>
          <w:szCs w:val="20"/>
          <w:color w:val="auto"/>
        </w:rPr>
      </w:pPr>
    </w:p>
    <w:p>
      <w:pPr>
        <w:ind w:left="3280" w:right="2220" w:hanging="3264"/>
        <w:spacing w:after="0" w:line="411" w:lineRule="auto"/>
        <w:tabs>
          <w:tab w:leader="none" w:pos="597"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_______________ to ____________</w:t>
      </w:r>
    </w:p>
    <w:p>
      <w:pPr>
        <w:spacing w:after="0" w:line="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001-40272</w:t>
      </w: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OPAL FUELS INC.</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4800" w:type="dxa"/>
            <w:vAlign w:val="bottom"/>
          </w:tcPr>
          <w:p>
            <w:pPr>
              <w:jc w:val="center"/>
              <w:ind w:left="217"/>
              <w:spacing w:after="0"/>
              <w:rPr>
                <w:sz w:val="20"/>
                <w:szCs w:val="20"/>
                <w:color w:val="auto"/>
              </w:rPr>
            </w:pPr>
            <w:r>
              <w:rPr>
                <w:rFonts w:ascii="Times New Roman" w:cs="Times New Roman" w:eastAsia="Times New Roman" w:hAnsi="Times New Roman"/>
                <w:sz w:val="17"/>
                <w:szCs w:val="17"/>
                <w:b w:val="1"/>
                <w:bCs w:val="1"/>
                <w:color w:val="auto"/>
                <w:w w:val="95"/>
              </w:rPr>
              <w:t>Delaware</w:t>
            </w:r>
          </w:p>
        </w:tc>
        <w:tc>
          <w:tcPr>
            <w:tcW w:w="5000" w:type="dxa"/>
            <w:vAlign w:val="bottom"/>
          </w:tcPr>
          <w:p>
            <w:pPr>
              <w:jc w:val="right"/>
              <w:ind w:right="717"/>
              <w:spacing w:after="0"/>
              <w:rPr>
                <w:sz w:val="20"/>
                <w:szCs w:val="20"/>
                <w:color w:val="auto"/>
              </w:rPr>
            </w:pPr>
            <w:r>
              <w:rPr>
                <w:rFonts w:ascii="Times New Roman" w:cs="Times New Roman" w:eastAsia="Times New Roman" w:hAnsi="Times New Roman"/>
                <w:sz w:val="17"/>
                <w:szCs w:val="17"/>
                <w:b w:val="1"/>
                <w:bCs w:val="1"/>
                <w:color w:val="auto"/>
              </w:rPr>
              <w:t>98-1578357</w:t>
            </w:r>
          </w:p>
        </w:tc>
      </w:tr>
      <w:tr>
        <w:trPr>
          <w:trHeight w:val="286"/>
        </w:trPr>
        <w:tc>
          <w:tcPr>
            <w:tcW w:w="4800" w:type="dxa"/>
            <w:vAlign w:val="bottom"/>
          </w:tcPr>
          <w:p>
            <w:pPr>
              <w:jc w:val="center"/>
              <w:ind w:left="237"/>
              <w:spacing w:after="0"/>
              <w:rPr>
                <w:sz w:val="20"/>
                <w:szCs w:val="20"/>
                <w:color w:val="auto"/>
              </w:rPr>
            </w:pPr>
            <w:r>
              <w:rPr>
                <w:rFonts w:ascii="Times New Roman" w:cs="Times New Roman" w:eastAsia="Times New Roman" w:hAnsi="Times New Roman"/>
                <w:sz w:val="17"/>
                <w:szCs w:val="17"/>
                <w:color w:val="auto"/>
                <w:w w:val="97"/>
              </w:rPr>
              <w:t>(State or other jurisdiction of incorporation or organization)</w:t>
            </w:r>
          </w:p>
        </w:tc>
        <w:tc>
          <w:tcPr>
            <w:tcW w:w="5000" w:type="dxa"/>
            <w:vAlign w:val="bottom"/>
          </w:tcPr>
          <w:p>
            <w:pPr>
              <w:jc w:val="center"/>
              <w:ind w:left="2517"/>
              <w:spacing w:after="0"/>
              <w:rPr>
                <w:sz w:val="20"/>
                <w:szCs w:val="20"/>
                <w:color w:val="auto"/>
              </w:rPr>
            </w:pPr>
            <w:r>
              <w:rPr>
                <w:rFonts w:ascii="Times New Roman" w:cs="Times New Roman" w:eastAsia="Times New Roman" w:hAnsi="Times New Roman"/>
                <w:sz w:val="17"/>
                <w:szCs w:val="17"/>
                <w:color w:val="auto"/>
                <w:w w:val="97"/>
              </w:rPr>
              <w:t>(I.R.S. Employer Identification No.)</w:t>
            </w:r>
          </w:p>
        </w:tc>
      </w:tr>
      <w:tr>
        <w:trPr>
          <w:trHeight w:val="348"/>
        </w:trPr>
        <w:tc>
          <w:tcPr>
            <w:tcW w:w="4800" w:type="dxa"/>
            <w:vAlign w:val="bottom"/>
          </w:tcPr>
          <w:p>
            <w:pPr>
              <w:jc w:val="center"/>
              <w:ind w:left="217"/>
              <w:spacing w:after="0"/>
              <w:rPr>
                <w:sz w:val="20"/>
                <w:szCs w:val="20"/>
                <w:color w:val="auto"/>
              </w:rPr>
            </w:pPr>
            <w:r>
              <w:rPr>
                <w:rFonts w:ascii="Times New Roman" w:cs="Times New Roman" w:eastAsia="Times New Roman" w:hAnsi="Times New Roman"/>
                <w:sz w:val="17"/>
                <w:szCs w:val="17"/>
                <w:b w:val="1"/>
                <w:bCs w:val="1"/>
                <w:color w:val="auto"/>
                <w:w w:val="97"/>
              </w:rPr>
              <w:t>One North Lexington Avenue, Suite 1450</w:t>
            </w:r>
          </w:p>
        </w:tc>
        <w:tc>
          <w:tcPr>
            <w:tcW w:w="5000" w:type="dxa"/>
            <w:vAlign w:val="bottom"/>
          </w:tcPr>
          <w:p>
            <w:pPr>
              <w:spacing w:after="0"/>
              <w:rPr>
                <w:sz w:val="24"/>
                <w:szCs w:val="24"/>
                <w:color w:val="auto"/>
              </w:rPr>
            </w:pPr>
          </w:p>
        </w:tc>
      </w:tr>
      <w:tr>
        <w:trPr>
          <w:trHeight w:val="360"/>
        </w:trPr>
        <w:tc>
          <w:tcPr>
            <w:tcW w:w="4800" w:type="dxa"/>
            <w:vAlign w:val="bottom"/>
          </w:tcPr>
          <w:p>
            <w:pPr>
              <w:jc w:val="center"/>
              <w:ind w:left="217"/>
              <w:spacing w:after="0"/>
              <w:rPr>
                <w:sz w:val="20"/>
                <w:szCs w:val="20"/>
                <w:color w:val="auto"/>
              </w:rPr>
            </w:pPr>
            <w:r>
              <w:rPr>
                <w:rFonts w:ascii="Times New Roman" w:cs="Times New Roman" w:eastAsia="Times New Roman" w:hAnsi="Times New Roman"/>
                <w:sz w:val="17"/>
                <w:szCs w:val="17"/>
                <w:b w:val="1"/>
                <w:bCs w:val="1"/>
                <w:color w:val="auto"/>
                <w:w w:val="96"/>
              </w:rPr>
              <w:t>White Plains, New York</w:t>
            </w:r>
          </w:p>
        </w:tc>
        <w:tc>
          <w:tcPr>
            <w:tcW w:w="5000" w:type="dxa"/>
            <w:vAlign w:val="bottom"/>
          </w:tcPr>
          <w:p>
            <w:pPr>
              <w:jc w:val="right"/>
              <w:ind w:right="897"/>
              <w:spacing w:after="0"/>
              <w:rPr>
                <w:sz w:val="20"/>
                <w:szCs w:val="20"/>
                <w:color w:val="auto"/>
              </w:rPr>
            </w:pPr>
            <w:r>
              <w:rPr>
                <w:rFonts w:ascii="Times New Roman" w:cs="Times New Roman" w:eastAsia="Times New Roman" w:hAnsi="Times New Roman"/>
                <w:sz w:val="17"/>
                <w:szCs w:val="17"/>
                <w:b w:val="1"/>
                <w:bCs w:val="1"/>
                <w:color w:val="auto"/>
              </w:rPr>
              <w:t>10601</w:t>
            </w:r>
          </w:p>
        </w:tc>
      </w:tr>
      <w:tr>
        <w:trPr>
          <w:trHeight w:val="273"/>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5000" w:type="dxa"/>
            <w:vAlign w:val="bottom"/>
          </w:tcPr>
          <w:p>
            <w:pPr>
              <w:jc w:val="center"/>
              <w:ind w:left="2537"/>
              <w:spacing w:after="0"/>
              <w:rPr>
                <w:sz w:val="20"/>
                <w:szCs w:val="20"/>
                <w:color w:val="auto"/>
              </w:rPr>
            </w:pPr>
            <w:r>
              <w:rPr>
                <w:rFonts w:ascii="Times New Roman" w:cs="Times New Roman" w:eastAsia="Times New Roman" w:hAnsi="Times New Roman"/>
                <w:sz w:val="17"/>
                <w:szCs w:val="17"/>
                <w:color w:val="auto"/>
                <w:w w:val="98"/>
              </w:rPr>
              <w:t>(Zip Code)</w:t>
            </w:r>
          </w:p>
        </w:tc>
      </w:tr>
      <w:tr>
        <w:trPr>
          <w:trHeight w:val="311"/>
        </w:trPr>
        <w:tc>
          <w:tcPr>
            <w:tcW w:w="4800" w:type="dxa"/>
            <w:vAlign w:val="bottom"/>
          </w:tcPr>
          <w:p>
            <w:pPr>
              <w:spacing w:after="0"/>
              <w:rPr>
                <w:sz w:val="24"/>
                <w:szCs w:val="24"/>
                <w:color w:val="auto"/>
              </w:rPr>
            </w:pPr>
          </w:p>
        </w:tc>
        <w:tc>
          <w:tcPr>
            <w:tcW w:w="5000" w:type="dxa"/>
            <w:vAlign w:val="bottom"/>
          </w:tcPr>
          <w:p>
            <w:pPr>
              <w:jc w:val="right"/>
              <w:ind w:right="3617"/>
              <w:spacing w:after="0"/>
              <w:rPr>
                <w:sz w:val="20"/>
                <w:szCs w:val="20"/>
                <w:color w:val="auto"/>
              </w:rPr>
            </w:pPr>
            <w:r>
              <w:rPr>
                <w:rFonts w:ascii="Times New Roman" w:cs="Times New Roman" w:eastAsia="Times New Roman" w:hAnsi="Times New Roman"/>
                <w:sz w:val="17"/>
                <w:szCs w:val="17"/>
                <w:b w:val="1"/>
                <w:bCs w:val="1"/>
                <w:color w:val="auto"/>
              </w:rPr>
              <w:t>(914) 705-4000</w:t>
            </w:r>
          </w:p>
        </w:tc>
      </w:tr>
    </w:tbl>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3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Title of each class</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Trading Symbol(s)</w:t>
            </w:r>
          </w:p>
        </w:tc>
        <w:tc>
          <w:tcPr>
            <w:tcW w:w="4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Name of each exchange on which registered</w:t>
            </w: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Class A Common Stock, par value $0.0001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4"/>
              </w:rPr>
              <w:t>OPAL</w:t>
            </w:r>
          </w:p>
        </w:tc>
        <w:tc>
          <w:tcPr>
            <w:tcW w:w="4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The Nasdaq Stock Market LLC</w:t>
            </w:r>
          </w:p>
        </w:tc>
      </w:tr>
      <w:tr>
        <w:trPr>
          <w:trHeight w:val="181"/>
        </w:trPr>
        <w:tc>
          <w:tcPr>
            <w:tcW w:w="3900" w:type="dxa"/>
            <w:vAlign w:val="bottom"/>
            <w:tcBorders>
              <w:left w:val="single" w:sz="8" w:color="auto"/>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7"/>
                <w:szCs w:val="17"/>
                <w:color w:val="auto"/>
              </w:rPr>
              <w:t>Redeemable Warrants, each whole warrant exercisable</w:t>
            </w:r>
          </w:p>
        </w:tc>
        <w:tc>
          <w:tcPr>
            <w:tcW w:w="2400" w:type="dxa"/>
            <w:vAlign w:val="bottom"/>
            <w:tcBorders>
              <w:right w:val="single" w:sz="8" w:color="auto"/>
            </w:tcBorders>
          </w:tcPr>
          <w:p>
            <w:pPr>
              <w:spacing w:after="0"/>
              <w:rPr>
                <w:sz w:val="15"/>
                <w:szCs w:val="15"/>
                <w:color w:val="auto"/>
              </w:rPr>
            </w:pPr>
          </w:p>
        </w:tc>
        <w:tc>
          <w:tcPr>
            <w:tcW w:w="4960" w:type="dxa"/>
            <w:vAlign w:val="bottom"/>
            <w:tcBorders>
              <w:right w:val="single" w:sz="8" w:color="auto"/>
            </w:tcBorders>
          </w:tcPr>
          <w:p>
            <w:pPr>
              <w:spacing w:after="0"/>
              <w:rPr>
                <w:sz w:val="15"/>
                <w:szCs w:val="15"/>
                <w:color w:val="auto"/>
              </w:rPr>
            </w:pPr>
          </w:p>
        </w:tc>
      </w:tr>
      <w:tr>
        <w:trPr>
          <w:trHeight w:val="186"/>
        </w:trPr>
        <w:tc>
          <w:tcPr>
            <w:tcW w:w="3900" w:type="dxa"/>
            <w:vAlign w:val="bottom"/>
            <w:tcBorders>
              <w:left w:val="single" w:sz="8" w:color="auto"/>
              <w:right w:val="single" w:sz="8" w:color="auto"/>
            </w:tcBorders>
          </w:tcPr>
          <w:p>
            <w:pPr>
              <w:ind w:left="20"/>
              <w:spacing w:after="0" w:line="186" w:lineRule="exact"/>
              <w:rPr>
                <w:sz w:val="20"/>
                <w:szCs w:val="20"/>
                <w:color w:val="auto"/>
              </w:rPr>
            </w:pPr>
            <w:r>
              <w:rPr>
                <w:rFonts w:ascii="Times New Roman" w:cs="Times New Roman" w:eastAsia="Times New Roman" w:hAnsi="Times New Roman"/>
                <w:sz w:val="17"/>
                <w:szCs w:val="17"/>
                <w:color w:val="auto"/>
              </w:rPr>
              <w:t>for one share of Class A Common Stock at an exercise</w:t>
            </w:r>
          </w:p>
        </w:tc>
        <w:tc>
          <w:tcPr>
            <w:tcW w:w="240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7"/>
                <w:szCs w:val="17"/>
                <w:color w:val="auto"/>
                <w:w w:val="92"/>
              </w:rPr>
              <w:t>OPALW</w:t>
            </w:r>
          </w:p>
        </w:tc>
        <w:tc>
          <w:tcPr>
            <w:tcW w:w="49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7"/>
                <w:szCs w:val="17"/>
                <w:color w:val="auto"/>
                <w:w w:val="97"/>
              </w:rPr>
              <w:t>The Nasdaq Stock Market LLC</w:t>
            </w:r>
          </w:p>
        </w:tc>
      </w:tr>
      <w:tr>
        <w:trPr>
          <w:trHeight w:val="216"/>
        </w:trPr>
        <w:tc>
          <w:tcPr>
            <w:tcW w:w="39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price of $11.50 per share</w:t>
            </w:r>
          </w:p>
        </w:tc>
        <w:tc>
          <w:tcPr>
            <w:tcW w:w="2400" w:type="dxa"/>
            <w:vAlign w:val="bottom"/>
            <w:tcBorders>
              <w:right w:val="single" w:sz="8" w:color="auto"/>
            </w:tcBorders>
          </w:tcPr>
          <w:p>
            <w:pPr>
              <w:spacing w:after="0"/>
              <w:rPr>
                <w:sz w:val="18"/>
                <w:szCs w:val="18"/>
                <w:color w:val="auto"/>
              </w:rPr>
            </w:pPr>
          </w:p>
        </w:tc>
        <w:tc>
          <w:tcPr>
            <w:tcW w:w="4960" w:type="dxa"/>
            <w:vAlign w:val="bottom"/>
            <w:tcBorders>
              <w:right w:val="single" w:sz="8" w:color="auto"/>
            </w:tcBorders>
          </w:tcPr>
          <w:p>
            <w:pPr>
              <w:spacing w:after="0"/>
              <w:rPr>
                <w:sz w:val="18"/>
                <w:szCs w:val="18"/>
                <w:color w:val="auto"/>
              </w:rPr>
            </w:pPr>
          </w:p>
        </w:tc>
      </w:tr>
      <w:tr>
        <w:trPr>
          <w:trHeight w:val="25"/>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r>
    </w:tbl>
    <w:p>
      <w:pPr>
        <w:spacing w:after="0" w:line="294" w:lineRule="exact"/>
        <w:rPr>
          <w:sz w:val="20"/>
          <w:szCs w:val="20"/>
          <w:color w:val="auto"/>
        </w:rPr>
      </w:pPr>
    </w:p>
    <w:p>
      <w:pPr>
        <w:ind w:right="200"/>
        <w:spacing w:after="0" w:line="21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0" w:lineRule="exact"/>
        <w:rPr>
          <w:sz w:val="20"/>
          <w:szCs w:val="20"/>
          <w:color w:val="auto"/>
        </w:rPr>
      </w:pPr>
    </w:p>
    <w:p>
      <w:pPr>
        <w:ind w:right="200"/>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238" w:right="319" w:bottom="1440" w:gutter="0" w:footer="0" w:header="0"/>
        </w:sectPr>
      </w:pPr>
    </w:p>
    <w:bookmarkStart w:id="2" w:name="page3"/>
    <w:bookmarkEnd w:id="2"/>
    <w:tbl>
      <w:tblPr>
        <w:tblLayout w:type="fixed"/>
        <w:tblInd w:w="840" w:type="dxa"/>
        <w:tblCellMar>
          <w:top w:w="0" w:type="dxa"/>
          <w:left w:w="0" w:type="dxa"/>
          <w:bottom w:w="0" w:type="dxa"/>
          <w:right w:w="0" w:type="dxa"/>
        </w:tblCellMar>
      </w:tblPr>
      <w:tr>
        <w:trPr>
          <w:trHeight w:val="235"/>
        </w:trPr>
        <w:tc>
          <w:tcPr>
            <w:tcW w:w="2140" w:type="dxa"/>
            <w:vAlign w:val="bottom"/>
          </w:tcPr>
          <w:p>
            <w:pPr>
              <w:jc w:val="center"/>
              <w:ind w:right="577"/>
              <w:spacing w:after="0"/>
              <w:rPr>
                <w:sz w:val="20"/>
                <w:szCs w:val="20"/>
                <w:color w:val="auto"/>
              </w:rPr>
            </w:pPr>
            <w:r>
              <w:rPr>
                <w:rFonts w:ascii="Times New Roman" w:cs="Times New Roman" w:eastAsia="Times New Roman" w:hAnsi="Times New Roman"/>
                <w:sz w:val="17"/>
                <w:szCs w:val="17"/>
                <w:color w:val="auto"/>
                <w:w w:val="96"/>
              </w:rPr>
              <w:t>Large accelerated filer</w:t>
            </w:r>
          </w:p>
        </w:tc>
        <w:tc>
          <w:tcPr>
            <w:tcW w:w="13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rPr>
              <w:t>☐</w:t>
            </w:r>
          </w:p>
        </w:tc>
        <w:tc>
          <w:tcPr>
            <w:tcW w:w="31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Accelerated filer</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7"/>
        </w:trPr>
        <w:tc>
          <w:tcPr>
            <w:tcW w:w="2140" w:type="dxa"/>
            <w:vAlign w:val="bottom"/>
          </w:tcPr>
          <w:p>
            <w:pPr>
              <w:jc w:val="center"/>
              <w:ind w:right="597"/>
              <w:spacing w:after="0"/>
              <w:rPr>
                <w:sz w:val="20"/>
                <w:szCs w:val="20"/>
                <w:color w:val="auto"/>
              </w:rPr>
            </w:pPr>
            <w:r>
              <w:rPr>
                <w:rFonts w:ascii="Times New Roman" w:cs="Times New Roman" w:eastAsia="Times New Roman" w:hAnsi="Times New Roman"/>
                <w:sz w:val="17"/>
                <w:szCs w:val="17"/>
                <w:color w:val="auto"/>
                <w:w w:val="98"/>
              </w:rPr>
              <w:t>Non-accelerated filer</w:t>
            </w:r>
          </w:p>
        </w:tc>
        <w:tc>
          <w:tcPr>
            <w:tcW w:w="13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rPr>
              <w:t>☒</w:t>
            </w:r>
          </w:p>
        </w:tc>
        <w:tc>
          <w:tcPr>
            <w:tcW w:w="31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6"/>
        </w:trPr>
        <w:tc>
          <w:tcPr>
            <w:tcW w:w="2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1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Emerging growth company</w:t>
            </w:r>
          </w:p>
        </w:tc>
        <w:tc>
          <w:tcPr>
            <w:tcW w:w="86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219"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jc w:val="right"/>
        <w:spacing w:after="0" w:line="171" w:lineRule="exact"/>
        <w:rPr>
          <w:sz w:val="20"/>
          <w:szCs w:val="20"/>
          <w:color w:val="auto"/>
        </w:rPr>
      </w:pPr>
      <w:r>
        <w:rPr>
          <w:rFonts w:ascii="MS PGothic" w:cs="MS PGothic" w:eastAsia="MS PGothic" w:hAnsi="MS PGothic"/>
          <w:sz w:val="17"/>
          <w:szCs w:val="17"/>
          <w:color w:val="auto"/>
        </w:rPr>
        <w:t>☐</w:t>
      </w:r>
    </w:p>
    <w:p>
      <w:pPr>
        <w:spacing w:after="0" w:line="61" w:lineRule="exact"/>
        <w:rPr>
          <w:sz w:val="20"/>
          <w:szCs w:val="20"/>
          <w:color w:val="auto"/>
        </w:rPr>
      </w:pPr>
    </w:p>
    <w:p>
      <w:pPr>
        <w:spacing w:after="0" w:line="196" w:lineRule="exact"/>
        <w:tabs>
          <w:tab w:leader="none" w:pos="7700" w:val="left"/>
          <w:tab w:leader="none" w:pos="842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23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As of November 11, 2022</w:t>
      </w: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 xml:space="preserve"> a total of 25,671,390 shares of Class A common stock, par value $0.0001 per share, and 144,399,037 shares of Class D common stock, par value $0.0001 per share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714311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3" w:name="page4"/>
    <w:bookmarkEnd w:id="3"/>
    <w:p>
      <w:pPr>
        <w:ind w:left="1"/>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19" w:lineRule="exact"/>
        <w:rPr>
          <w:sz w:val="20"/>
          <w:szCs w:val="20"/>
          <w:color w:val="auto"/>
        </w:rPr>
      </w:pPr>
    </w:p>
    <w:p>
      <w:pPr>
        <w:jc w:val="both"/>
        <w:ind w:left="1" w:firstLine="597"/>
        <w:spacing w:after="0" w:line="237"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federal securities laws.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spacing w:after="0" w:line="3" w:lineRule="exact"/>
        <w:rPr>
          <w:sz w:val="20"/>
          <w:szCs w:val="20"/>
          <w:color w:val="auto"/>
        </w:rPr>
      </w:pPr>
    </w:p>
    <w:p>
      <w:pPr>
        <w:ind w:left="1" w:right="260" w:hanging="1"/>
        <w:spacing w:after="0" w:line="235" w:lineRule="auto"/>
        <w:tabs>
          <w:tab w:leader="none" w:pos="26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realize the benefits of the Business Combination (as defined herein), which may be affected by, among other things, competition, our ability to grow and manage growth profitably, maintain relationships with customers and suppliers and retain key employees;</w:t>
      </w:r>
    </w:p>
    <w:p>
      <w:pPr>
        <w:spacing w:after="0" w:line="208" w:lineRule="exact"/>
        <w:rPr>
          <w:rFonts w:ascii="Times New Roman" w:cs="Times New Roman" w:eastAsia="Times New Roman" w:hAnsi="Times New Roman"/>
          <w:sz w:val="17"/>
          <w:szCs w:val="17"/>
          <w:color w:val="auto"/>
        </w:rPr>
      </w:pPr>
    </w:p>
    <w:p>
      <w:pPr>
        <w:ind w:left="261" w:hanging="261"/>
        <w:spacing w:after="0"/>
        <w:tabs>
          <w:tab w:leader="none" w:pos="26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in retaining or recruiting, our principal officers, key employees or directors;</w:t>
      </w:r>
    </w:p>
    <w:p>
      <w:pPr>
        <w:spacing w:after="0" w:line="8" w:lineRule="exact"/>
        <w:rPr>
          <w:rFonts w:ascii="Times New Roman" w:cs="Times New Roman" w:eastAsia="Times New Roman" w:hAnsi="Times New Roman"/>
          <w:sz w:val="17"/>
          <w:szCs w:val="17"/>
          <w:color w:val="auto"/>
        </w:rPr>
      </w:pPr>
    </w:p>
    <w:p>
      <w:pPr>
        <w:ind w:left="261" w:hanging="261"/>
        <w:spacing w:after="0"/>
        <w:tabs>
          <w:tab w:leader="none" w:pos="26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intense competition and competitive pressures from other companies in the industry in which we operate;</w:t>
      </w:r>
    </w:p>
    <w:p>
      <w:pPr>
        <w:spacing w:after="0" w:line="196" w:lineRule="exact"/>
        <w:rPr>
          <w:rFonts w:ascii="Times New Roman" w:cs="Times New Roman" w:eastAsia="Times New Roman" w:hAnsi="Times New Roman"/>
          <w:sz w:val="17"/>
          <w:szCs w:val="17"/>
          <w:color w:val="auto"/>
        </w:rPr>
      </w:pPr>
    </w:p>
    <w:p>
      <w:pPr>
        <w:ind w:left="1" w:right="100" w:hanging="1"/>
        <w:spacing w:after="0" w:line="268" w:lineRule="auto"/>
        <w:tabs>
          <w:tab w:leader="none" w:pos="26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of, or delays in obtaining, key components or labor for the construction and completion of LFG and livestock waste projects that generate electricity and renewable natural gas (“RNG”) and compressed natural gas (“CNG”) and hydrogen dispensing stations;</w:t>
      </w:r>
    </w:p>
    <w:p>
      <w:pPr>
        <w:spacing w:after="0" w:line="172" w:lineRule="exact"/>
        <w:rPr>
          <w:rFonts w:ascii="Times New Roman" w:cs="Times New Roman" w:eastAsia="Times New Roman" w:hAnsi="Times New Roman"/>
          <w:sz w:val="17"/>
          <w:szCs w:val="17"/>
          <w:color w:val="auto"/>
        </w:rPr>
      </w:pPr>
    </w:p>
    <w:p>
      <w:pPr>
        <w:ind w:left="261" w:hanging="261"/>
        <w:spacing w:after="0"/>
        <w:tabs>
          <w:tab w:leader="none" w:pos="26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factors relating to our business, operations and financial performance, including market conditions and global and economic factors beyond our control;</w:t>
      </w:r>
    </w:p>
    <w:p>
      <w:pPr>
        <w:spacing w:after="0" w:line="214" w:lineRule="exact"/>
        <w:rPr>
          <w:rFonts w:ascii="Times New Roman" w:cs="Times New Roman" w:eastAsia="Times New Roman" w:hAnsi="Times New Roman"/>
          <w:sz w:val="17"/>
          <w:szCs w:val="17"/>
          <w:color w:val="auto"/>
        </w:rPr>
      </w:pPr>
    </w:p>
    <w:p>
      <w:pPr>
        <w:ind w:left="261" w:hanging="261"/>
        <w:spacing w:after="0"/>
        <w:tabs>
          <w:tab w:leader="none" w:pos="26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conditions related to the global COVID-19 pandemic;</w:t>
      </w:r>
    </w:p>
    <w:p>
      <w:pPr>
        <w:spacing w:after="0" w:line="20" w:lineRule="exact"/>
        <w:rPr>
          <w:rFonts w:ascii="Times New Roman" w:cs="Times New Roman" w:eastAsia="Times New Roman" w:hAnsi="Times New Roman"/>
          <w:sz w:val="17"/>
          <w:szCs w:val="17"/>
          <w:color w:val="auto"/>
        </w:rPr>
      </w:pPr>
    </w:p>
    <w:p>
      <w:pPr>
        <w:ind w:left="261" w:hanging="261"/>
        <w:spacing w:after="0" w:line="230" w:lineRule="auto"/>
        <w:tabs>
          <w:tab w:leader="none" w:pos="26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reduction or elimination of government economic incentives to the renewable energy market;</w:t>
      </w:r>
    </w:p>
    <w:p>
      <w:pPr>
        <w:jc w:val="both"/>
        <w:ind w:left="1" w:hanging="1"/>
        <w:spacing w:after="0" w:line="232" w:lineRule="auto"/>
        <w:tabs>
          <w:tab w:leader="none" w:pos="39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and operators, on which we operate our LFG and livestock waste projects that generate electricity and (iii) RNG prices for Environmental Attributes, LCFS credits and other incentives;</w:t>
      </w:r>
    </w:p>
    <w:p>
      <w:pPr>
        <w:spacing w:after="0" w:line="2" w:lineRule="exact"/>
        <w:rPr>
          <w:rFonts w:ascii="Times New Roman" w:cs="Times New Roman" w:eastAsia="Times New Roman" w:hAnsi="Times New Roman"/>
          <w:sz w:val="17"/>
          <w:szCs w:val="17"/>
          <w:color w:val="auto"/>
        </w:rPr>
      </w:pPr>
    </w:p>
    <w:p>
      <w:pPr>
        <w:ind w:left="261" w:hanging="261"/>
        <w:spacing w:after="0"/>
        <w:tabs>
          <w:tab w:leader="none" w:pos="26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identify, acquire, develop and operate renewable projects and fueling stations ("Fueling Stations");</w:t>
      </w:r>
    </w:p>
    <w:p>
      <w:pPr>
        <w:spacing w:after="0" w:line="2" w:lineRule="exact"/>
        <w:rPr>
          <w:rFonts w:ascii="Times New Roman" w:cs="Times New Roman" w:eastAsia="Times New Roman" w:hAnsi="Times New Roman"/>
          <w:sz w:val="17"/>
          <w:szCs w:val="17"/>
          <w:color w:val="auto"/>
        </w:rPr>
      </w:pPr>
    </w:p>
    <w:p>
      <w:pPr>
        <w:ind w:left="261" w:hanging="261"/>
        <w:spacing w:after="0" w:line="230" w:lineRule="auto"/>
        <w:tabs>
          <w:tab w:leader="none" w:pos="26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issue equity or equity-linked securities or obtain debt financing;</w:t>
      </w:r>
    </w:p>
    <w:p>
      <w:pPr>
        <w:ind w:left="261" w:hanging="261"/>
        <w:spacing w:after="0" w:line="228" w:lineRule="auto"/>
        <w:tabs>
          <w:tab w:leader="none" w:pos="26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for renewable energy not being sustained;</w:t>
      </w:r>
    </w:p>
    <w:p>
      <w:pPr>
        <w:ind w:left="261" w:hanging="261"/>
        <w:spacing w:after="0"/>
        <w:tabs>
          <w:tab w:leader="none" w:pos="26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of climate change, changing weather patterns and conditions and natural disasters;</w:t>
      </w:r>
    </w:p>
    <w:p>
      <w:pPr>
        <w:spacing w:after="0" w:line="2" w:lineRule="exact"/>
        <w:rPr>
          <w:rFonts w:ascii="Times New Roman" w:cs="Times New Roman" w:eastAsia="Times New Roman" w:hAnsi="Times New Roman"/>
          <w:sz w:val="17"/>
          <w:szCs w:val="17"/>
          <w:color w:val="auto"/>
        </w:rPr>
      </w:pPr>
    </w:p>
    <w:p>
      <w:pPr>
        <w:ind w:left="261" w:hanging="261"/>
        <w:spacing w:after="0" w:line="230" w:lineRule="auto"/>
        <w:tabs>
          <w:tab w:leader="none" w:pos="26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legal, tax and regulatory changes; and</w:t>
      </w:r>
    </w:p>
    <w:p>
      <w:pPr>
        <w:ind w:left="261" w:hanging="261"/>
        <w:spacing w:after="0" w:line="228" w:lineRule="auto"/>
        <w:tabs>
          <w:tab w:leader="none" w:pos="26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detailed under the section entitled “Risk Factors.”</w:t>
      </w:r>
    </w:p>
    <w:p>
      <w:pPr>
        <w:spacing w:after="0" w:line="1" w:lineRule="exact"/>
        <w:rPr>
          <w:sz w:val="20"/>
          <w:szCs w:val="20"/>
          <w:color w:val="auto"/>
        </w:rPr>
      </w:pPr>
    </w:p>
    <w:p>
      <w:pPr>
        <w:jc w:val="both"/>
        <w:ind w:left="1" w:firstLine="597"/>
        <w:spacing w:after="0" w:line="235" w:lineRule="auto"/>
        <w:rPr>
          <w:sz w:val="20"/>
          <w:szCs w:val="20"/>
          <w:color w:val="auto"/>
        </w:rPr>
      </w:pPr>
      <w:r>
        <w:rPr>
          <w:rFonts w:ascii="Times New Roman" w:cs="Times New Roman" w:eastAsia="Times New Roman" w:hAnsi="Times New Roman"/>
          <w:sz w:val="17"/>
          <w:szCs w:val="17"/>
          <w:color w:val="auto"/>
        </w:rPr>
        <w:t>The forward-looking statements contained in this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10-Q.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pgSz w:w="11900" w:h="16838" w:orient="portrait"/>
          <w:cols w:equalWidth="0" w:num="1">
            <w:col w:w="11241"/>
          </w:cols>
          <w:pgMar w:left="319" w:top="86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820" w:type="dxa"/>
            <w:vAlign w:val="bottom"/>
            <w:tcBorders>
              <w:bottom w:val="single" w:sz="8" w:color="auto"/>
            </w:tcBorders>
            <w:gridSpan w:val="3"/>
            <w:shd w:val="clear" w:color="auto" w:fill="CCEEFF"/>
          </w:tcPr>
          <w:p>
            <w:pPr>
              <w:spacing w:after="0" w:line="151" w:lineRule="exact"/>
              <w:rPr>
                <w:sz w:val="20"/>
                <w:szCs w:val="20"/>
                <w:color w:val="auto"/>
              </w:rPr>
            </w:pPr>
            <w:r>
              <w:rPr>
                <w:rFonts w:ascii="Times New Roman" w:cs="Times New Roman" w:eastAsia="Times New Roman" w:hAnsi="Times New Roman"/>
                <w:sz w:val="17"/>
                <w:szCs w:val="17"/>
                <w:b w:val="1"/>
                <w:bCs w:val="1"/>
                <w:color w:val="auto"/>
                <w:w w:val="95"/>
              </w:rPr>
              <w:t>PART I. FINANCIAL INFORMATION</w:t>
            </w:r>
          </w:p>
        </w:tc>
        <w:tc>
          <w:tcPr>
            <w:tcW w:w="3660" w:type="dxa"/>
            <w:vAlign w:val="bottom"/>
            <w:tcBorders>
              <w:bottom w:val="single" w:sz="8" w:color="CCEEFF"/>
            </w:tcBorders>
            <w:gridSpan w:val="6"/>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left w:val="single" w:sz="8" w:color="CCEEFF"/>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00" w:type="dxa"/>
            <w:vAlign w:val="bottom"/>
            <w:gridSpan w:val="2"/>
          </w:tcPr>
          <w:p>
            <w:pPr>
              <w:spacing w:after="0" w:line="174" w:lineRule="exact"/>
              <w:rPr>
                <w:sz w:val="20"/>
                <w:szCs w:val="20"/>
                <w:color w:val="auto"/>
              </w:rPr>
            </w:pPr>
            <w:r>
              <w:rPr>
                <w:rFonts w:ascii="Times New Roman" w:cs="Times New Roman" w:eastAsia="Times New Roman" w:hAnsi="Times New Roman"/>
                <w:sz w:val="17"/>
                <w:szCs w:val="17"/>
                <w:color w:val="auto"/>
              </w:rPr>
              <w:t>ITEM 1.</w:t>
            </w:r>
          </w:p>
        </w:tc>
        <w:tc>
          <w:tcPr>
            <w:tcW w:w="8940" w:type="dxa"/>
            <w:vAlign w:val="bottom"/>
            <w:gridSpan w:val="12"/>
          </w:tcPr>
          <w:p>
            <w:pPr>
              <w:spacing w:after="0" w:line="174" w:lineRule="exact"/>
              <w:rPr>
                <w:sz w:val="20"/>
                <w:szCs w:val="20"/>
                <w:color w:val="auto"/>
              </w:rPr>
            </w:pPr>
            <w:r>
              <w:rPr>
                <w:rFonts w:ascii="Times New Roman" w:cs="Times New Roman" w:eastAsia="Times New Roman" w:hAnsi="Times New Roman"/>
                <w:sz w:val="17"/>
                <w:szCs w:val="17"/>
                <w:color w:val="auto"/>
              </w:rPr>
              <w:t>FINANCIAL STATEMENTS</w:t>
            </w:r>
          </w:p>
        </w:tc>
        <w:tc>
          <w:tcPr>
            <w:tcW w:w="580" w:type="dxa"/>
            <w:vAlign w:val="bottom"/>
            <w:gridSpan w:val="3"/>
          </w:tcPr>
          <w:p>
            <w:pPr>
              <w:jc w:val="center"/>
              <w:ind w:left="417"/>
              <w:spacing w:after="0" w:line="174" w:lineRule="exact"/>
              <w:rPr>
                <w:sz w:val="20"/>
                <w:szCs w:val="20"/>
                <w:color w:val="auto"/>
              </w:rPr>
            </w:pPr>
            <w:r>
              <w:rPr>
                <w:rFonts w:ascii="Times New Roman" w:cs="Times New Roman" w:eastAsia="Times New Roman" w:hAnsi="Times New Roman"/>
                <w:sz w:val="17"/>
                <w:szCs w:val="17"/>
                <w:color w:val="auto"/>
                <w:w w:val="93"/>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780" w:type="dxa"/>
            <w:vAlign w:val="bottom"/>
            <w:gridSpan w:val="4"/>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w w:val="96"/>
              </w:rPr>
              <w:t>CONDENSED CONSOLIDATED BALANCE SHEETS</w:t>
            </w:r>
          </w:p>
        </w:tc>
        <w:tc>
          <w:tcPr>
            <w:tcW w:w="5160" w:type="dxa"/>
            <w:vAlign w:val="bottom"/>
            <w:gridSpan w:val="8"/>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gridSpan w:val="5"/>
            <w:shd w:val="clear" w:color="auto" w:fill="CCEEFF"/>
          </w:tcPr>
          <w:p>
            <w:pPr>
              <w:jc w:val="center"/>
              <w:ind w:right="300"/>
              <w:spacing w:after="0" w:line="183" w:lineRule="exact"/>
              <w:rPr>
                <w:sz w:val="20"/>
                <w:szCs w:val="20"/>
                <w:color w:val="auto"/>
              </w:rPr>
            </w:pPr>
            <w:r>
              <w:rPr>
                <w:rFonts w:ascii="Times New Roman" w:cs="Times New Roman" w:eastAsia="Times New Roman" w:hAnsi="Times New Roman"/>
                <w:sz w:val="17"/>
                <w:szCs w:val="17"/>
                <w:color w:val="auto"/>
                <w:w w:val="92"/>
              </w:rPr>
              <w:t>F-1</w:t>
            </w: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9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1320" w:type="dxa"/>
            <w:vAlign w:val="bottom"/>
            <w:shd w:val="clear" w:color="auto" w:fill="000000"/>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580" w:type="dxa"/>
            <w:vAlign w:val="bottom"/>
            <w:tcBorders>
              <w:lef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940" w:type="dxa"/>
            <w:vAlign w:val="bottom"/>
            <w:gridSpan w:val="12"/>
          </w:tcPr>
          <w:p>
            <w:pPr>
              <w:spacing w:after="0" w:line="174" w:lineRule="exact"/>
              <w:rPr>
                <w:sz w:val="20"/>
                <w:szCs w:val="20"/>
                <w:color w:val="auto"/>
              </w:rPr>
            </w:pPr>
            <w:r>
              <w:rPr>
                <w:rFonts w:ascii="Times New Roman" w:cs="Times New Roman" w:eastAsia="Times New Roman" w:hAnsi="Times New Roman"/>
                <w:sz w:val="17"/>
                <w:szCs w:val="17"/>
                <w:color w:val="auto"/>
              </w:rPr>
              <w:t>CONDENSED CONSOLIDATED STATEMENTS OF OPERATIONS</w:t>
            </w:r>
          </w:p>
        </w:tc>
        <w:tc>
          <w:tcPr>
            <w:tcW w:w="320" w:type="dxa"/>
            <w:vAlign w:val="bottom"/>
          </w:tcPr>
          <w:p>
            <w:pPr>
              <w:spacing w:after="0"/>
              <w:rPr>
                <w:sz w:val="15"/>
                <w:szCs w:val="15"/>
                <w:color w:val="auto"/>
              </w:rPr>
            </w:pPr>
          </w:p>
        </w:tc>
        <w:tc>
          <w:tcPr>
            <w:tcW w:w="760" w:type="dxa"/>
            <w:vAlign w:val="bottom"/>
            <w:gridSpan w:val="5"/>
          </w:tcPr>
          <w:p>
            <w:pPr>
              <w:jc w:val="center"/>
              <w:ind w:right="300"/>
              <w:spacing w:after="0" w:line="174" w:lineRule="exact"/>
              <w:rPr>
                <w:sz w:val="20"/>
                <w:szCs w:val="20"/>
                <w:color w:val="auto"/>
              </w:rPr>
            </w:pPr>
            <w:r>
              <w:rPr>
                <w:rFonts w:ascii="Times New Roman" w:cs="Times New Roman" w:eastAsia="Times New Roman" w:hAnsi="Times New Roman"/>
                <w:sz w:val="17"/>
                <w:szCs w:val="17"/>
                <w:color w:val="auto"/>
                <w:w w:val="92"/>
              </w:rPr>
              <w:t>F-3</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940" w:type="dxa"/>
            <w:vAlign w:val="bottom"/>
            <w:gridSpan w:val="1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CONDENSED CONSOLIDATED STATEMENTS OF CHANGES IN REDEEMABLE NON-CONTROLLING INTEREST,</w:t>
            </w:r>
          </w:p>
        </w:tc>
        <w:tc>
          <w:tcPr>
            <w:tcW w:w="320" w:type="dxa"/>
            <w:vAlign w:val="bottom"/>
            <w:shd w:val="clear" w:color="auto" w:fill="CCEEFF"/>
          </w:tcPr>
          <w:p>
            <w:pPr>
              <w:spacing w:after="0"/>
              <w:rPr>
                <w:sz w:val="15"/>
                <w:szCs w:val="15"/>
                <w:color w:val="auto"/>
              </w:rPr>
            </w:pPr>
          </w:p>
        </w:tc>
        <w:tc>
          <w:tcPr>
            <w:tcW w:w="760" w:type="dxa"/>
            <w:vAlign w:val="bottom"/>
            <w:gridSpan w:val="5"/>
            <w:vMerge w:val="restart"/>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w w:val="92"/>
              </w:rPr>
              <w:t>F-5</w:t>
            </w:r>
          </w:p>
        </w:tc>
        <w:tc>
          <w:tcPr>
            <w:tcW w:w="0" w:type="dxa"/>
            <w:vAlign w:val="bottom"/>
          </w:tcPr>
          <w:p>
            <w:pPr>
              <w:spacing w:after="0"/>
              <w:rPr>
                <w:sz w:val="1"/>
                <w:szCs w:val="1"/>
                <w:color w:val="auto"/>
              </w:rPr>
            </w:pPr>
          </w:p>
        </w:tc>
      </w:tr>
      <w:tr>
        <w:trPr>
          <w:trHeight w:val="154"/>
        </w:trPr>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8320" w:type="dxa"/>
            <w:vAlign w:val="bottom"/>
            <w:tcBorders>
              <w:top w:val="single" w:sz="8" w:color="auto"/>
            </w:tcBorders>
            <w:gridSpan w:val="11"/>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REDEEMABLE PREFERRED NON-CONTROLLING INTEREST AND STOCKHOLDERS' EQUITY</w:t>
            </w:r>
          </w:p>
        </w:tc>
        <w:tc>
          <w:tcPr>
            <w:tcW w:w="6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gridSpan w:val="5"/>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9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132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580" w:type="dxa"/>
            <w:vAlign w:val="bottom"/>
            <w:tcBorders>
              <w:left w:val="single" w:sz="8" w:color="auto"/>
            </w:tcBorders>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700" w:type="dxa"/>
            <w:vAlign w:val="bottom"/>
            <w:gridSpan w:val="5"/>
          </w:tcPr>
          <w:p>
            <w:pPr>
              <w:spacing w:after="0" w:line="174" w:lineRule="exact"/>
              <w:rPr>
                <w:sz w:val="20"/>
                <w:szCs w:val="20"/>
                <w:color w:val="auto"/>
              </w:rPr>
            </w:pPr>
            <w:r>
              <w:rPr>
                <w:rFonts w:ascii="Times New Roman" w:cs="Times New Roman" w:eastAsia="Times New Roman" w:hAnsi="Times New Roman"/>
                <w:sz w:val="17"/>
                <w:szCs w:val="17"/>
                <w:color w:val="auto"/>
                <w:w w:val="94"/>
              </w:rPr>
              <w:t>CONDENSED CONSOLIDATED STATEMENTS OF CASH FLOWS</w:t>
            </w:r>
          </w:p>
        </w:tc>
        <w:tc>
          <w:tcPr>
            <w:tcW w:w="2280" w:type="dxa"/>
            <w:vAlign w:val="bottom"/>
            <w:gridSpan w:val="4"/>
          </w:tcPr>
          <w:p>
            <w:pPr>
              <w:spacing w:after="0"/>
              <w:rPr>
                <w:sz w:val="15"/>
                <w:szCs w:val="15"/>
                <w:color w:val="auto"/>
              </w:rPr>
            </w:pPr>
          </w:p>
        </w:tc>
        <w:tc>
          <w:tcPr>
            <w:tcW w:w="1960" w:type="dxa"/>
            <w:vAlign w:val="bottom"/>
            <w:gridSpan w:val="3"/>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5"/>
          </w:tcPr>
          <w:p>
            <w:pPr>
              <w:jc w:val="center"/>
              <w:ind w:right="300"/>
              <w:spacing w:after="0" w:line="174" w:lineRule="exact"/>
              <w:rPr>
                <w:sz w:val="20"/>
                <w:szCs w:val="20"/>
                <w:color w:val="auto"/>
              </w:rPr>
            </w:pPr>
            <w:r>
              <w:rPr>
                <w:rFonts w:ascii="Times New Roman" w:cs="Times New Roman" w:eastAsia="Times New Roman" w:hAnsi="Times New Roman"/>
                <w:sz w:val="17"/>
                <w:szCs w:val="17"/>
                <w:color w:val="auto"/>
                <w:w w:val="92"/>
              </w:rPr>
              <w:t>F-7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180" w:type="dxa"/>
            <w:vAlign w:val="bottom"/>
            <w:gridSpan w:val="8"/>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w w:val="96"/>
              </w:rPr>
              <w:t>NOTES TO UNAUDITED CONDENSED CONSOLIDATED FINANCIAL STATEMENTS</w:t>
            </w:r>
          </w:p>
        </w:tc>
        <w:tc>
          <w:tcPr>
            <w:tcW w:w="2760" w:type="dxa"/>
            <w:vAlign w:val="bottom"/>
            <w:gridSpan w:val="4"/>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gridSpan w:val="5"/>
            <w:shd w:val="clear" w:color="auto" w:fill="CCEEFF"/>
          </w:tcPr>
          <w:p>
            <w:pPr>
              <w:jc w:val="center"/>
              <w:ind w:right="300"/>
              <w:spacing w:after="0" w:line="183" w:lineRule="exact"/>
              <w:rPr>
                <w:sz w:val="20"/>
                <w:szCs w:val="20"/>
                <w:color w:val="auto"/>
              </w:rPr>
            </w:pPr>
            <w:r>
              <w:rPr>
                <w:rFonts w:ascii="Times New Roman" w:cs="Times New Roman" w:eastAsia="Times New Roman" w:hAnsi="Times New Roman"/>
                <w:sz w:val="17"/>
                <w:szCs w:val="17"/>
                <w:color w:val="auto"/>
                <w:w w:val="92"/>
              </w:rPr>
              <w:t>F-9</w:t>
            </w: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9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132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580" w:type="dxa"/>
            <w:vAlign w:val="bottom"/>
            <w:tcBorders>
              <w:left w:val="single" w:sz="8" w:color="auto"/>
            </w:tcBorders>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200" w:type="dxa"/>
            <w:vAlign w:val="bottom"/>
            <w:gridSpan w:val="2"/>
          </w:tcPr>
          <w:p>
            <w:pPr>
              <w:spacing w:after="0" w:line="174" w:lineRule="exact"/>
              <w:rPr>
                <w:sz w:val="20"/>
                <w:szCs w:val="20"/>
                <w:color w:val="auto"/>
              </w:rPr>
            </w:pPr>
            <w:r>
              <w:rPr>
                <w:rFonts w:ascii="Times New Roman" w:cs="Times New Roman" w:eastAsia="Times New Roman" w:hAnsi="Times New Roman"/>
                <w:sz w:val="17"/>
                <w:szCs w:val="17"/>
                <w:color w:val="auto"/>
              </w:rPr>
              <w:t>ITEM 2.</w:t>
            </w:r>
          </w:p>
        </w:tc>
        <w:tc>
          <w:tcPr>
            <w:tcW w:w="8940" w:type="dxa"/>
            <w:vAlign w:val="bottom"/>
            <w:gridSpan w:val="12"/>
          </w:tcPr>
          <w:p>
            <w:pPr>
              <w:spacing w:after="0" w:line="174" w:lineRule="exact"/>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580" w:type="dxa"/>
            <w:vAlign w:val="bottom"/>
            <w:gridSpan w:val="3"/>
          </w:tcPr>
          <w:p>
            <w:pPr>
              <w:jc w:val="center"/>
              <w:ind w:left="417"/>
              <w:spacing w:after="0" w:line="174" w:lineRule="exact"/>
              <w:rPr>
                <w:sz w:val="20"/>
                <w:szCs w:val="20"/>
                <w:color w:val="auto"/>
              </w:rPr>
            </w:pPr>
            <w:r>
              <w:rPr>
                <w:rFonts w:ascii="Times New Roman" w:cs="Times New Roman" w:eastAsia="Times New Roman" w:hAnsi="Times New Roman"/>
                <w:sz w:val="17"/>
                <w:szCs w:val="17"/>
                <w:color w:val="auto"/>
                <w:w w:val="93"/>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Borders>
              <w:lef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ITEM 3.</w:t>
            </w:r>
          </w:p>
        </w:tc>
        <w:tc>
          <w:tcPr>
            <w:tcW w:w="8940" w:type="dxa"/>
            <w:vAlign w:val="bottom"/>
            <w:gridSpan w:val="1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660" w:type="dxa"/>
            <w:vAlign w:val="bottom"/>
            <w:gridSpan w:val="4"/>
            <w:shd w:val="clear" w:color="auto" w:fill="CCEEFF"/>
          </w:tcPr>
          <w:p>
            <w:pPr>
              <w:jc w:val="center"/>
              <w:ind w:left="357"/>
              <w:spacing w:after="0" w:line="183" w:lineRule="exact"/>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9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132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580" w:type="dxa"/>
            <w:vAlign w:val="bottom"/>
            <w:tcBorders>
              <w:left w:val="single" w:sz="8" w:color="auto"/>
            </w:tcBorders>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tcBorders>
              <w:left w:val="single" w:sz="8" w:color="auto"/>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00" w:type="dxa"/>
            <w:vAlign w:val="bottom"/>
            <w:gridSpan w:val="2"/>
          </w:tcPr>
          <w:p>
            <w:pPr>
              <w:spacing w:after="0" w:line="174" w:lineRule="exact"/>
              <w:rPr>
                <w:sz w:val="20"/>
                <w:szCs w:val="20"/>
                <w:color w:val="auto"/>
              </w:rPr>
            </w:pPr>
            <w:r>
              <w:rPr>
                <w:rFonts w:ascii="Times New Roman" w:cs="Times New Roman" w:eastAsia="Times New Roman" w:hAnsi="Times New Roman"/>
                <w:sz w:val="17"/>
                <w:szCs w:val="17"/>
                <w:color w:val="auto"/>
              </w:rPr>
              <w:t>ITEM 4.</w:t>
            </w:r>
          </w:p>
        </w:tc>
        <w:tc>
          <w:tcPr>
            <w:tcW w:w="8940" w:type="dxa"/>
            <w:vAlign w:val="bottom"/>
            <w:gridSpan w:val="12"/>
          </w:tcPr>
          <w:p>
            <w:pPr>
              <w:spacing w:after="0" w:line="174" w:lineRule="exact"/>
              <w:rPr>
                <w:sz w:val="20"/>
                <w:szCs w:val="20"/>
                <w:color w:val="auto"/>
              </w:rPr>
            </w:pPr>
            <w:r>
              <w:rPr>
                <w:rFonts w:ascii="Times New Roman" w:cs="Times New Roman" w:eastAsia="Times New Roman" w:hAnsi="Times New Roman"/>
                <w:sz w:val="17"/>
                <w:szCs w:val="17"/>
                <w:color w:val="auto"/>
              </w:rPr>
              <w:t>CONTROLS AND PROCEDURES</w:t>
            </w:r>
          </w:p>
        </w:tc>
        <w:tc>
          <w:tcPr>
            <w:tcW w:w="660" w:type="dxa"/>
            <w:vAlign w:val="bottom"/>
            <w:gridSpan w:val="4"/>
          </w:tcPr>
          <w:p>
            <w:pPr>
              <w:jc w:val="center"/>
              <w:ind w:left="357"/>
              <w:spacing w:after="0" w:line="174" w:lineRule="exact"/>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98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tcBorders>
              <w:left w:val="single" w:sz="8" w:color="CCEEFF"/>
            </w:tcBorders>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80" w:type="dxa"/>
            <w:vAlign w:val="bottom"/>
            <w:tcBorders>
              <w:lef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60" w:type="dxa"/>
            <w:vAlign w:val="bottom"/>
            <w:tcBorders>
              <w:bottom w:val="single" w:sz="8" w:color="auto"/>
            </w:tcBorders>
            <w:gridSpan w:val="2"/>
          </w:tcPr>
          <w:p>
            <w:pPr>
              <w:spacing w:after="0" w:line="174" w:lineRule="exact"/>
              <w:rPr>
                <w:sz w:val="20"/>
                <w:szCs w:val="20"/>
                <w:color w:val="auto"/>
              </w:rPr>
            </w:pPr>
            <w:r>
              <w:rPr>
                <w:rFonts w:ascii="Times New Roman" w:cs="Times New Roman" w:eastAsia="Times New Roman" w:hAnsi="Times New Roman"/>
                <w:sz w:val="17"/>
                <w:szCs w:val="17"/>
                <w:b w:val="1"/>
                <w:bCs w:val="1"/>
                <w:color w:val="auto"/>
                <w:w w:val="96"/>
              </w:rPr>
              <w:t>PART II. OTHER INFORMATION</w:t>
            </w:r>
          </w:p>
        </w:tc>
        <w:tc>
          <w:tcPr>
            <w:tcW w:w="42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ITEM 1.</w:t>
            </w:r>
          </w:p>
        </w:tc>
        <w:tc>
          <w:tcPr>
            <w:tcW w:w="9600" w:type="dxa"/>
            <w:vAlign w:val="bottom"/>
            <w:gridSpan w:val="10"/>
            <w:shd w:val="clear" w:color="auto" w:fill="CCEEFF"/>
          </w:tcPr>
          <w:p>
            <w:pPr>
              <w:ind w:left="200"/>
              <w:spacing w:after="0" w:line="183" w:lineRule="exact"/>
              <w:rPr>
                <w:sz w:val="20"/>
                <w:szCs w:val="20"/>
                <w:color w:val="auto"/>
              </w:rPr>
            </w:pPr>
            <w:r>
              <w:rPr>
                <w:rFonts w:ascii="Times New Roman" w:cs="Times New Roman" w:eastAsia="Times New Roman" w:hAnsi="Times New Roman"/>
                <w:sz w:val="17"/>
                <w:szCs w:val="17"/>
                <w:color w:val="auto"/>
              </w:rPr>
              <w:t>LEGAL PROCEEDINGS</w:t>
            </w:r>
          </w:p>
        </w:tc>
        <w:tc>
          <w:tcPr>
            <w:tcW w:w="620" w:type="dxa"/>
            <w:vAlign w:val="bottom"/>
            <w:gridSpan w:val="2"/>
            <w:shd w:val="clear" w:color="auto" w:fill="CCEEFF"/>
          </w:tcPr>
          <w:p>
            <w:pPr>
              <w:jc w:val="right"/>
              <w:ind w:right="440"/>
              <w:spacing w:after="0" w:line="183" w:lineRule="exact"/>
              <w:rPr>
                <w:sz w:val="20"/>
                <w:szCs w:val="20"/>
                <w:color w:val="auto"/>
              </w:rPr>
            </w:pPr>
            <w:r>
              <w:rPr>
                <w:rFonts w:ascii="Times New Roman" w:cs="Times New Roman" w:eastAsia="Times New Roman" w:hAnsi="Times New Roman"/>
                <w:sz w:val="17"/>
                <w:szCs w:val="17"/>
                <w:color w:val="auto"/>
                <w:w w:val="93"/>
              </w:rPr>
              <w:t>16</w:t>
            </w: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580" w:type="dxa"/>
            <w:vAlign w:val="bottom"/>
            <w:tcBorders>
              <w:right w:val="single" w:sz="8" w:color="CCEEFF"/>
            </w:tcBorders>
            <w:shd w:val="clear" w:color="auto" w:fill="000000"/>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82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r>
      <w:tr>
        <w:trPr>
          <w:trHeight w:val="174"/>
        </w:trPr>
        <w:tc>
          <w:tcPr>
            <w:tcW w:w="20" w:type="dxa"/>
            <w:vAlign w:val="bottom"/>
          </w:tcPr>
          <w:p>
            <w:pPr>
              <w:spacing w:after="0"/>
              <w:rPr>
                <w:sz w:val="15"/>
                <w:szCs w:val="15"/>
                <w:color w:val="auto"/>
              </w:rPr>
            </w:pPr>
          </w:p>
        </w:tc>
        <w:tc>
          <w:tcPr>
            <w:tcW w:w="1000" w:type="dxa"/>
            <w:vAlign w:val="bottom"/>
            <w:gridSpan w:val="3"/>
          </w:tcPr>
          <w:p>
            <w:pPr>
              <w:spacing w:after="0" w:line="174" w:lineRule="exact"/>
              <w:rPr>
                <w:sz w:val="20"/>
                <w:szCs w:val="20"/>
                <w:color w:val="auto"/>
              </w:rPr>
            </w:pPr>
            <w:r>
              <w:rPr>
                <w:rFonts w:ascii="Times New Roman" w:cs="Times New Roman" w:eastAsia="Times New Roman" w:hAnsi="Times New Roman"/>
                <w:sz w:val="17"/>
                <w:szCs w:val="17"/>
                <w:color w:val="auto"/>
              </w:rPr>
              <w:t>ITEM 1A.</w:t>
            </w:r>
          </w:p>
        </w:tc>
        <w:tc>
          <w:tcPr>
            <w:tcW w:w="9600" w:type="dxa"/>
            <w:vAlign w:val="bottom"/>
            <w:gridSpan w:val="10"/>
          </w:tcPr>
          <w:p>
            <w:pPr>
              <w:ind w:left="200"/>
              <w:spacing w:after="0" w:line="174" w:lineRule="exact"/>
              <w:rPr>
                <w:sz w:val="20"/>
                <w:szCs w:val="20"/>
                <w:color w:val="auto"/>
              </w:rPr>
            </w:pPr>
            <w:r>
              <w:rPr>
                <w:rFonts w:ascii="Times New Roman" w:cs="Times New Roman" w:eastAsia="Times New Roman" w:hAnsi="Times New Roman"/>
                <w:sz w:val="17"/>
                <w:szCs w:val="17"/>
                <w:color w:val="auto"/>
              </w:rPr>
              <w:t>RISK FACTORS</w:t>
            </w:r>
          </w:p>
        </w:tc>
        <w:tc>
          <w:tcPr>
            <w:tcW w:w="620" w:type="dxa"/>
            <w:vAlign w:val="bottom"/>
            <w:gridSpan w:val="2"/>
          </w:tcPr>
          <w:p>
            <w:pPr>
              <w:jc w:val="right"/>
              <w:ind w:right="440"/>
              <w:spacing w:after="0" w:line="174" w:lineRule="exact"/>
              <w:rPr>
                <w:sz w:val="20"/>
                <w:szCs w:val="20"/>
                <w:color w:val="auto"/>
              </w:rPr>
            </w:pPr>
            <w:r>
              <w:rPr>
                <w:rFonts w:ascii="Times New Roman" w:cs="Times New Roman" w:eastAsia="Times New Roman" w:hAnsi="Times New Roman"/>
                <w:sz w:val="17"/>
                <w:szCs w:val="17"/>
                <w:color w:val="auto"/>
                <w:w w:val="93"/>
              </w:rPr>
              <w:t>16</w:t>
            </w:r>
          </w:p>
        </w:tc>
      </w:tr>
      <w:tr>
        <w:trPr>
          <w:trHeight w:val="29"/>
        </w:trPr>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ITEM 2.</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0" w:type="dxa"/>
            <w:vAlign w:val="bottom"/>
            <w:gridSpan w:val="9"/>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UNREGISTERED SALES OF EQUITY SECURITIES AND USE OF PROCEEDS</w:t>
            </w:r>
          </w:p>
        </w:tc>
        <w:tc>
          <w:tcPr>
            <w:tcW w:w="620" w:type="dxa"/>
            <w:vAlign w:val="bottom"/>
            <w:gridSpan w:val="2"/>
            <w:shd w:val="clear" w:color="auto" w:fill="CCEEFF"/>
          </w:tcPr>
          <w:p>
            <w:pPr>
              <w:jc w:val="right"/>
              <w:ind w:right="440"/>
              <w:spacing w:after="0" w:line="183" w:lineRule="exact"/>
              <w:rPr>
                <w:sz w:val="20"/>
                <w:szCs w:val="20"/>
                <w:color w:val="auto"/>
              </w:rPr>
            </w:pPr>
            <w:r>
              <w:rPr>
                <w:rFonts w:ascii="Times New Roman" w:cs="Times New Roman" w:eastAsia="Times New Roman" w:hAnsi="Times New Roman"/>
                <w:sz w:val="17"/>
                <w:szCs w:val="17"/>
                <w:color w:val="auto"/>
                <w:w w:val="93"/>
              </w:rPr>
              <w:t>47</w:t>
            </w: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580" w:type="dxa"/>
            <w:vAlign w:val="bottom"/>
            <w:tcBorders>
              <w:right w:val="single" w:sz="8" w:color="auto"/>
            </w:tcBorders>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20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382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r>
      <w:tr>
        <w:trPr>
          <w:trHeight w:val="174"/>
        </w:trPr>
        <w:tc>
          <w:tcPr>
            <w:tcW w:w="20" w:type="dxa"/>
            <w:vAlign w:val="bottom"/>
          </w:tcPr>
          <w:p>
            <w:pPr>
              <w:spacing w:after="0"/>
              <w:rPr>
                <w:sz w:val="15"/>
                <w:szCs w:val="15"/>
                <w:color w:val="auto"/>
              </w:rPr>
            </w:pPr>
          </w:p>
        </w:tc>
        <w:tc>
          <w:tcPr>
            <w:tcW w:w="1000" w:type="dxa"/>
            <w:vAlign w:val="bottom"/>
            <w:gridSpan w:val="3"/>
          </w:tcPr>
          <w:p>
            <w:pPr>
              <w:spacing w:after="0" w:line="174" w:lineRule="exact"/>
              <w:rPr>
                <w:sz w:val="20"/>
                <w:szCs w:val="20"/>
                <w:color w:val="auto"/>
              </w:rPr>
            </w:pPr>
            <w:r>
              <w:rPr>
                <w:rFonts w:ascii="Times New Roman" w:cs="Times New Roman" w:eastAsia="Times New Roman" w:hAnsi="Times New Roman"/>
                <w:sz w:val="17"/>
                <w:szCs w:val="17"/>
                <w:color w:val="auto"/>
              </w:rPr>
              <w:t>ITEM 3.</w:t>
            </w:r>
          </w:p>
        </w:tc>
        <w:tc>
          <w:tcPr>
            <w:tcW w:w="9600" w:type="dxa"/>
            <w:vAlign w:val="bottom"/>
            <w:gridSpan w:val="10"/>
          </w:tcPr>
          <w:p>
            <w:pPr>
              <w:ind w:left="200"/>
              <w:spacing w:after="0" w:line="174" w:lineRule="exact"/>
              <w:rPr>
                <w:sz w:val="20"/>
                <w:szCs w:val="20"/>
                <w:color w:val="auto"/>
              </w:rPr>
            </w:pPr>
            <w:r>
              <w:rPr>
                <w:rFonts w:ascii="Times New Roman" w:cs="Times New Roman" w:eastAsia="Times New Roman" w:hAnsi="Times New Roman"/>
                <w:sz w:val="17"/>
                <w:szCs w:val="17"/>
                <w:color w:val="auto"/>
              </w:rPr>
              <w:t>DEFAULTS UPON SENIOR SECURITIES</w:t>
            </w:r>
          </w:p>
        </w:tc>
        <w:tc>
          <w:tcPr>
            <w:tcW w:w="620" w:type="dxa"/>
            <w:vAlign w:val="bottom"/>
            <w:gridSpan w:val="2"/>
          </w:tcPr>
          <w:p>
            <w:pPr>
              <w:jc w:val="right"/>
              <w:ind w:right="440"/>
              <w:spacing w:after="0" w:line="174" w:lineRule="exact"/>
              <w:rPr>
                <w:sz w:val="20"/>
                <w:szCs w:val="20"/>
                <w:color w:val="auto"/>
              </w:rPr>
            </w:pPr>
            <w:r>
              <w:rPr>
                <w:rFonts w:ascii="Times New Roman" w:cs="Times New Roman" w:eastAsia="Times New Roman" w:hAnsi="Times New Roman"/>
                <w:sz w:val="17"/>
                <w:szCs w:val="17"/>
                <w:color w:val="auto"/>
                <w:w w:val="93"/>
              </w:rPr>
              <w:t>47</w:t>
            </w:r>
          </w:p>
        </w:tc>
      </w:tr>
      <w:tr>
        <w:trPr>
          <w:trHeight w:val="29"/>
        </w:trPr>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ITEM 4.</w:t>
            </w:r>
          </w:p>
        </w:tc>
        <w:tc>
          <w:tcPr>
            <w:tcW w:w="9600" w:type="dxa"/>
            <w:vAlign w:val="bottom"/>
            <w:gridSpan w:val="10"/>
            <w:shd w:val="clear" w:color="auto" w:fill="CCEEFF"/>
          </w:tcPr>
          <w:p>
            <w:pPr>
              <w:ind w:left="200"/>
              <w:spacing w:after="0" w:line="183" w:lineRule="exact"/>
              <w:rPr>
                <w:sz w:val="20"/>
                <w:szCs w:val="20"/>
                <w:color w:val="auto"/>
              </w:rPr>
            </w:pPr>
            <w:r>
              <w:rPr>
                <w:rFonts w:ascii="Times New Roman" w:cs="Times New Roman" w:eastAsia="Times New Roman" w:hAnsi="Times New Roman"/>
                <w:sz w:val="17"/>
                <w:szCs w:val="17"/>
                <w:color w:val="auto"/>
              </w:rPr>
              <w:t>MINE SAFETY DISCLOSURES</w:t>
            </w:r>
          </w:p>
        </w:tc>
        <w:tc>
          <w:tcPr>
            <w:tcW w:w="620" w:type="dxa"/>
            <w:vAlign w:val="bottom"/>
            <w:gridSpan w:val="2"/>
            <w:shd w:val="clear" w:color="auto" w:fill="CCEEFF"/>
          </w:tcPr>
          <w:p>
            <w:pPr>
              <w:jc w:val="right"/>
              <w:ind w:right="440"/>
              <w:spacing w:after="0" w:line="183" w:lineRule="exact"/>
              <w:rPr>
                <w:sz w:val="20"/>
                <w:szCs w:val="20"/>
                <w:color w:val="auto"/>
              </w:rPr>
            </w:pPr>
            <w:r>
              <w:rPr>
                <w:rFonts w:ascii="Times New Roman" w:cs="Times New Roman" w:eastAsia="Times New Roman" w:hAnsi="Times New Roman"/>
                <w:sz w:val="17"/>
                <w:szCs w:val="17"/>
                <w:color w:val="auto"/>
                <w:w w:val="93"/>
              </w:rPr>
              <w:t>47</w:t>
            </w: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580" w:type="dxa"/>
            <w:vAlign w:val="bottom"/>
            <w:tcBorders>
              <w:right w:val="single" w:sz="8" w:color="auto"/>
            </w:tcBorders>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82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r>
      <w:tr>
        <w:trPr>
          <w:trHeight w:val="174"/>
        </w:trPr>
        <w:tc>
          <w:tcPr>
            <w:tcW w:w="20" w:type="dxa"/>
            <w:vAlign w:val="bottom"/>
          </w:tcPr>
          <w:p>
            <w:pPr>
              <w:spacing w:after="0"/>
              <w:rPr>
                <w:sz w:val="15"/>
                <w:szCs w:val="15"/>
                <w:color w:val="auto"/>
              </w:rPr>
            </w:pPr>
          </w:p>
        </w:tc>
        <w:tc>
          <w:tcPr>
            <w:tcW w:w="1000" w:type="dxa"/>
            <w:vAlign w:val="bottom"/>
            <w:gridSpan w:val="3"/>
          </w:tcPr>
          <w:p>
            <w:pPr>
              <w:spacing w:after="0" w:line="174" w:lineRule="exact"/>
              <w:rPr>
                <w:sz w:val="20"/>
                <w:szCs w:val="20"/>
                <w:color w:val="auto"/>
              </w:rPr>
            </w:pPr>
            <w:r>
              <w:rPr>
                <w:rFonts w:ascii="Times New Roman" w:cs="Times New Roman" w:eastAsia="Times New Roman" w:hAnsi="Times New Roman"/>
                <w:sz w:val="17"/>
                <w:szCs w:val="17"/>
                <w:color w:val="auto"/>
              </w:rPr>
              <w:t>ITEM 5.</w:t>
            </w:r>
          </w:p>
        </w:tc>
        <w:tc>
          <w:tcPr>
            <w:tcW w:w="9600" w:type="dxa"/>
            <w:vAlign w:val="bottom"/>
            <w:gridSpan w:val="10"/>
          </w:tcPr>
          <w:p>
            <w:pPr>
              <w:ind w:left="200"/>
              <w:spacing w:after="0" w:line="174" w:lineRule="exact"/>
              <w:rPr>
                <w:sz w:val="20"/>
                <w:szCs w:val="20"/>
                <w:color w:val="auto"/>
              </w:rPr>
            </w:pPr>
            <w:r>
              <w:rPr>
                <w:rFonts w:ascii="Times New Roman" w:cs="Times New Roman" w:eastAsia="Times New Roman" w:hAnsi="Times New Roman"/>
                <w:sz w:val="17"/>
                <w:szCs w:val="17"/>
                <w:color w:val="auto"/>
              </w:rPr>
              <w:t>OTHER INFORMATION</w:t>
            </w:r>
          </w:p>
        </w:tc>
        <w:tc>
          <w:tcPr>
            <w:tcW w:w="620" w:type="dxa"/>
            <w:vAlign w:val="bottom"/>
            <w:gridSpan w:val="2"/>
          </w:tcPr>
          <w:p>
            <w:pPr>
              <w:jc w:val="right"/>
              <w:ind w:right="440"/>
              <w:spacing w:after="0" w:line="174" w:lineRule="exact"/>
              <w:rPr>
                <w:sz w:val="20"/>
                <w:szCs w:val="20"/>
                <w:color w:val="auto"/>
              </w:rPr>
            </w:pPr>
            <w:r>
              <w:rPr>
                <w:rFonts w:ascii="Times New Roman" w:cs="Times New Roman" w:eastAsia="Times New Roman" w:hAnsi="Times New Roman"/>
                <w:sz w:val="17"/>
                <w:szCs w:val="17"/>
                <w:color w:val="auto"/>
                <w:w w:val="93"/>
              </w:rPr>
              <w:t>48</w:t>
            </w:r>
          </w:p>
        </w:tc>
      </w:tr>
      <w:tr>
        <w:trPr>
          <w:trHeight w:val="29"/>
        </w:trPr>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ITEM 6.</w:t>
            </w:r>
          </w:p>
        </w:tc>
        <w:tc>
          <w:tcPr>
            <w:tcW w:w="9600" w:type="dxa"/>
            <w:vAlign w:val="bottom"/>
            <w:gridSpan w:val="10"/>
            <w:shd w:val="clear" w:color="auto" w:fill="CCEEFF"/>
          </w:tcPr>
          <w:p>
            <w:pPr>
              <w:ind w:left="200"/>
              <w:spacing w:after="0" w:line="183" w:lineRule="exact"/>
              <w:rPr>
                <w:sz w:val="20"/>
                <w:szCs w:val="20"/>
                <w:color w:val="auto"/>
              </w:rPr>
            </w:pPr>
            <w:r>
              <w:rPr>
                <w:rFonts w:ascii="Times New Roman" w:cs="Times New Roman" w:eastAsia="Times New Roman" w:hAnsi="Times New Roman"/>
                <w:sz w:val="17"/>
                <w:szCs w:val="17"/>
                <w:color w:val="auto"/>
              </w:rPr>
              <w:t>EXHIBITS</w:t>
            </w:r>
          </w:p>
        </w:tc>
        <w:tc>
          <w:tcPr>
            <w:tcW w:w="620" w:type="dxa"/>
            <w:vAlign w:val="bottom"/>
            <w:gridSpan w:val="2"/>
            <w:shd w:val="clear" w:color="auto" w:fill="CCEEFF"/>
          </w:tcPr>
          <w:p>
            <w:pPr>
              <w:jc w:val="right"/>
              <w:ind w:right="440"/>
              <w:spacing w:after="0" w:line="183" w:lineRule="exact"/>
              <w:rPr>
                <w:sz w:val="20"/>
                <w:szCs w:val="20"/>
                <w:color w:val="auto"/>
              </w:rPr>
            </w:pPr>
            <w:r>
              <w:rPr>
                <w:rFonts w:ascii="Times New Roman" w:cs="Times New Roman" w:eastAsia="Times New Roman" w:hAnsi="Times New Roman"/>
                <w:sz w:val="17"/>
                <w:szCs w:val="17"/>
                <w:color w:val="auto"/>
                <w:w w:val="93"/>
              </w:rPr>
              <w:t>48</w:t>
            </w:r>
          </w:p>
        </w:tc>
      </w:tr>
      <w:tr>
        <w:trPr>
          <w:trHeight w:val="37"/>
        </w:trPr>
        <w:tc>
          <w:tcPr>
            <w:tcW w:w="20" w:type="dxa"/>
            <w:vAlign w:val="bottom"/>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82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r>
      <w:tr>
        <w:trPr>
          <w:trHeight w:val="174"/>
        </w:trPr>
        <w:tc>
          <w:tcPr>
            <w:tcW w:w="20" w:type="dxa"/>
            <w:vAlign w:val="bottom"/>
          </w:tcPr>
          <w:p>
            <w:pPr>
              <w:spacing w:after="0"/>
              <w:rPr>
                <w:sz w:val="15"/>
                <w:szCs w:val="15"/>
                <w:color w:val="auto"/>
              </w:rPr>
            </w:pPr>
          </w:p>
        </w:tc>
        <w:tc>
          <w:tcPr>
            <w:tcW w:w="1000" w:type="dxa"/>
            <w:vAlign w:val="bottom"/>
            <w:tcBorders>
              <w:bottom w:val="single" w:sz="8" w:color="auto"/>
            </w:tcBorders>
            <w:gridSpan w:val="3"/>
          </w:tcPr>
          <w:p>
            <w:pPr>
              <w:spacing w:after="0" w:line="174" w:lineRule="exact"/>
              <w:rPr>
                <w:sz w:val="20"/>
                <w:szCs w:val="20"/>
                <w:color w:val="auto"/>
              </w:rPr>
            </w:pPr>
            <w:r>
              <w:rPr>
                <w:rFonts w:ascii="Times New Roman" w:cs="Times New Roman" w:eastAsia="Times New Roman" w:hAnsi="Times New Roman"/>
                <w:sz w:val="17"/>
                <w:szCs w:val="17"/>
                <w:color w:val="auto"/>
                <w:w w:val="92"/>
              </w:rPr>
              <w:t>SIGNATURES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w w:val="93"/>
              </w:rPr>
              <w:t>50</w:t>
            </w:r>
          </w:p>
        </w:tc>
        <w:tc>
          <w:tcPr>
            <w:tcW w:w="440" w:type="dxa"/>
            <w:vAlign w:val="bottom"/>
          </w:tcPr>
          <w:p>
            <w:pPr>
              <w:spacing w:after="0"/>
              <w:rPr>
                <w:sz w:val="15"/>
                <w:szCs w:val="15"/>
                <w:color w:val="auto"/>
              </w:rPr>
            </w:pPr>
          </w:p>
        </w:tc>
      </w:tr>
    </w:tbl>
    <w:p>
      <w:pPr>
        <w:sectPr>
          <w:pgSz w:w="11900" w:h="16838" w:orient="portrait"/>
          <w:cols w:equalWidth="0" w:num="1">
            <w:col w:w="11240"/>
          </w:cols>
          <w:pgMar w:left="320" w:top="86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OPAL FUELS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per share data)</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200" w:type="dxa"/>
            <w:vAlign w:val="bottom"/>
          </w:tcPr>
          <w:p>
            <w:pPr>
              <w:spacing w:after="0"/>
              <w:rPr>
                <w:sz w:val="15"/>
                <w:szCs w:val="15"/>
                <w:color w:val="auto"/>
              </w:rPr>
            </w:pPr>
          </w:p>
        </w:tc>
        <w:tc>
          <w:tcPr>
            <w:tcW w:w="1280" w:type="dxa"/>
            <w:vAlign w:val="bottom"/>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95"/>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105"/>
              <w:spacing w:after="0"/>
              <w:rPr>
                <w:sz w:val="20"/>
                <w:szCs w:val="20"/>
                <w:color w:val="auto"/>
              </w:rPr>
            </w:pPr>
            <w:r>
              <w:rPr>
                <w:rFonts w:ascii="Times New Roman" w:cs="Times New Roman" w:eastAsia="Times New Roman" w:hAnsi="Times New Roman"/>
                <w:sz w:val="15"/>
                <w:szCs w:val="15"/>
                <w:b w:val="1"/>
                <w:bCs w:val="1"/>
                <w:color w:val="auto"/>
                <w:w w:val="93"/>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00"/>
        </w:trPr>
        <w:tc>
          <w:tcPr>
            <w:tcW w:w="8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7"/>
              </w:rPr>
              <w:t>(Unaudited)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1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Cash and cash equivalents (includes $10,045 and $1,991 at September 30, 2022 and December 31, 2021, respectively, related to</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consolidated VIEs)</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25,286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39,314</w:t>
            </w:r>
          </w:p>
        </w:tc>
        <w:tc>
          <w:tcPr>
            <w:tcW w:w="0" w:type="dxa"/>
            <w:vAlign w:val="bottom"/>
          </w:tcPr>
          <w:p>
            <w:pPr>
              <w:spacing w:after="0"/>
              <w:rPr>
                <w:sz w:val="1"/>
                <w:szCs w:val="1"/>
                <w:color w:val="auto"/>
              </w:rPr>
            </w:pPr>
          </w:p>
        </w:tc>
      </w:tr>
      <w:tr>
        <w:trPr>
          <w:trHeight w:val="162"/>
        </w:trPr>
        <w:tc>
          <w:tcPr>
            <w:tcW w:w="81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Accounts receivable, net (includes $1,129 and $40 at September 30, 2022 and December 31, 2021, respectively, related to</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consolidated VIEs)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36,660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25,391</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1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Restricted cash - current (includes $7,623 and $— at September 30, 2022 and December 31, 2021, respectively, related to</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consolidated VIEs)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41,419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81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Short term investments ( includes $15,411 and $— at September 30, 2022 and December 31, 2021, respectively, related to</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consolidated VIEs)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146,936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Fuel tax credits receivable</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2,393</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Contract assets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14,676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8,484</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Parts inventory</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6,570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5,143</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Environmental credits held for sale</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RNG inventory</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81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Prepaid expense and other current assets (includes $268 and $113 at September 30, 2022 and December 31, 2021, respectively,</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related to consolidated VIEs)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5,482</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Derivative financial assets, current portion</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w:t>
            </w:r>
          </w:p>
        </w:tc>
        <w:tc>
          <w:tcPr>
            <w:tcW w:w="0" w:type="dxa"/>
            <w:vAlign w:val="bottom"/>
          </w:tcPr>
          <w:p>
            <w:pPr>
              <w:spacing w:after="0"/>
              <w:rPr>
                <w:sz w:val="1"/>
                <w:szCs w:val="1"/>
                <w:color w:val="auto"/>
              </w:rPr>
            </w:pPr>
          </w:p>
        </w:tc>
      </w:tr>
      <w:tr>
        <w:trPr>
          <w:trHeight w:val="186"/>
        </w:trPr>
        <w:tc>
          <w:tcPr>
            <w:tcW w:w="8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current assets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286,255</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86,975</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Capital spares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3,025</w:t>
            </w:r>
          </w:p>
        </w:tc>
        <w:tc>
          <w:tcPr>
            <w:tcW w:w="0" w:type="dxa"/>
            <w:vAlign w:val="bottom"/>
          </w:tcPr>
          <w:p>
            <w:pPr>
              <w:spacing w:after="0"/>
              <w:rPr>
                <w:sz w:val="1"/>
                <w:szCs w:val="1"/>
                <w:color w:val="auto"/>
              </w:rPr>
            </w:pPr>
          </w:p>
        </w:tc>
      </w:tr>
      <w:tr>
        <w:trPr>
          <w:trHeight w:val="162"/>
        </w:trPr>
        <w:tc>
          <w:tcPr>
            <w:tcW w:w="81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Property, plant, and equipment, net (includes $50,099 and $27,794 at September 30, 2022 and December 31, 2021, respectively,</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related to consolidated VIEs)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250,355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169,770</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Investment in other entities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48,708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47,150</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Note receivable</w:t>
            </w:r>
          </w:p>
        </w:tc>
        <w:tc>
          <w:tcPr>
            <w:tcW w:w="18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9,200</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 receivable - variable fee component</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1,656</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Deferred financing costs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2,370</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long-term assets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Intangible assets, net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2,861</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1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Restricted cash - non-current (includes $2,867 and $1,163 at September 30, 2022 and December 31, 2021, respectively, related to</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consolidated VIEs)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2,740</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Goodwill</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54,608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54,608</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assets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656,056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380,844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1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1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Accounts payable (includes $2,783 and $544 at September 30, 2022 and December 31, 2021, respectively, related to consolidated</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VIEs)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5,798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12,581</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 related party</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Fuel tax credits payable</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1,978</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payroll</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7,652</w:t>
            </w:r>
          </w:p>
        </w:tc>
        <w:tc>
          <w:tcPr>
            <w:tcW w:w="0" w:type="dxa"/>
            <w:vAlign w:val="bottom"/>
          </w:tcPr>
          <w:p>
            <w:pPr>
              <w:spacing w:after="0"/>
              <w:rPr>
                <w:sz w:val="1"/>
                <w:szCs w:val="1"/>
                <w:color w:val="auto"/>
              </w:rPr>
            </w:pPr>
          </w:p>
        </w:tc>
      </w:tr>
      <w:tr>
        <w:trPr>
          <w:trHeight w:val="162"/>
        </w:trPr>
        <w:tc>
          <w:tcPr>
            <w:tcW w:w="81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Accrued capital expenses (includes $1,493 and $1,722 at September 30, 2022 and December 31, 2021, respectively, related to</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consolidated VIEs)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9,284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5,517</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16,063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7,220</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Contract liabilities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9,785</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Senior Secured Credit Facility - term loan, current portion, net of debt issuance costs</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70,179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73,145</w:t>
            </w:r>
          </w:p>
        </w:tc>
        <w:tc>
          <w:tcPr>
            <w:tcW w:w="0" w:type="dxa"/>
            <w:vAlign w:val="bottom"/>
          </w:tcPr>
          <w:p>
            <w:pPr>
              <w:spacing w:after="0"/>
              <w:rPr>
                <w:sz w:val="1"/>
                <w:szCs w:val="1"/>
                <w:color w:val="auto"/>
              </w:rPr>
            </w:pPr>
          </w:p>
        </w:tc>
      </w:tr>
      <w:tr>
        <w:trPr>
          <w:trHeight w:val="31"/>
        </w:trPr>
        <w:tc>
          <w:tcPr>
            <w:tcW w:w="8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ectPr>
          <w:pgSz w:w="11900" w:h="16838" w:orient="portrait"/>
          <w:cols w:equalWidth="0" w:num="1">
            <w:col w:w="11240"/>
          </w:cols>
          <w:pgMar w:left="320" w:top="86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Senior Secured Credit Facility - working capital facility, current portion</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OPAL Term Loan, current portion</w:t>
            </w: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28,432</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13,425</w:t>
            </w:r>
          </w:p>
        </w:tc>
        <w:tc>
          <w:tcPr>
            <w:tcW w:w="0" w:type="dxa"/>
            <w:vAlign w:val="bottom"/>
          </w:tcPr>
          <w:p>
            <w:pPr>
              <w:spacing w:after="0"/>
              <w:rPr>
                <w:sz w:val="1"/>
                <w:szCs w:val="1"/>
                <w:color w:val="auto"/>
              </w:rPr>
            </w:pPr>
          </w:p>
        </w:tc>
      </w:tr>
      <w:tr>
        <w:trPr>
          <w:trHeight w:val="174"/>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Sunoma loan, current portion (includes $— and $756 at September 30, 2022 and December 31, 2021, respectively, related to</w:t>
            </w:r>
          </w:p>
        </w:tc>
        <w:tc>
          <w:tcPr>
            <w:tcW w:w="42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756</w:t>
            </w:r>
          </w:p>
        </w:tc>
        <w:tc>
          <w:tcPr>
            <w:tcW w:w="0" w:type="dxa"/>
            <w:vAlign w:val="bottom"/>
          </w:tcPr>
          <w:p>
            <w:pPr>
              <w:spacing w:after="0"/>
              <w:rPr>
                <w:sz w:val="1"/>
                <w:szCs w:val="1"/>
                <w:color w:val="auto"/>
              </w:rPr>
            </w:pPr>
          </w:p>
        </w:tc>
      </w:tr>
      <w:tr>
        <w:trPr>
          <w:trHeight w:val="202"/>
        </w:trPr>
        <w:tc>
          <w:tcPr>
            <w:tcW w:w="8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consolidated VIEs)</w:t>
            </w:r>
          </w:p>
        </w:tc>
        <w:tc>
          <w:tcPr>
            <w:tcW w:w="4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Convertible Note Payable</w:t>
            </w: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27,964</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Municipality loan</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Derivative financial liability, current portion</w:t>
            </w: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4,648</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992</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Asset retirement obligation, current portion</w:t>
            </w: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1,586</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w:t>
            </w:r>
          </w:p>
        </w:tc>
        <w:tc>
          <w:tcPr>
            <w:tcW w:w="0" w:type="dxa"/>
            <w:vAlign w:val="bottom"/>
          </w:tcPr>
          <w:p>
            <w:pPr>
              <w:spacing w:after="0"/>
              <w:rPr>
                <w:sz w:val="1"/>
                <w:szCs w:val="1"/>
                <w:color w:val="auto"/>
              </w:rPr>
            </w:pPr>
          </w:p>
        </w:tc>
      </w:tr>
      <w:tr>
        <w:trPr>
          <w:trHeight w:val="186"/>
        </w:trPr>
        <w:tc>
          <w:tcPr>
            <w:tcW w:w="8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4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187,580</w:t>
            </w:r>
          </w:p>
        </w:tc>
        <w:tc>
          <w:tcPr>
            <w:tcW w:w="1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142,116</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Asset retirement obligation, non-current portion</w:t>
            </w: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4,382</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4,907</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OPAL Term Loan</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60,816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59,090</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Convertible Note Payable</w:t>
            </w:r>
          </w:p>
        </w:tc>
        <w:tc>
          <w:tcPr>
            <w:tcW w:w="4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58,710</w:t>
            </w:r>
          </w:p>
        </w:tc>
        <w:tc>
          <w:tcPr>
            <w:tcW w:w="0" w:type="dxa"/>
            <w:vAlign w:val="bottom"/>
          </w:tcPr>
          <w:p>
            <w:pPr>
              <w:spacing w:after="0"/>
              <w:rPr>
                <w:sz w:val="1"/>
                <w:szCs w:val="1"/>
                <w:color w:val="auto"/>
              </w:rPr>
            </w:pPr>
          </w:p>
        </w:tc>
      </w:tr>
      <w:tr>
        <w:trPr>
          <w:trHeight w:val="174"/>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Sunoma loan, net of debt issuance costs (includes $22,080 and $16,199 at September 30, 2022 and December 31, 2021, respectively,</w:t>
            </w:r>
          </w:p>
        </w:tc>
        <w:tc>
          <w:tcPr>
            <w:tcW w:w="4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22,080</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16,199</w:t>
            </w:r>
          </w:p>
        </w:tc>
        <w:tc>
          <w:tcPr>
            <w:tcW w:w="0" w:type="dxa"/>
            <w:vAlign w:val="bottom"/>
          </w:tcPr>
          <w:p>
            <w:pPr>
              <w:spacing w:after="0"/>
              <w:rPr>
                <w:sz w:val="1"/>
                <w:szCs w:val="1"/>
                <w:color w:val="auto"/>
              </w:rPr>
            </w:pPr>
          </w:p>
        </w:tc>
      </w:tr>
      <w:tr>
        <w:trPr>
          <w:trHeight w:val="202"/>
        </w:trPr>
        <w:tc>
          <w:tcPr>
            <w:tcW w:w="8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related to consolidated VIEs)</w:t>
            </w:r>
          </w:p>
        </w:tc>
        <w:tc>
          <w:tcPr>
            <w:tcW w:w="4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Municipality loan</w:t>
            </w:r>
          </w:p>
        </w:tc>
        <w:tc>
          <w:tcPr>
            <w:tcW w:w="4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Derivative warrant liabilities</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22,410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Earn out liabilities</w:t>
            </w: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39,500</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4,781</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liabilities</w:t>
            </w: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337,365</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285,887</w:t>
            </w:r>
          </w:p>
        </w:tc>
        <w:tc>
          <w:tcPr>
            <w:tcW w:w="0" w:type="dxa"/>
            <w:vAlign w:val="bottom"/>
          </w:tcPr>
          <w:p>
            <w:pPr>
              <w:spacing w:after="0"/>
              <w:rPr>
                <w:sz w:val="1"/>
                <w:szCs w:val="1"/>
                <w:color w:val="auto"/>
              </w:rPr>
            </w:pPr>
          </w:p>
        </w:tc>
      </w:tr>
      <w:tr>
        <w:trPr>
          <w:trHeight w:val="173"/>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4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Redeemable preferred non-controlling interests</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135,303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30,210</w:t>
            </w:r>
          </w:p>
        </w:tc>
        <w:tc>
          <w:tcPr>
            <w:tcW w:w="0" w:type="dxa"/>
            <w:vAlign w:val="bottom"/>
          </w:tcPr>
          <w:p>
            <w:pPr>
              <w:spacing w:after="0"/>
              <w:rPr>
                <w:sz w:val="1"/>
                <w:szCs w:val="1"/>
                <w:color w:val="auto"/>
              </w:rPr>
            </w:pPr>
          </w:p>
        </w:tc>
      </w:tr>
      <w:tr>
        <w:trPr>
          <w:trHeight w:val="221"/>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Redeemable non-controlling interests</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1,222,657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63,545</w:t>
            </w:r>
          </w:p>
        </w:tc>
        <w:tc>
          <w:tcPr>
            <w:tcW w:w="0" w:type="dxa"/>
            <w:vAlign w:val="bottom"/>
          </w:tcPr>
          <w:p>
            <w:pPr>
              <w:spacing w:after="0"/>
              <w:rPr>
                <w:sz w:val="1"/>
                <w:szCs w:val="1"/>
                <w:color w:val="auto"/>
              </w:rPr>
            </w:pPr>
          </w:p>
        </w:tc>
      </w:tr>
      <w:tr>
        <w:trPr>
          <w:trHeight w:val="207"/>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Stockholders' (deficit) equity</w:t>
            </w: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Class A common stock, $0.0001 par value, 337,852,251 shares authorized as of September 30, 2022; 25,671,390 and 0 shares, issued</w:t>
            </w:r>
          </w:p>
        </w:tc>
        <w:tc>
          <w:tcPr>
            <w:tcW w:w="4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8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and outstanding at September 30, 2022 and December 31, 2021, respectively</w:t>
            </w:r>
          </w:p>
        </w:tc>
        <w:tc>
          <w:tcPr>
            <w:tcW w:w="4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Class B common stock, $0.0001 par value, 157,498,947 shares authorized as of September 30, 2022; None issued and outstanding as</w:t>
            </w:r>
          </w:p>
        </w:tc>
        <w:tc>
          <w:tcPr>
            <w:tcW w:w="4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of September 30, 2022 and December 31, 2021</w:t>
            </w:r>
          </w:p>
        </w:tc>
        <w:tc>
          <w:tcPr>
            <w:tcW w:w="42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Class C common stock, $0.0001 par value, 154,309,729 shares authorized as of September 30, 2022; None issued and outstanding as</w:t>
            </w:r>
          </w:p>
        </w:tc>
        <w:tc>
          <w:tcPr>
            <w:tcW w:w="42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8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of September 30, 2022 and December 31, 2021</w:t>
            </w:r>
          </w:p>
        </w:tc>
        <w:tc>
          <w:tcPr>
            <w:tcW w:w="4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Class D common stock, $0.0001 par value, 154,309,729 shares authorized as of September 30, 2022; 144,399,037 issued and</w:t>
            </w:r>
          </w:p>
        </w:tc>
        <w:tc>
          <w:tcPr>
            <w:tcW w:w="4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outstanding at September 30, 2022 and December 31, 2021</w:t>
            </w:r>
          </w:p>
        </w:tc>
        <w:tc>
          <w:tcPr>
            <w:tcW w:w="4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4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Accumulated deficit</w:t>
            </w: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(1,066,137)</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Stockholders' (deficit) equity attributable to the Company</w:t>
            </w: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(1,065,943)</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186"/>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Non-redeemable non-controlling interests</w:t>
            </w:r>
          </w:p>
        </w:tc>
        <w:tc>
          <w:tcPr>
            <w:tcW w:w="4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26,674</w:t>
            </w:r>
          </w:p>
        </w:tc>
        <w:tc>
          <w:tcPr>
            <w:tcW w:w="1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1,188</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Stockholders' (deficit) equity</w:t>
            </w: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(1,039,269)</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1,202</w:t>
            </w:r>
          </w:p>
        </w:tc>
        <w:tc>
          <w:tcPr>
            <w:tcW w:w="0" w:type="dxa"/>
            <w:vAlign w:val="bottom"/>
          </w:tcPr>
          <w:p>
            <w:pPr>
              <w:spacing w:after="0"/>
              <w:rPr>
                <w:sz w:val="1"/>
                <w:szCs w:val="1"/>
                <w:color w:val="auto"/>
              </w:rPr>
            </w:pPr>
          </w:p>
        </w:tc>
      </w:tr>
      <w:tr>
        <w:trPr>
          <w:trHeight w:val="213"/>
        </w:trPr>
        <w:tc>
          <w:tcPr>
            <w:tcW w:w="8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liabilities, Redeemable preferred, Redeemable non-controlling interests and Stockholders' (deficit) equity</w:t>
            </w: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656,056</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380,844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ectPr>
          <w:pgSz w:w="11900" w:h="16838" w:orient="portrait"/>
          <w:cols w:equalWidth="0" w:num="1">
            <w:col w:w="11240"/>
          </w:cols>
          <w:pgMar w:left="320" w:top="107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per unit data)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8"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center"/>
              <w:ind w:right="225"/>
              <w:spacing w:after="0"/>
              <w:rPr>
                <w:sz w:val="20"/>
                <w:szCs w:val="20"/>
                <w:color w:val="auto"/>
              </w:rPr>
            </w:pPr>
            <w:r>
              <w:rPr>
                <w:rFonts w:ascii="Times New Roman" w:cs="Times New Roman" w:eastAsia="Times New Roman" w:hAnsi="Times New Roman"/>
                <w:sz w:val="15"/>
                <w:szCs w:val="15"/>
                <w:b w:val="1"/>
                <w:bCs w:val="1"/>
                <w:color w:val="auto"/>
                <w:w w:val="99"/>
              </w:rPr>
              <w:t>Nine Months Ended</w:t>
            </w:r>
          </w:p>
        </w:tc>
      </w:tr>
      <w:tr>
        <w:trPr>
          <w:trHeight w:val="212"/>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ind w:left="10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00" w:type="dxa"/>
            <w:vAlign w:val="bottom"/>
          </w:tcPr>
          <w:p>
            <w:pPr>
              <w:spacing w:after="0"/>
              <w:rPr>
                <w:sz w:val="18"/>
                <w:szCs w:val="18"/>
                <w:color w:val="auto"/>
              </w:rPr>
            </w:pPr>
          </w:p>
        </w:tc>
        <w:tc>
          <w:tcPr>
            <w:tcW w:w="2580" w:type="dxa"/>
            <w:vAlign w:val="bottom"/>
            <w:gridSpan w:val="4"/>
          </w:tcPr>
          <w:p>
            <w:pPr>
              <w:jc w:val="center"/>
              <w:ind w:right="205"/>
              <w:spacing w:after="0"/>
              <w:rPr>
                <w:sz w:val="20"/>
                <w:szCs w:val="20"/>
                <w:color w:val="auto"/>
              </w:rPr>
            </w:pPr>
            <w:r>
              <w:rPr>
                <w:rFonts w:ascii="Times New Roman" w:cs="Times New Roman" w:eastAsia="Times New Roman" w:hAnsi="Times New Roman"/>
                <w:sz w:val="15"/>
                <w:szCs w:val="15"/>
                <w:b w:val="1"/>
                <w:bCs w:val="1"/>
                <w:color w:val="auto"/>
                <w:w w:val="98"/>
              </w:rPr>
              <w:t>September 30,</w:t>
            </w:r>
          </w:p>
        </w:tc>
      </w:tr>
      <w:tr>
        <w:trPr>
          <w:trHeight w:val="192"/>
        </w:trPr>
        <w:tc>
          <w:tcPr>
            <w:tcW w:w="5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48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45"/>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7"/>
        </w:trPr>
        <w:tc>
          <w:tcPr>
            <w:tcW w:w="5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1"/>
        </w:trPr>
        <w:tc>
          <w:tcPr>
            <w:tcW w:w="5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(Restated)</w:t>
            </w:r>
          </w:p>
        </w:tc>
      </w:tr>
      <w:tr>
        <w:trPr>
          <w:trHeight w:val="197"/>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RNG fuel</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32,381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17,892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83,196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center"/>
              <w:ind w:right="85"/>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37,066</w:t>
            </w:r>
          </w:p>
        </w:tc>
      </w:tr>
      <w:tr>
        <w:trPr>
          <w:trHeight w:val="193"/>
        </w:trPr>
        <w:tc>
          <w:tcPr>
            <w:tcW w:w="5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Fuel station services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18,387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35,560</w:t>
            </w:r>
          </w:p>
        </w:tc>
      </w:tr>
      <w:tr>
        <w:trPr>
          <w:trHeight w:val="31"/>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4"/>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Renewable Power</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10,942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10,905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30,094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32,342</w:t>
            </w:r>
          </w:p>
        </w:tc>
      </w:tr>
      <w:tr>
        <w:trPr>
          <w:trHeight w:val="186"/>
        </w:trPr>
        <w:tc>
          <w:tcPr>
            <w:tcW w:w="54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revenues</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66,550</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47,184</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168,814</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104,968</w:t>
            </w:r>
          </w:p>
        </w:tc>
      </w:tr>
      <w:tr>
        <w:trPr>
          <w:trHeight w:val="31"/>
        </w:trPr>
        <w:tc>
          <w:tcPr>
            <w:tcW w:w="5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1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93"/>
        </w:trPr>
        <w:tc>
          <w:tcPr>
            <w:tcW w:w="5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Cost of sales - RNG fuel</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11,973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51,843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23,053</w:t>
            </w:r>
          </w:p>
        </w:tc>
      </w:tr>
      <w:tr>
        <w:trPr>
          <w:trHeight w:val="31"/>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Cost of sales - Fuel station services</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20,886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15,458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49,643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29,775</w:t>
            </w:r>
          </w:p>
        </w:tc>
      </w:tr>
      <w:tr>
        <w:trPr>
          <w:trHeight w:val="193"/>
        </w:trPr>
        <w:tc>
          <w:tcPr>
            <w:tcW w:w="5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Cost of sales - Renewable Power</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23,952</w:t>
            </w:r>
          </w:p>
        </w:tc>
      </w:tr>
      <w:tr>
        <w:trPr>
          <w:trHeight w:val="31"/>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15,751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7,922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34,561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19,107</w:t>
            </w:r>
          </w:p>
        </w:tc>
      </w:tr>
      <w:tr>
        <w:trPr>
          <w:trHeight w:val="193"/>
        </w:trPr>
        <w:tc>
          <w:tcPr>
            <w:tcW w:w="5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amortization, and accretion</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9,816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6,672</w:t>
            </w:r>
          </w:p>
        </w:tc>
      </w:tr>
      <w:tr>
        <w:trPr>
          <w:trHeight w:val="31"/>
        </w:trPr>
        <w:tc>
          <w:tcPr>
            <w:tcW w:w="5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5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expenses</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68,499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44,030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169,456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102,559</w:t>
            </w:r>
          </w:p>
        </w:tc>
      </w:tr>
      <w:tr>
        <w:trPr>
          <w:trHeight w:val="186"/>
        </w:trPr>
        <w:tc>
          <w:tcPr>
            <w:tcW w:w="54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Operating (loss) income</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(1,949)</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3,154</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(642)</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2,409</w:t>
            </w:r>
          </w:p>
        </w:tc>
      </w:tr>
      <w:tr>
        <w:trPr>
          <w:trHeight w:val="31"/>
        </w:trPr>
        <w:tc>
          <w:tcPr>
            <w:tcW w:w="5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(expense) income:</w:t>
            </w:r>
          </w:p>
        </w:tc>
        <w:tc>
          <w:tcPr>
            <w:tcW w:w="1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93"/>
        </w:trPr>
        <w:tc>
          <w:tcPr>
            <w:tcW w:w="5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and financing expense, net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(7,184)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(5,659)</w:t>
            </w:r>
          </w:p>
        </w:tc>
      </w:tr>
      <w:tr>
        <w:trPr>
          <w:trHeight w:val="31"/>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Change in fair value of derivative instruments, net</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93"/>
        </w:trPr>
        <w:tc>
          <w:tcPr>
            <w:tcW w:w="5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income</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6,308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Gain on acquisition of equity method investment</w:t>
            </w: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19,818</w:t>
            </w:r>
          </w:p>
        </w:tc>
      </w:tr>
      <w:tr>
        <w:trPr>
          <w:trHeight w:val="193"/>
        </w:trPr>
        <w:tc>
          <w:tcPr>
            <w:tcW w:w="54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Income from equity method investments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2,392</w:t>
            </w:r>
          </w:p>
        </w:tc>
      </w:tr>
      <w:tr>
        <w:trPr>
          <w:trHeight w:val="31"/>
        </w:trPr>
        <w:tc>
          <w:tcPr>
            <w:tcW w:w="5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5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Income before provision for income taxes</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773</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18,950</w:t>
            </w:r>
          </w:p>
        </w:tc>
      </w:tr>
      <w:tr>
        <w:trPr>
          <w:trHeight w:val="186"/>
        </w:trPr>
        <w:tc>
          <w:tcPr>
            <w:tcW w:w="5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5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773</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18,950</w:t>
            </w:r>
          </w:p>
        </w:tc>
      </w:tr>
      <w:tr>
        <w:trPr>
          <w:trHeight w:val="186"/>
        </w:trPr>
        <w:tc>
          <w:tcPr>
            <w:tcW w:w="5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(loss) attributable to redeemable non-controlling interests</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4,161</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(2,584)</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5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Net loss attributable to non-redeemable non-controlling interests</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r>
      <w:tr>
        <w:trPr>
          <w:trHeight w:val="224"/>
        </w:trPr>
        <w:tc>
          <w:tcPr>
            <w:tcW w:w="54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 xml:space="preserve">Paid-in-kind preferred dividends </w:t>
            </w:r>
            <w:r>
              <w:rPr>
                <w:rFonts w:ascii="Times New Roman" w:cs="Times New Roman" w:eastAsia="Times New Roman" w:hAnsi="Times New Roman"/>
                <w:sz w:val="19"/>
                <w:szCs w:val="19"/>
                <w:color w:val="auto"/>
                <w:vertAlign w:val="superscript"/>
              </w:rPr>
              <w:t>(1)</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4"/>
        </w:trPr>
        <w:tc>
          <w:tcPr>
            <w:tcW w:w="5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Net income attributable to OPAL Fuels</w:t>
            </w: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989</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jc w:val="center"/>
              <w:ind w:right="85"/>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19,364</w:t>
            </w:r>
          </w:p>
        </w:tc>
      </w:tr>
      <w:tr>
        <w:trPr>
          <w:trHeight w:val="186"/>
        </w:trPr>
        <w:tc>
          <w:tcPr>
            <w:tcW w:w="54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Net loss attributable to Class A common stockholders</w:t>
            </w:r>
          </w:p>
        </w:tc>
        <w:tc>
          <w:tcPr>
            <w:tcW w:w="18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(1,125)</w:t>
            </w: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300" w:type="dxa"/>
            <w:vAlign w:val="bottom"/>
            <w:tcBorders>
              <w:top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(1,125)</w:t>
            </w:r>
          </w:p>
        </w:tc>
        <w:tc>
          <w:tcPr>
            <w:tcW w:w="120" w:type="dxa"/>
            <w:vAlign w:val="bottom"/>
          </w:tcPr>
          <w:p>
            <w:pPr>
              <w:spacing w:after="0"/>
              <w:rPr>
                <w:sz w:val="16"/>
                <w:szCs w:val="16"/>
                <w:color w:val="auto"/>
              </w:rPr>
            </w:pPr>
          </w:p>
        </w:tc>
        <w:tc>
          <w:tcPr>
            <w:tcW w:w="260" w:type="dxa"/>
            <w:vAlign w:val="bottom"/>
            <w:tcBorders>
              <w:top w:val="single" w:sz="8" w:color="auto"/>
            </w:tcBorders>
          </w:tcPr>
          <w:p>
            <w:pPr>
              <w:jc w:val="center"/>
              <w:ind w:right="85"/>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5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4"/>
        </w:trPr>
        <w:tc>
          <w:tcPr>
            <w:tcW w:w="5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93"/>
        </w:trPr>
        <w:tc>
          <w:tcPr>
            <w:tcW w:w="54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Weighted average shares outstanding of Class A common stock :</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1"/>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5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Basic</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05"/>
              <w:spacing w:after="0"/>
              <w:rPr>
                <w:sz w:val="20"/>
                <w:szCs w:val="20"/>
                <w:color w:val="auto"/>
              </w:rPr>
            </w:pPr>
            <w:r>
              <w:rPr>
                <w:rFonts w:ascii="Times New Roman" w:cs="Times New Roman" w:eastAsia="Times New Roman" w:hAnsi="Times New Roman"/>
                <w:sz w:val="15"/>
                <w:szCs w:val="15"/>
                <w:color w:val="auto"/>
              </w:rPr>
              <w:t>25,671,390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25,671,390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3"/>
        </w:trPr>
        <w:tc>
          <w:tcPr>
            <w:tcW w:w="54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Diluted</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25,823,772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25,823,772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5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Per share amounts:</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24"/>
        </w:trPr>
        <w:tc>
          <w:tcPr>
            <w:tcW w:w="54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 xml:space="preserve">Basic </w:t>
            </w:r>
            <w:r>
              <w:rPr>
                <w:rFonts w:ascii="Times New Roman" w:cs="Times New Roman" w:eastAsia="Times New Roman" w:hAnsi="Times New Roman"/>
                <w:sz w:val="19"/>
                <w:szCs w:val="19"/>
                <w:color w:val="auto"/>
                <w:vertAlign w:val="superscript"/>
              </w:rPr>
              <w:t>(2)</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1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120" w:type="dxa"/>
            <w:vAlign w:val="bottom"/>
          </w:tcPr>
          <w:p>
            <w:pPr>
              <w:spacing w:after="0"/>
              <w:rPr>
                <w:sz w:val="19"/>
                <w:szCs w:val="19"/>
                <w:color w:val="auto"/>
              </w:rPr>
            </w:pPr>
          </w:p>
        </w:tc>
        <w:tc>
          <w:tcPr>
            <w:tcW w:w="260" w:type="dxa"/>
            <w:vAlign w:val="bottom"/>
          </w:tcPr>
          <w:p>
            <w:pPr>
              <w:jc w:val="center"/>
              <w:ind w:right="85"/>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4"/>
        </w:trPr>
        <w:tc>
          <w:tcPr>
            <w:tcW w:w="5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 xml:space="preserve">Diluted </w:t>
            </w:r>
            <w:r>
              <w:rPr>
                <w:rFonts w:ascii="Times New Roman" w:cs="Times New Roman" w:eastAsia="Times New Roman" w:hAnsi="Times New Roman"/>
                <w:sz w:val="19"/>
                <w:szCs w:val="19"/>
                <w:color w:val="auto"/>
                <w:vertAlign w:val="superscript"/>
              </w:rPr>
              <w:t>(2)</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center"/>
              <w:ind w:right="85"/>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36" w:lineRule="exact"/>
        <w:rPr>
          <w:sz w:val="20"/>
          <w:szCs w:val="20"/>
          <w:color w:val="auto"/>
        </w:rPr>
      </w:pPr>
    </w:p>
    <w:p>
      <w:pPr>
        <w:ind w:left="1" w:right="320" w:hanging="1"/>
        <w:spacing w:after="0" w:line="219" w:lineRule="auto"/>
        <w:tabs>
          <w:tab w:leader="none" w:pos="18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 xml:space="preserve">Paid-in-kind preferred dividend is allocated between redeemable non-controlling interests and Class A common stockholders basis their weighted average percentage of ownership. Please see Note.14 </w:t>
      </w:r>
      <w:r>
        <w:rPr>
          <w:rFonts w:ascii="Times New Roman" w:cs="Times New Roman" w:eastAsia="Times New Roman" w:hAnsi="Times New Roman"/>
          <w:sz w:val="13"/>
          <w:szCs w:val="13"/>
          <w:i w:val="1"/>
          <w:iCs w:val="1"/>
          <w:color w:val="auto"/>
        </w:rPr>
        <w:t>Redeemable non-controlling interests, redeemable preferred non-controlling interests and stockholders' equity</w:t>
      </w:r>
      <w:r>
        <w:rPr>
          <w:rFonts w:ascii="Times New Roman" w:cs="Times New Roman" w:eastAsia="Times New Roman" w:hAnsi="Times New Roman"/>
          <w:sz w:val="13"/>
          <w:szCs w:val="13"/>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ectPr>
          <w:pgSz w:w="11900" w:h="16838" w:orient="portrait"/>
          <w:cols w:equalWidth="0" w:num="1">
            <w:col w:w="11241"/>
          </w:cols>
          <w:pgMar w:left="319" w:top="865" w:right="339" w:bottom="1440" w:gutter="0" w:footer="0" w:header="0"/>
        </w:sectPr>
      </w:pPr>
    </w:p>
    <w:bookmarkStart w:id="8" w:name="page9"/>
    <w:bookmarkEnd w:id="8"/>
    <w:p>
      <w:pPr>
        <w:ind w:left="1" w:hanging="1"/>
        <w:spacing w:after="0" w:line="238" w:lineRule="auto"/>
        <w:tabs>
          <w:tab w:leader="none" w:pos="151"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Loss per share information has not been presented for the periods prior to the Business Combination (as defined in Note 3, </w:t>
      </w:r>
      <w:r>
        <w:rPr>
          <w:rFonts w:ascii="Times New Roman" w:cs="Times New Roman" w:eastAsia="Times New Roman" w:hAnsi="Times New Roman"/>
          <w:sz w:val="15"/>
          <w:szCs w:val="15"/>
          <w:i w:val="1"/>
          <w:iCs w:val="1"/>
          <w:color w:val="auto"/>
        </w:rPr>
        <w:t>Business Combination),</w:t>
      </w:r>
      <w:r>
        <w:rPr>
          <w:rFonts w:ascii="Times New Roman" w:cs="Times New Roman" w:eastAsia="Times New Roman" w:hAnsi="Times New Roman"/>
          <w:sz w:val="15"/>
          <w:szCs w:val="15"/>
          <w:color w:val="auto"/>
        </w:rPr>
        <w:t xml:space="preserve"> as it would not be meaningful to the users of these unaudited condensed consolidated financial statements, Refer to Note 3, Business Combination</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OPAL FUELS INC.</w:t>
      </w:r>
    </w:p>
    <w:p>
      <w:pPr>
        <w:spacing w:after="0" w:line="2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(In thousands of U.S. dollars)</w:t>
      </w:r>
    </w:p>
    <w:p>
      <w:pPr>
        <w:spacing w:after="0" w:line="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8" w:lineRule="exact"/>
        <w:rPr>
          <w:sz w:val="20"/>
          <w:szCs w:val="20"/>
          <w:color w:val="auto"/>
        </w:rPr>
      </w:pPr>
    </w:p>
    <w:tbl>
      <w:tblPr>
        <w:tblLayout w:type="fixed"/>
        <w:tblInd w:w="481" w:type="dxa"/>
        <w:tblCellMar>
          <w:top w:w="0" w:type="dxa"/>
          <w:left w:w="0" w:type="dxa"/>
          <w:bottom w:w="0" w:type="dxa"/>
          <w:right w:w="0" w:type="dxa"/>
        </w:tblCellMar>
      </w:tblPr>
      <w:tr>
        <w:trPr>
          <w:trHeight w:val="211"/>
        </w:trPr>
        <w:tc>
          <w:tcPr>
            <w:tcW w:w="4400" w:type="dxa"/>
            <w:vAlign w:val="bottom"/>
            <w:shd w:val="clear" w:color="auto" w:fill="CCEEFF"/>
          </w:tcPr>
          <w:p>
            <w:pPr>
              <w:spacing w:after="0"/>
              <w:rPr>
                <w:sz w:val="18"/>
                <w:szCs w:val="18"/>
                <w:color w:val="auto"/>
              </w:rPr>
            </w:pPr>
          </w:p>
        </w:tc>
        <w:tc>
          <w:tcPr>
            <w:tcW w:w="3100" w:type="dxa"/>
            <w:vAlign w:val="bottom"/>
            <w:gridSpan w:val="6"/>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20" w:type="dxa"/>
            <w:vAlign w:val="bottom"/>
            <w:shd w:val="clear" w:color="auto" w:fill="CCEEFF"/>
          </w:tcPr>
          <w:p>
            <w:pPr>
              <w:spacing w:after="0"/>
              <w:rPr>
                <w:sz w:val="18"/>
                <w:szCs w:val="18"/>
                <w:color w:val="auto"/>
              </w:rPr>
            </w:pPr>
          </w:p>
        </w:tc>
        <w:tc>
          <w:tcPr>
            <w:tcW w:w="2680" w:type="dxa"/>
            <w:vAlign w:val="bottom"/>
            <w:gridSpan w:val="4"/>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98"/>
              </w:rPr>
              <w:t>Nine Months Ended September 30,</w:t>
            </w:r>
          </w:p>
        </w:tc>
        <w:tc>
          <w:tcPr>
            <w:tcW w:w="0" w:type="dxa"/>
            <w:vAlign w:val="bottom"/>
          </w:tcPr>
          <w:p>
            <w:pPr>
              <w:spacing w:after="0"/>
              <w:rPr>
                <w:sz w:val="1"/>
                <w:szCs w:val="1"/>
                <w:color w:val="auto"/>
              </w:rPr>
            </w:pPr>
          </w:p>
        </w:tc>
      </w:tr>
      <w:tr>
        <w:trPr>
          <w:trHeight w:val="204"/>
        </w:trPr>
        <w:tc>
          <w:tcPr>
            <w:tcW w:w="44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04"/>
        </w:trPr>
        <w:tc>
          <w:tcPr>
            <w:tcW w:w="4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rPr>
              <w:t>(Restated)</w:t>
            </w:r>
          </w:p>
        </w:tc>
        <w:tc>
          <w:tcPr>
            <w:tcW w:w="0" w:type="dxa"/>
            <w:vAlign w:val="bottom"/>
          </w:tcPr>
          <w:p>
            <w:pPr>
              <w:spacing w:after="0"/>
              <w:rPr>
                <w:sz w:val="1"/>
                <w:szCs w:val="1"/>
                <w:color w:val="auto"/>
              </w:rPr>
            </w:pPr>
          </w:p>
        </w:tc>
      </w:tr>
      <w:tr>
        <w:trPr>
          <w:trHeight w:val="211"/>
        </w:trPr>
        <w:tc>
          <w:tcPr>
            <w:tcW w:w="4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5,369</w:t>
            </w:r>
          </w:p>
        </w:tc>
        <w:tc>
          <w:tcPr>
            <w:tcW w:w="100" w:type="dxa"/>
            <w:vAlign w:val="bottom"/>
          </w:tcPr>
          <w:p>
            <w:pPr>
              <w:spacing w:after="0"/>
              <w:rPr>
                <w:sz w:val="18"/>
                <w:szCs w:val="18"/>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18,950</w:t>
            </w:r>
          </w:p>
        </w:tc>
        <w:tc>
          <w:tcPr>
            <w:tcW w:w="0" w:type="dxa"/>
            <w:vAlign w:val="bottom"/>
          </w:tcPr>
          <w:p>
            <w:pPr>
              <w:spacing w:after="0"/>
              <w:rPr>
                <w:sz w:val="1"/>
                <w:szCs w:val="1"/>
                <w:color w:val="auto"/>
              </w:rPr>
            </w:pPr>
          </w:p>
        </w:tc>
      </w:tr>
      <w:tr>
        <w:trPr>
          <w:trHeight w:val="211"/>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unrealized gain on cash flow hedges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44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comprehensive income</w:t>
            </w: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6,558</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18,950</w:t>
            </w:r>
          </w:p>
        </w:tc>
        <w:tc>
          <w:tcPr>
            <w:tcW w:w="0" w:type="dxa"/>
            <w:vAlign w:val="bottom"/>
          </w:tcPr>
          <w:p>
            <w:pPr>
              <w:spacing w:after="0"/>
              <w:rPr>
                <w:sz w:val="1"/>
                <w:szCs w:val="1"/>
                <w:color w:val="auto"/>
              </w:rPr>
            </w:pPr>
          </w:p>
        </w:tc>
      </w:tr>
      <w:tr>
        <w:trPr>
          <w:trHeight w:val="175"/>
        </w:trPr>
        <w:tc>
          <w:tcPr>
            <w:tcW w:w="4400" w:type="dxa"/>
            <w:vAlign w:val="bottom"/>
          </w:tcPr>
          <w:p>
            <w:pPr>
              <w:ind w:left="120"/>
              <w:spacing w:after="0" w:line="175" w:lineRule="exact"/>
              <w:rPr>
                <w:sz w:val="20"/>
                <w:szCs w:val="20"/>
                <w:color w:val="auto"/>
              </w:rPr>
            </w:pPr>
            <w:r>
              <w:rPr>
                <w:rFonts w:ascii="Times New Roman" w:cs="Times New Roman" w:eastAsia="Times New Roman" w:hAnsi="Times New Roman"/>
                <w:sz w:val="17"/>
                <w:szCs w:val="17"/>
                <w:color w:val="auto"/>
              </w:rPr>
              <w:t>Net income attributable to Redeemable non-controlling</w:t>
            </w: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interests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2"/>
        </w:trPr>
        <w:tc>
          <w:tcPr>
            <w:tcW w:w="44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Other comprehensive income attributable to Redeemable non-</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controlling interests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2"/>
        </w:trPr>
        <w:tc>
          <w:tcPr>
            <w:tcW w:w="4400" w:type="dxa"/>
            <w:vAlign w:val="bottom"/>
          </w:tcPr>
          <w:p>
            <w:pPr>
              <w:ind w:left="100"/>
              <w:spacing w:after="0" w:line="162" w:lineRule="exact"/>
              <w:rPr>
                <w:sz w:val="20"/>
                <w:szCs w:val="20"/>
                <w:color w:val="auto"/>
              </w:rPr>
            </w:pPr>
            <w:r>
              <w:rPr>
                <w:rFonts w:ascii="Times New Roman" w:cs="Times New Roman" w:eastAsia="Times New Roman" w:hAnsi="Times New Roman"/>
                <w:sz w:val="17"/>
                <w:szCs w:val="17"/>
                <w:color w:val="auto"/>
              </w:rPr>
              <w:t>Comprehensive loss attributable to non-redeemable non-</w:t>
            </w: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controlling interests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211"/>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Paid-in-kind preferred dividends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Comprehensive income attributable to OPAL Fuels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19,364</w:t>
            </w:r>
          </w:p>
        </w:tc>
        <w:tc>
          <w:tcPr>
            <w:tcW w:w="0" w:type="dxa"/>
            <w:vAlign w:val="bottom"/>
          </w:tcPr>
          <w:p>
            <w:pPr>
              <w:spacing w:after="0"/>
              <w:rPr>
                <w:sz w:val="1"/>
                <w:szCs w:val="1"/>
                <w:color w:val="auto"/>
              </w:rPr>
            </w:pPr>
          </w:p>
        </w:tc>
      </w:tr>
      <w:tr>
        <w:trPr>
          <w:trHeight w:val="142"/>
        </w:trPr>
        <w:tc>
          <w:tcPr>
            <w:tcW w:w="44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Comprehensive loss attributable to Class A common</w:t>
            </w:r>
          </w:p>
        </w:tc>
        <w:tc>
          <w:tcPr>
            <w:tcW w:w="940" w:type="dxa"/>
            <w:vAlign w:val="bottom"/>
            <w:vMerge w:val="restart"/>
            <w:shd w:val="clear" w:color="auto" w:fill="CCEEFF"/>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w:t>
            </w:r>
          </w:p>
        </w:tc>
        <w:tc>
          <w:tcPr>
            <w:tcW w:w="94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F-4</w:t>
      </w:r>
    </w:p>
    <w:p>
      <w:pPr>
        <w:sectPr>
          <w:pgSz w:w="11900" w:h="16838" w:orient="portrait"/>
          <w:cols w:equalWidth="0" w:num="1">
            <w:col w:w="11121"/>
          </w:cols>
          <w:pgMar w:left="319" w:top="1033" w:right="4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5"/>
          <w:szCs w:val="15"/>
          <w:b w:val="1"/>
          <w:bCs w:val="1"/>
          <w:color w:val="auto"/>
        </w:rPr>
        <w:t>OPAL FUELS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REDEEMABLE NON-CONTROLLING INTEREST, REDEEMABLE PREFERRED NON-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CONTROLLING INTEREST AND STOCKHOLDERS' (DEFICIT)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per unit data)</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ectPr>
          <w:pgSz w:w="11900" w:h="16838" w:orient="portrait"/>
          <w:cols w:equalWidth="0" w:num="1">
            <w:col w:w="10360"/>
          </w:cols>
          <w:pgMar w:left="760" w:top="869" w:right="7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860" w:type="dxa"/>
            <w:vAlign w:val="bottom"/>
            <w:shd w:val="clear" w:color="auto" w:fill="CCEEFF"/>
          </w:tcPr>
          <w:p>
            <w:pPr>
              <w:spacing w:after="0"/>
              <w:rPr>
                <w:sz w:val="12"/>
                <w:szCs w:val="12"/>
                <w:color w:val="auto"/>
              </w:rPr>
            </w:pPr>
          </w:p>
        </w:tc>
        <w:tc>
          <w:tcPr>
            <w:tcW w:w="1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Legacy Series A-1</w:t>
            </w:r>
          </w:p>
        </w:tc>
        <w:tc>
          <w:tcPr>
            <w:tcW w:w="10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Legacy Common</w:t>
            </w:r>
          </w:p>
        </w:tc>
        <w:tc>
          <w:tcPr>
            <w:tcW w:w="128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Class A common</w:t>
            </w:r>
          </w:p>
        </w:tc>
        <w:tc>
          <w:tcPr>
            <w:tcW w:w="1360" w:type="dxa"/>
            <w:vAlign w:val="bottom"/>
            <w:gridSpan w:val="5"/>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Class D common stock</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4"/>
            <w:vMerge w:val="restart"/>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rPr>
              <w:t>Mezzanine Equity</w:t>
            </w:r>
          </w:p>
        </w:tc>
        <w:tc>
          <w:tcPr>
            <w:tcW w:w="0" w:type="dxa"/>
            <w:vAlign w:val="bottom"/>
          </w:tcPr>
          <w:p>
            <w:pPr>
              <w:spacing w:after="0"/>
              <w:rPr>
                <w:sz w:val="1"/>
                <w:szCs w:val="1"/>
                <w:color w:val="auto"/>
              </w:rPr>
            </w:pPr>
          </w:p>
        </w:tc>
      </w:tr>
      <w:tr>
        <w:trPr>
          <w:trHeight w:val="182"/>
        </w:trPr>
        <w:tc>
          <w:tcPr>
            <w:tcW w:w="860" w:type="dxa"/>
            <w:vAlign w:val="bottom"/>
            <w:shd w:val="clear" w:color="auto" w:fill="CCEEFF"/>
          </w:tcPr>
          <w:p>
            <w:pPr>
              <w:spacing w:after="0"/>
              <w:rPr>
                <w:sz w:val="15"/>
                <w:szCs w:val="15"/>
                <w:color w:val="auto"/>
              </w:rPr>
            </w:pPr>
          </w:p>
        </w:tc>
        <w:tc>
          <w:tcPr>
            <w:tcW w:w="12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Units</w:t>
            </w:r>
          </w:p>
        </w:tc>
        <w:tc>
          <w:tcPr>
            <w:tcW w:w="10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Units</w:t>
            </w:r>
          </w:p>
        </w:tc>
        <w:tc>
          <w:tcPr>
            <w:tcW w:w="7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94"/>
              </w:rPr>
              <w:t>stock</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60" w:type="dxa"/>
            <w:vAlign w:val="bottom"/>
            <w:gridSpan w:val="5"/>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14"/>
              <w:spacing w:after="0" w:line="121" w:lineRule="exact"/>
              <w:rPr>
                <w:sz w:val="20"/>
                <w:szCs w:val="20"/>
                <w:color w:val="auto"/>
              </w:rPr>
            </w:pPr>
            <w:r>
              <w:rPr>
                <w:rFonts w:ascii="Times New Roman" w:cs="Times New Roman" w:eastAsia="Times New Roman" w:hAnsi="Times New Roman"/>
                <w:sz w:val="13"/>
                <w:szCs w:val="13"/>
                <w:color w:val="auto"/>
              </w:rPr>
              <w:t>Non-</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top w:val="single" w:sz="8" w:color="auto"/>
            </w:tcBorders>
            <w:gridSpan w:val="3"/>
          </w:tcPr>
          <w:p>
            <w:pPr>
              <w:jc w:val="center"/>
              <w:ind w:right="80"/>
              <w:spacing w:after="0" w:line="121" w:lineRule="exact"/>
              <w:rPr>
                <w:sz w:val="20"/>
                <w:szCs w:val="20"/>
                <w:color w:val="auto"/>
              </w:rPr>
            </w:pPr>
            <w:r>
              <w:rPr>
                <w:rFonts w:ascii="Times New Roman" w:cs="Times New Roman" w:eastAsia="Times New Roman" w:hAnsi="Times New Roman"/>
                <w:sz w:val="13"/>
                <w:szCs w:val="13"/>
                <w:color w:val="auto"/>
              </w:rPr>
              <w:t>Redeemable</w:t>
            </w:r>
          </w:p>
        </w:tc>
        <w:tc>
          <w:tcPr>
            <w:tcW w:w="7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Redeemable</w:t>
            </w:r>
          </w:p>
        </w:tc>
        <w:tc>
          <w:tcPr>
            <w:tcW w:w="0" w:type="dxa"/>
            <w:vAlign w:val="bottom"/>
          </w:tcPr>
          <w:p>
            <w:pPr>
              <w:spacing w:after="0"/>
              <w:rPr>
                <w:sz w:val="1"/>
                <w:szCs w:val="1"/>
                <w:color w:val="auto"/>
              </w:rPr>
            </w:pPr>
          </w:p>
        </w:tc>
      </w:tr>
      <w:tr>
        <w:trPr>
          <w:trHeight w:val="132"/>
        </w:trPr>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auto"/>
              </w:rPr>
              <w:t>Additional</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rPr>
              <w:t>Other</w:t>
            </w:r>
          </w:p>
        </w:tc>
        <w:tc>
          <w:tcPr>
            <w:tcW w:w="72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3"/>
                <w:szCs w:val="13"/>
                <w:color w:val="auto"/>
              </w:rPr>
              <w:t>redeemable</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ind w:right="214"/>
              <w:spacing w:after="0"/>
              <w:rPr>
                <w:sz w:val="20"/>
                <w:szCs w:val="20"/>
                <w:color w:val="auto"/>
              </w:rPr>
            </w:pPr>
            <w:r>
              <w:rPr>
                <w:rFonts w:ascii="Times New Roman" w:cs="Times New Roman" w:eastAsia="Times New Roman" w:hAnsi="Times New Roman"/>
                <w:sz w:val="13"/>
                <w:szCs w:val="13"/>
                <w:color w:val="auto"/>
              </w:rPr>
              <w:t>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3"/>
                <w:szCs w:val="13"/>
                <w:color w:val="auto"/>
              </w:rPr>
              <w:t>Preferred</w:t>
            </w: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auto"/>
              </w:rPr>
              <w:t>Accumulated</w:t>
            </w:r>
          </w:p>
        </w:tc>
        <w:tc>
          <w:tcPr>
            <w:tcW w:w="1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3"/>
                <w:szCs w:val="13"/>
                <w:color w:val="auto"/>
              </w:rPr>
              <w:t>non-</w:t>
            </w:r>
          </w:p>
        </w:tc>
        <w:tc>
          <w:tcPr>
            <w:tcW w:w="120" w:type="dxa"/>
            <w:vAlign w:val="bottom"/>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3"/>
                <w:szCs w:val="13"/>
                <w:color w:val="auto"/>
              </w:rPr>
              <w:t>non-</w:t>
            </w:r>
          </w:p>
        </w:tc>
        <w:tc>
          <w:tcPr>
            <w:tcW w:w="100" w:type="dxa"/>
            <w:vAlign w:val="bottom"/>
          </w:tcPr>
          <w:p>
            <w:pPr>
              <w:spacing w:after="0"/>
              <w:rPr>
                <w:sz w:val="10"/>
                <w:szCs w:val="10"/>
                <w:color w:val="auto"/>
              </w:rPr>
            </w:pPr>
          </w:p>
        </w:tc>
        <w:tc>
          <w:tcPr>
            <w:tcW w:w="620" w:type="dxa"/>
            <w:vAlign w:val="bottom"/>
          </w:tcPr>
          <w:p>
            <w:pPr>
              <w:jc w:val="center"/>
              <w:ind w:right="34"/>
              <w:spacing w:after="0" w:line="124" w:lineRule="exact"/>
              <w:rPr>
                <w:sz w:val="20"/>
                <w:szCs w:val="20"/>
                <w:color w:val="auto"/>
              </w:rPr>
            </w:pPr>
            <w:r>
              <w:rPr>
                <w:rFonts w:ascii="Times New Roman" w:cs="Times New Roman" w:eastAsia="Times New Roman" w:hAnsi="Times New Roman"/>
                <w:sz w:val="13"/>
                <w:szCs w:val="13"/>
                <w:color w:val="auto"/>
              </w:rPr>
              <w:t>non-</w:t>
            </w:r>
          </w:p>
        </w:tc>
        <w:tc>
          <w:tcPr>
            <w:tcW w:w="0" w:type="dxa"/>
            <w:vAlign w:val="bottom"/>
          </w:tcPr>
          <w:p>
            <w:pPr>
              <w:spacing w:after="0"/>
              <w:rPr>
                <w:sz w:val="1"/>
                <w:szCs w:val="1"/>
                <w:color w:val="auto"/>
              </w:rPr>
            </w:pPr>
          </w:p>
        </w:tc>
      </w:tr>
      <w:tr>
        <w:trPr>
          <w:trHeight w:val="137"/>
        </w:trPr>
        <w:tc>
          <w:tcPr>
            <w:tcW w:w="860" w:type="dxa"/>
            <w:vAlign w:val="bottom"/>
          </w:tcPr>
          <w:p>
            <w:pPr>
              <w:spacing w:after="0"/>
              <w:rPr>
                <w:sz w:val="11"/>
                <w:szCs w:val="11"/>
                <w:color w:val="auto"/>
              </w:rPr>
            </w:pP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Units</w:t>
            </w: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Amount</w:t>
            </w:r>
          </w:p>
        </w:tc>
        <w:tc>
          <w:tcPr>
            <w:tcW w:w="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Units</w:t>
            </w: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Amount</w:t>
            </w:r>
          </w:p>
        </w:tc>
        <w:tc>
          <w:tcPr>
            <w:tcW w:w="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color w:val="auto"/>
              </w:rPr>
              <w:t>Shares</w:t>
            </w: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Amount</w:t>
            </w: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Shares</w:t>
            </w:r>
          </w:p>
        </w:tc>
        <w:tc>
          <w:tcPr>
            <w:tcW w:w="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auto"/>
              </w:rPr>
              <w:t>Amount</w:t>
            </w:r>
          </w:p>
        </w:tc>
        <w:tc>
          <w:tcPr>
            <w:tcW w:w="100" w:type="dxa"/>
            <w:vAlign w:val="bottom"/>
          </w:tcPr>
          <w:p>
            <w:pPr>
              <w:spacing w:after="0"/>
              <w:rPr>
                <w:sz w:val="11"/>
                <w:szCs w:val="11"/>
                <w:color w:val="auto"/>
              </w:rPr>
            </w:pPr>
          </w:p>
        </w:tc>
        <w:tc>
          <w:tcPr>
            <w:tcW w:w="58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3"/>
                <w:szCs w:val="13"/>
                <w:color w:val="auto"/>
              </w:rPr>
              <w:t>paid-in</w:t>
            </w:r>
          </w:p>
        </w:tc>
        <w:tc>
          <w:tcPr>
            <w:tcW w:w="860" w:type="dxa"/>
            <w:vAlign w:val="bottom"/>
            <w:gridSpan w:val="3"/>
            <w:vMerge w:val="continue"/>
          </w:tcPr>
          <w:p>
            <w:pPr>
              <w:spacing w:after="0"/>
              <w:rPr>
                <w:sz w:val="11"/>
                <w:szCs w:val="11"/>
                <w:color w:val="auto"/>
              </w:rPr>
            </w:pPr>
          </w:p>
        </w:tc>
        <w:tc>
          <w:tcPr>
            <w:tcW w:w="92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3"/>
                <w:szCs w:val="13"/>
                <w:color w:val="auto"/>
              </w:rPr>
              <w:t>comprehensive</w:t>
            </w:r>
          </w:p>
        </w:tc>
        <w:tc>
          <w:tcPr>
            <w:tcW w:w="72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3"/>
                <w:szCs w:val="13"/>
                <w:color w:val="auto"/>
              </w:rPr>
              <w:t>controlling</w:t>
            </w:r>
          </w:p>
        </w:tc>
        <w:tc>
          <w:tcPr>
            <w:tcW w:w="800" w:type="dxa"/>
            <w:vAlign w:val="bottom"/>
            <w:tcBorders>
              <w:right w:val="single" w:sz="8" w:color="auto"/>
            </w:tcBorders>
            <w:gridSpan w:val="2"/>
          </w:tcPr>
          <w:p>
            <w:pPr>
              <w:ind w:left="40"/>
              <w:spacing w:after="0" w:line="137" w:lineRule="exact"/>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tcPr>
          <w:p>
            <w:pPr>
              <w:spacing w:after="0"/>
              <w:rPr>
                <w:sz w:val="11"/>
                <w:szCs w:val="11"/>
                <w:color w:val="auto"/>
              </w:rPr>
            </w:pPr>
          </w:p>
        </w:tc>
        <w:tc>
          <w:tcPr>
            <w:tcW w:w="78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3"/>
                <w:szCs w:val="13"/>
                <w:color w:val="auto"/>
              </w:rPr>
              <w:t>controlling</w:t>
            </w:r>
          </w:p>
        </w:tc>
        <w:tc>
          <w:tcPr>
            <w:tcW w:w="7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3"/>
                <w:szCs w:val="13"/>
                <w:color w:val="auto"/>
              </w:rPr>
              <w:t>controlling</w:t>
            </w: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capital</w:t>
            </w:r>
          </w:p>
        </w:tc>
        <w:tc>
          <w:tcPr>
            <w:tcW w:w="120" w:type="dxa"/>
            <w:vAlign w:val="bottom"/>
          </w:tcPr>
          <w:p>
            <w:pPr>
              <w:spacing w:after="0"/>
              <w:rPr>
                <w:sz w:val="15"/>
                <w:szCs w:val="15"/>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deficit</w:t>
            </w:r>
          </w:p>
        </w:tc>
        <w:tc>
          <w:tcPr>
            <w:tcW w:w="16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income</w:t>
            </w:r>
          </w:p>
        </w:tc>
        <w:tc>
          <w:tcPr>
            <w:tcW w:w="80" w:type="dxa"/>
            <w:vAlign w:val="bottom"/>
          </w:tcPr>
          <w:p>
            <w:pPr>
              <w:spacing w:after="0"/>
              <w:rPr>
                <w:sz w:val="15"/>
                <w:szCs w:val="15"/>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interests</w:t>
            </w:r>
          </w:p>
        </w:tc>
        <w:tc>
          <w:tcPr>
            <w:tcW w:w="120" w:type="dxa"/>
            <w:vAlign w:val="bottom"/>
          </w:tcPr>
          <w:p>
            <w:pPr>
              <w:spacing w:after="0"/>
              <w:rPr>
                <w:sz w:val="15"/>
                <w:szCs w:val="15"/>
                <w:color w:val="auto"/>
              </w:rPr>
            </w:pPr>
          </w:p>
        </w:tc>
        <w:tc>
          <w:tcPr>
            <w:tcW w:w="680" w:type="dxa"/>
            <w:vAlign w:val="bottom"/>
            <w:tcBorders>
              <w:right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color w:val="auto"/>
              </w:rPr>
              <w:t>Equity</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interests</w:t>
            </w:r>
          </w:p>
        </w:tc>
        <w:tc>
          <w:tcPr>
            <w:tcW w:w="100" w:type="dxa"/>
            <w:vAlign w:val="bottom"/>
          </w:tcPr>
          <w:p>
            <w:pPr>
              <w:spacing w:after="0"/>
              <w:rPr>
                <w:sz w:val="15"/>
                <w:szCs w:val="15"/>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rPr>
              <w:t>interests</w:t>
            </w:r>
          </w:p>
        </w:tc>
        <w:tc>
          <w:tcPr>
            <w:tcW w:w="0" w:type="dxa"/>
            <w:vAlign w:val="bottom"/>
          </w:tcPr>
          <w:p>
            <w:pPr>
              <w:spacing w:after="0"/>
              <w:rPr>
                <w:sz w:val="1"/>
                <w:szCs w:val="1"/>
                <w:color w:val="auto"/>
              </w:rPr>
            </w:pPr>
          </w:p>
        </w:tc>
      </w:tr>
      <w:tr>
        <w:trPr>
          <w:trHeight w:val="112"/>
        </w:trPr>
        <w:tc>
          <w:tcPr>
            <w:tcW w:w="860" w:type="dxa"/>
            <w:vAlign w:val="bottom"/>
            <w:tcBorders>
              <w:top w:val="single" w:sz="8" w:color="CCEEFF"/>
            </w:tcBorders>
            <w:shd w:val="clear" w:color="auto" w:fill="CCEEFF"/>
          </w:tcPr>
          <w:p>
            <w:pPr>
              <w:ind w:left="20"/>
              <w:spacing w:after="0" w:line="112"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86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rPr>
              <w:t>2021, as</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6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3"/>
                <w:szCs w:val="13"/>
                <w:b w:val="1"/>
                <w:bCs w:val="1"/>
                <w:color w:val="auto"/>
              </w:rPr>
              <w:t>previously</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$30,210</w:t>
            </w:r>
          </w:p>
        </w:tc>
        <w:tc>
          <w:tcPr>
            <w:tcW w:w="6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$47,592</w:t>
            </w:r>
          </w:p>
        </w:tc>
        <w:tc>
          <w:tcPr>
            <w:tcW w:w="6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15,967</w:t>
            </w:r>
          </w:p>
        </w:tc>
        <w:tc>
          <w:tcPr>
            <w:tcW w:w="6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64,747</w:t>
            </w:r>
          </w:p>
        </w:tc>
        <w:tc>
          <w:tcPr>
            <w:tcW w:w="6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3"/>
            <w:vMerge w:val="continue"/>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360" w:type="dxa"/>
            <w:vAlign w:val="bottom"/>
            <w:tcBorders>
              <w:bottom w:val="single" w:sz="8" w:color="CCEEFF"/>
            </w:tcBorders>
            <w:gridSpan w:val="2"/>
            <w:vMerge w:val="continue"/>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180" w:type="dxa"/>
            <w:vAlign w:val="bottom"/>
            <w:tcBorders>
              <w:bottom w:val="single" w:sz="8" w:color="CCEEFF"/>
            </w:tcBorders>
            <w:vMerge w:val="continue"/>
            <w:shd w:val="clear" w:color="auto" w:fill="CCEEFF"/>
          </w:tcPr>
          <w:p>
            <w:pPr>
              <w:spacing w:after="0"/>
              <w:rPr>
                <w:sz w:val="15"/>
                <w:szCs w:val="15"/>
                <w:color w:val="auto"/>
              </w:rPr>
            </w:pPr>
          </w:p>
        </w:tc>
        <w:tc>
          <w:tcPr>
            <w:tcW w:w="3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5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68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680" w:type="dxa"/>
            <w:vAlign w:val="bottom"/>
            <w:tcBorders>
              <w:bottom w:val="single" w:sz="8" w:color="CCEEFF"/>
              <w:right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6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Retroactive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application of</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(30,210)</w:t>
            </w:r>
          </w:p>
        </w:tc>
        <w:tc>
          <w:tcPr>
            <w:tcW w:w="6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(47,592)</w:t>
            </w:r>
          </w:p>
        </w:tc>
        <w:tc>
          <w:tcPr>
            <w:tcW w:w="60" w:type="dxa"/>
            <w:vAlign w:val="bottom"/>
          </w:tcPr>
          <w:p>
            <w:pPr>
              <w:spacing w:after="0"/>
              <w:rPr>
                <w:sz w:val="11"/>
                <w:szCs w:val="11"/>
                <w:color w:val="auto"/>
              </w:rPr>
            </w:pP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144,399,037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(15,967)</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(63,545)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30,210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63,545</w:t>
            </w:r>
          </w:p>
        </w:tc>
        <w:tc>
          <w:tcPr>
            <w:tcW w:w="0" w:type="dxa"/>
            <w:vAlign w:val="bottom"/>
          </w:tcPr>
          <w:p>
            <w:pPr>
              <w:spacing w:after="0"/>
              <w:rPr>
                <w:sz w:val="1"/>
                <w:szCs w:val="1"/>
                <w:color w:val="auto"/>
              </w:rPr>
            </w:pPr>
          </w:p>
        </w:tc>
      </w:tr>
      <w:tr>
        <w:trPr>
          <w:trHeight w:val="179"/>
        </w:trPr>
        <w:tc>
          <w:tcPr>
            <w:tcW w:w="15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recapitalization (300,000)</w:t>
            </w:r>
          </w:p>
        </w:tc>
        <w:tc>
          <w:tcPr>
            <w:tcW w:w="5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860" w:type="dxa"/>
            <w:vAlign w:val="bottom"/>
            <w:tcBorders>
              <w:top w:val="single" w:sz="8" w:color="CCEEFF"/>
            </w:tcBorders>
            <w:shd w:val="clear" w:color="auto" w:fill="CCEEFF"/>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86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rPr>
              <w:t>2021, as</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144,399,037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30,210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63,545</w:t>
            </w:r>
          </w:p>
        </w:tc>
        <w:tc>
          <w:tcPr>
            <w:tcW w:w="0" w:type="dxa"/>
            <w:vAlign w:val="bottom"/>
          </w:tcPr>
          <w:p>
            <w:pPr>
              <w:spacing w:after="0"/>
              <w:rPr>
                <w:sz w:val="1"/>
                <w:szCs w:val="1"/>
                <w:color w:val="auto"/>
              </w:rPr>
            </w:pPr>
          </w:p>
        </w:tc>
      </w:tr>
      <w:tr>
        <w:trPr>
          <w:trHeight w:val="186"/>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w:t>
            </w:r>
          </w:p>
        </w:tc>
        <w:tc>
          <w:tcPr>
            <w:tcW w:w="64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(4,225)</w:t>
            </w:r>
          </w:p>
        </w:tc>
        <w:tc>
          <w:tcPr>
            <w:tcW w:w="0" w:type="dxa"/>
            <w:vAlign w:val="bottom"/>
          </w:tcPr>
          <w:p>
            <w:pPr>
              <w:spacing w:after="0"/>
              <w:rPr>
                <w:sz w:val="1"/>
                <w:szCs w:val="1"/>
                <w:color w:val="auto"/>
              </w:rPr>
            </w:pPr>
          </w:p>
        </w:tc>
      </w:tr>
      <w:tr>
        <w:trPr>
          <w:trHeight w:val="136"/>
        </w:trPr>
        <w:tc>
          <w:tcPr>
            <w:tcW w:w="86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Proceeds from</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non-</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redeemable</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non-controlling</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82"/>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w:t>
            </w:r>
          </w:p>
        </w:tc>
        <w:tc>
          <w:tcPr>
            <w:tcW w:w="6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Amortization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on payment to</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acquire non-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redeemable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non-controlling</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79"/>
        </w:trPr>
        <w:tc>
          <w:tcPr>
            <w:tcW w:w="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w:t>
            </w:r>
          </w:p>
        </w:tc>
        <w:tc>
          <w:tcPr>
            <w:tcW w:w="6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86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Redeemable</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preferred non-</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controlling</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interest, net of</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0" w:type="dxa"/>
            <w:vAlign w:val="bottom"/>
          </w:tcPr>
          <w:p>
            <w:pPr>
              <w:spacing w:after="0"/>
              <w:rPr>
                <w:sz w:val="1"/>
                <w:szCs w:val="1"/>
                <w:color w:val="auto"/>
              </w:rPr>
            </w:pPr>
          </w:p>
        </w:tc>
      </w:tr>
      <w:tr>
        <w:trPr>
          <w:trHeight w:val="186"/>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costs</w:t>
            </w:r>
          </w:p>
        </w:tc>
        <w:tc>
          <w:tcPr>
            <w:tcW w:w="64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Stock-based</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177"/>
        </w:trPr>
        <w:tc>
          <w:tcPr>
            <w:tcW w:w="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compensation</w:t>
            </w:r>
          </w:p>
        </w:tc>
        <w:tc>
          <w:tcPr>
            <w:tcW w:w="6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86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3"/>
                <w:szCs w:val="13"/>
                <w:color w:val="auto"/>
              </w:rPr>
              <w:t>Paid-in-kind</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preferred</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shd w:val="clear" w:color="auto" w:fill="CCEEFF"/>
          </w:tcPr>
          <w:p>
            <w:pPr>
              <w:spacing w:after="0"/>
              <w:rPr>
                <w:sz w:val="11"/>
                <w:szCs w:val="11"/>
                <w:color w:val="auto"/>
              </w:rPr>
            </w:pPr>
          </w:p>
        </w:tc>
        <w:tc>
          <w:tcPr>
            <w:tcW w:w="2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0" w:type="dxa"/>
            <w:vAlign w:val="bottom"/>
          </w:tcPr>
          <w:p>
            <w:pPr>
              <w:spacing w:after="0"/>
              <w:rPr>
                <w:sz w:val="1"/>
                <w:szCs w:val="1"/>
                <w:color w:val="auto"/>
              </w:rPr>
            </w:pPr>
          </w:p>
        </w:tc>
      </w:tr>
      <w:tr>
        <w:trPr>
          <w:trHeight w:val="186"/>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w:t>
            </w: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86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144,399,037</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6,684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6,698</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55,927</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58,310</w:t>
            </w:r>
          </w:p>
        </w:tc>
        <w:tc>
          <w:tcPr>
            <w:tcW w:w="0" w:type="dxa"/>
            <w:vAlign w:val="bottom"/>
          </w:tcPr>
          <w:p>
            <w:pPr>
              <w:spacing w:after="0"/>
              <w:rPr>
                <w:sz w:val="1"/>
                <w:szCs w:val="1"/>
                <w:color w:val="auto"/>
              </w:rPr>
            </w:pPr>
          </w:p>
        </w:tc>
      </w:tr>
      <w:tr>
        <w:trPr>
          <w:trHeight w:val="179"/>
        </w:trPr>
        <w:tc>
          <w:tcPr>
            <w:tcW w:w="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29"/>
        </w:trPr>
        <w:tc>
          <w:tcPr>
            <w:tcW w:w="8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Proceeds from</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non-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redeemable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non-controlling</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11,211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11,211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77"/>
        </w:trPr>
        <w:tc>
          <w:tcPr>
            <w:tcW w:w="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w:t>
            </w:r>
          </w:p>
        </w:tc>
        <w:tc>
          <w:tcPr>
            <w:tcW w:w="6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86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3"/>
                <w:szCs w:val="13"/>
                <w:color w:val="auto"/>
              </w:rPr>
              <w:t>Amortization</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on payment to</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acquire non-</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redeemable</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non-controlling</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86"/>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w:t>
            </w:r>
          </w:p>
        </w:tc>
        <w:tc>
          <w:tcPr>
            <w:tcW w:w="64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Redeemable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preferred non-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controlling</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interest</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issuance, net of</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9"/>
        </w:trPr>
        <w:tc>
          <w:tcPr>
            <w:tcW w:w="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costs</w:t>
            </w:r>
          </w:p>
        </w:tc>
        <w:tc>
          <w:tcPr>
            <w:tcW w:w="6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86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Stock-based</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182"/>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w:t>
            </w:r>
          </w:p>
        </w:tc>
        <w:tc>
          <w:tcPr>
            <w:tcW w:w="6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Paid-in-kind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preferred</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(1,718)</w:t>
            </w:r>
          </w:p>
        </w:tc>
        <w:tc>
          <w:tcPr>
            <w:tcW w:w="0" w:type="dxa"/>
            <w:vAlign w:val="bottom"/>
          </w:tcPr>
          <w:p>
            <w:pPr>
              <w:spacing w:after="0"/>
              <w:rPr>
                <w:sz w:val="1"/>
                <w:szCs w:val="1"/>
                <w:color w:val="auto"/>
              </w:rPr>
            </w:pPr>
          </w:p>
        </w:tc>
      </w:tr>
      <w:tr>
        <w:trPr>
          <w:trHeight w:val="179"/>
        </w:trPr>
        <w:tc>
          <w:tcPr>
            <w:tcW w:w="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w:t>
            </w:r>
          </w:p>
        </w:tc>
        <w:tc>
          <w:tcPr>
            <w:tcW w:w="6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144,399,037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17,638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17,652</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132,645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56,622</w:t>
            </w:r>
          </w:p>
        </w:tc>
        <w:tc>
          <w:tcPr>
            <w:tcW w:w="0" w:type="dxa"/>
            <w:vAlign w:val="bottom"/>
          </w:tcPr>
          <w:p>
            <w:pPr>
              <w:spacing w:after="0"/>
              <w:rPr>
                <w:sz w:val="1"/>
                <w:szCs w:val="1"/>
                <w:color w:val="auto"/>
              </w:rPr>
            </w:pPr>
          </w:p>
        </w:tc>
      </w:tr>
      <w:tr>
        <w:trPr>
          <w:trHeight w:val="172"/>
        </w:trPr>
        <w:tc>
          <w:tcPr>
            <w:tcW w:w="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6,509</w:t>
            </w:r>
          </w:p>
        </w:tc>
        <w:tc>
          <w:tcPr>
            <w:tcW w:w="0" w:type="dxa"/>
            <w:vAlign w:val="bottom"/>
          </w:tcPr>
          <w:p>
            <w:pPr>
              <w:spacing w:after="0"/>
              <w:rPr>
                <w:sz w:val="1"/>
                <w:szCs w:val="1"/>
                <w:color w:val="auto"/>
              </w:rPr>
            </w:pPr>
          </w:p>
        </w:tc>
      </w:tr>
      <w:tr>
        <w:trPr>
          <w:trHeight w:val="136"/>
        </w:trPr>
        <w:tc>
          <w:tcPr>
            <w:tcW w:w="86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Unrealized</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gain on cash</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1,011</w:t>
            </w:r>
          </w:p>
        </w:tc>
        <w:tc>
          <w:tcPr>
            <w:tcW w:w="0" w:type="dxa"/>
            <w:vAlign w:val="bottom"/>
          </w:tcPr>
          <w:p>
            <w:pPr>
              <w:spacing w:after="0"/>
              <w:rPr>
                <w:sz w:val="1"/>
                <w:szCs w:val="1"/>
                <w:color w:val="auto"/>
              </w:rPr>
            </w:pPr>
          </w:p>
        </w:tc>
      </w:tr>
      <w:tr>
        <w:trPr>
          <w:trHeight w:val="186"/>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flow hedges</w:t>
            </w:r>
          </w:p>
        </w:tc>
        <w:tc>
          <w:tcPr>
            <w:tcW w:w="64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common stock</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from the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reverse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recapitalization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and PIPE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Investments,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net of warrant</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liability, put</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option and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earnout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22,611,857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68,255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68,257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9"/>
        </w:trPr>
        <w:tc>
          <w:tcPr>
            <w:tcW w:w="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liability</w:t>
            </w:r>
          </w:p>
        </w:tc>
        <w:tc>
          <w:tcPr>
            <w:tcW w:w="6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86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Conversion of</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Convertible</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Note Payable</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to common</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3,059,533</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30,595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30,595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w:t>
            </w:r>
          </w:p>
        </w:tc>
        <w:tc>
          <w:tcPr>
            <w:tcW w:w="6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Change in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redemption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value of</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Redeemable</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non-controlling</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(95,711)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(1,065,012)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(1,160,723)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1,160,723</w:t>
            </w:r>
          </w:p>
        </w:tc>
        <w:tc>
          <w:tcPr>
            <w:tcW w:w="0" w:type="dxa"/>
            <w:vAlign w:val="bottom"/>
          </w:tcPr>
          <w:p>
            <w:pPr>
              <w:spacing w:after="0"/>
              <w:rPr>
                <w:sz w:val="1"/>
                <w:szCs w:val="1"/>
                <w:color w:val="auto"/>
              </w:rPr>
            </w:pPr>
          </w:p>
        </w:tc>
      </w:tr>
      <w:tr>
        <w:trPr>
          <w:trHeight w:val="179"/>
        </w:trPr>
        <w:tc>
          <w:tcPr>
            <w:tcW w:w="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6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86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Proceeds from</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non-</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redeemable</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3"/>
                <w:szCs w:val="13"/>
                <w:color w:val="auto"/>
              </w:rPr>
              <w:t>non-controlling</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w:t>
            </w:r>
          </w:p>
        </w:tc>
        <w:tc>
          <w:tcPr>
            <w:tcW w:w="6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76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Stock-based</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0" w:type="dxa"/>
            <w:vAlign w:val="bottom"/>
          </w:tcPr>
          <w:p>
            <w:pPr>
              <w:spacing w:after="0"/>
              <w:rPr>
                <w:sz w:val="1"/>
                <w:szCs w:val="1"/>
                <w:color w:val="auto"/>
              </w:rPr>
            </w:pPr>
          </w:p>
        </w:tc>
      </w:tr>
      <w:tr>
        <w:trPr>
          <w:trHeight w:val="177"/>
        </w:trPr>
        <w:tc>
          <w:tcPr>
            <w:tcW w:w="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compensation</w:t>
            </w:r>
          </w:p>
        </w:tc>
        <w:tc>
          <w:tcPr>
            <w:tcW w:w="6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86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3"/>
                <w:szCs w:val="13"/>
                <w:color w:val="auto"/>
              </w:rPr>
              <w:t>Paid-in-kind</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preferred</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shd w:val="clear" w:color="auto" w:fill="CCEEFF"/>
          </w:tcPr>
          <w:p>
            <w:pPr>
              <w:spacing w:after="0"/>
              <w:rPr>
                <w:sz w:val="11"/>
                <w:szCs w:val="11"/>
                <w:color w:val="auto"/>
              </w:rPr>
            </w:pPr>
          </w:p>
        </w:tc>
        <w:tc>
          <w:tcPr>
            <w:tcW w:w="2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(2,348)</w:t>
            </w:r>
          </w:p>
        </w:tc>
        <w:tc>
          <w:tcPr>
            <w:tcW w:w="0" w:type="dxa"/>
            <w:vAlign w:val="bottom"/>
          </w:tcPr>
          <w:p>
            <w:pPr>
              <w:spacing w:after="0"/>
              <w:rPr>
                <w:sz w:val="1"/>
                <w:szCs w:val="1"/>
                <w:color w:val="auto"/>
              </w:rPr>
            </w:pPr>
          </w:p>
        </w:tc>
      </w:tr>
      <w:tr>
        <w:trPr>
          <w:trHeight w:val="186"/>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w:t>
            </w: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86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25,671,390</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144,399,037</w:t>
            </w:r>
          </w:p>
        </w:tc>
        <w:tc>
          <w:tcPr>
            <w:tcW w:w="80" w:type="dxa"/>
            <w:vAlign w:val="bottom"/>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(1,066,137)</w:t>
            </w:r>
          </w:p>
        </w:tc>
        <w:tc>
          <w:tcPr>
            <w:tcW w:w="60" w:type="dxa"/>
            <w:vAlign w:val="bottom"/>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26,674</w:t>
            </w:r>
          </w:p>
        </w:tc>
        <w:tc>
          <w:tcPr>
            <w:tcW w:w="80" w:type="dxa"/>
            <w:vAlign w:val="bottom"/>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(1,039,269)</w:t>
            </w:r>
          </w:p>
        </w:tc>
        <w:tc>
          <w:tcPr>
            <w:tcW w:w="6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135,303</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1,222,657</w:t>
            </w:r>
          </w:p>
        </w:tc>
        <w:tc>
          <w:tcPr>
            <w:tcW w:w="0" w:type="dxa"/>
            <w:vAlign w:val="bottom"/>
          </w:tcPr>
          <w:p>
            <w:pPr>
              <w:spacing w:after="0"/>
              <w:rPr>
                <w:sz w:val="1"/>
                <w:szCs w:val="1"/>
                <w:color w:val="auto"/>
              </w:rPr>
            </w:pPr>
          </w:p>
        </w:tc>
      </w:tr>
      <w:tr>
        <w:trPr>
          <w:trHeight w:val="159"/>
        </w:trPr>
        <w:tc>
          <w:tcPr>
            <w:tcW w:w="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4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F-5</w:t>
      </w:r>
    </w:p>
    <w:p>
      <w:pPr>
        <w:sectPr>
          <w:pgSz w:w="11900" w:h="16838" w:orient="portrait"/>
          <w:cols w:equalWidth="0" w:num="1">
            <w:col w:w="11340"/>
          </w:cols>
          <w:pgMar w:left="320" w:top="144" w:right="239" w:bottom="144" w:gutter="0" w:footer="0" w:header="0"/>
        </w:sectPr>
      </w:pPr>
    </w:p>
    <w:bookmarkStart w:id="11" w:name="page12"/>
    <w:bookmarkEnd w:id="11"/>
    <w:p>
      <w:pPr>
        <w:spacing w:after="0" w:line="381" w:lineRule="exact"/>
        <w:rPr>
          <w:sz w:val="20"/>
          <w:szCs w:val="20"/>
          <w:color w:val="auto"/>
        </w:rPr>
      </w:pPr>
    </w:p>
    <w:tbl>
      <w:tblPr>
        <w:tblLayout w:type="fixed"/>
        <w:tblInd w:w="560" w:type="dxa"/>
        <w:tblCellMar>
          <w:top w:w="0" w:type="dxa"/>
          <w:left w:w="0" w:type="dxa"/>
          <w:bottom w:w="0" w:type="dxa"/>
          <w:right w:w="0" w:type="dxa"/>
        </w:tblCellMar>
      </w:tblPr>
      <w:tr>
        <w:trPr>
          <w:trHeight w:val="195"/>
        </w:trPr>
        <w:tc>
          <w:tcPr>
            <w:tcW w:w="1380" w:type="dxa"/>
            <w:vAlign w:val="bottom"/>
            <w:shd w:val="clear" w:color="auto" w:fill="CCEEFF"/>
          </w:tcPr>
          <w:p>
            <w:pPr>
              <w:spacing w:after="0"/>
              <w:rPr>
                <w:sz w:val="17"/>
                <w:szCs w:val="17"/>
                <w:color w:val="auto"/>
              </w:rPr>
            </w:pPr>
          </w:p>
        </w:tc>
        <w:tc>
          <w:tcPr>
            <w:tcW w:w="1280" w:type="dxa"/>
            <w:vAlign w:val="bottom"/>
            <w:gridSpan w:val="5"/>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8"/>
              </w:rPr>
              <w:t>Legacy Common</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center"/>
              <w:ind w:left="237"/>
              <w:spacing w:after="0"/>
              <w:rPr>
                <w:sz w:val="20"/>
                <w:szCs w:val="20"/>
                <w:color w:val="auto"/>
              </w:rPr>
            </w:pPr>
            <w:r>
              <w:rPr>
                <w:rFonts w:ascii="Times New Roman" w:cs="Times New Roman" w:eastAsia="Times New Roman" w:hAnsi="Times New Roman"/>
                <w:sz w:val="17"/>
                <w:szCs w:val="17"/>
                <w:color w:val="auto"/>
                <w:w w:val="97"/>
              </w:rPr>
              <w:t>Units</w:t>
            </w: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9"/>
              </w:rPr>
              <w:t>Class D common stock</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3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center"/>
              <w:ind w:right="57"/>
              <w:spacing w:after="0" w:line="154" w:lineRule="exact"/>
              <w:rPr>
                <w:sz w:val="20"/>
                <w:szCs w:val="20"/>
                <w:color w:val="auto"/>
              </w:rPr>
            </w:pPr>
            <w:r>
              <w:rPr>
                <w:rFonts w:ascii="Times New Roman" w:cs="Times New Roman" w:eastAsia="Times New Roman" w:hAnsi="Times New Roman"/>
                <w:sz w:val="17"/>
                <w:szCs w:val="17"/>
                <w:color w:val="auto"/>
                <w:w w:val="97"/>
              </w:rPr>
              <w:t>Non-</w:t>
            </w: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center"/>
              <w:ind w:right="80"/>
              <w:spacing w:after="0" w:line="174" w:lineRule="exact"/>
              <w:rPr>
                <w:sz w:val="20"/>
                <w:szCs w:val="20"/>
                <w:color w:val="auto"/>
              </w:rPr>
            </w:pPr>
            <w:r>
              <w:rPr>
                <w:rFonts w:ascii="Times New Roman" w:cs="Times New Roman" w:eastAsia="Times New Roman" w:hAnsi="Times New Roman"/>
                <w:sz w:val="17"/>
                <w:szCs w:val="17"/>
                <w:color w:val="auto"/>
                <w:w w:val="96"/>
              </w:rPr>
              <w:t>redeemable</w:t>
            </w:r>
          </w:p>
        </w:tc>
        <w:tc>
          <w:tcPr>
            <w:tcW w:w="180" w:type="dxa"/>
            <w:vAlign w:val="bottom"/>
          </w:tcPr>
          <w:p>
            <w:pPr>
              <w:spacing w:after="0"/>
              <w:rPr>
                <w:sz w:val="15"/>
                <w:szCs w:val="15"/>
                <w:color w:val="auto"/>
              </w:rPr>
            </w:pPr>
          </w:p>
        </w:tc>
        <w:tc>
          <w:tcPr>
            <w:tcW w:w="780" w:type="dxa"/>
            <w:vAlign w:val="bottom"/>
            <w:tcBorders>
              <w:right w:val="single" w:sz="8" w:color="auto"/>
            </w:tcBorders>
            <w:vMerge w:val="restart"/>
          </w:tcPr>
          <w:p>
            <w:pPr>
              <w:jc w:val="right"/>
              <w:ind w:right="237"/>
              <w:spacing w:after="0"/>
              <w:rPr>
                <w:sz w:val="20"/>
                <w:szCs w:val="20"/>
                <w:color w:val="auto"/>
              </w:rPr>
            </w:pPr>
            <w:r>
              <w:rPr>
                <w:rFonts w:ascii="Times New Roman" w:cs="Times New Roman" w:eastAsia="Times New Roman" w:hAnsi="Times New Roman"/>
                <w:sz w:val="17"/>
                <w:szCs w:val="17"/>
                <w:color w:val="auto"/>
              </w:rPr>
              <w:t>Total</w:t>
            </w:r>
          </w:p>
        </w:tc>
        <w:tc>
          <w:tcPr>
            <w:tcW w:w="60" w:type="dxa"/>
            <w:vAlign w:val="bottom"/>
          </w:tcPr>
          <w:p>
            <w:pPr>
              <w:spacing w:after="0"/>
              <w:rPr>
                <w:sz w:val="15"/>
                <w:szCs w:val="15"/>
                <w:color w:val="auto"/>
              </w:rPr>
            </w:pPr>
          </w:p>
        </w:tc>
        <w:tc>
          <w:tcPr>
            <w:tcW w:w="86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7"/>
                <w:szCs w:val="17"/>
                <w:color w:val="auto"/>
                <w:w w:val="97"/>
              </w:rPr>
              <w:t>Redeemable</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7"/>
                <w:szCs w:val="17"/>
                <w:color w:val="auto"/>
                <w:w w:val="96"/>
              </w:rPr>
              <w:t>non-</w:t>
            </w:r>
          </w:p>
        </w:tc>
        <w:tc>
          <w:tcPr>
            <w:tcW w:w="180" w:type="dxa"/>
            <w:vAlign w:val="bottom"/>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7"/>
              <w:spacing w:after="0" w:line="162" w:lineRule="exact"/>
              <w:rPr>
                <w:sz w:val="20"/>
                <w:szCs w:val="20"/>
                <w:color w:val="auto"/>
              </w:rPr>
            </w:pPr>
            <w:r>
              <w:rPr>
                <w:rFonts w:ascii="Times New Roman" w:cs="Times New Roman" w:eastAsia="Times New Roman" w:hAnsi="Times New Roman"/>
                <w:sz w:val="17"/>
                <w:szCs w:val="17"/>
                <w:color w:val="auto"/>
              </w:rPr>
              <w:t>non-</w:t>
            </w:r>
          </w:p>
        </w:tc>
        <w:tc>
          <w:tcPr>
            <w:tcW w:w="0" w:type="dxa"/>
            <w:vAlign w:val="bottom"/>
          </w:tcPr>
          <w:p>
            <w:pPr>
              <w:spacing w:after="0"/>
              <w:rPr>
                <w:sz w:val="1"/>
                <w:szCs w:val="1"/>
                <w:color w:val="auto"/>
              </w:rPr>
            </w:pPr>
          </w:p>
        </w:tc>
      </w:tr>
      <w:tr>
        <w:trPr>
          <w:trHeight w:val="174"/>
        </w:trPr>
        <w:tc>
          <w:tcPr>
            <w:tcW w:w="1380" w:type="dxa"/>
            <w:vAlign w:val="bottom"/>
          </w:tcPr>
          <w:p>
            <w:pPr>
              <w:spacing w:after="0"/>
              <w:rPr>
                <w:sz w:val="15"/>
                <w:szCs w:val="15"/>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Units</w:t>
            </w: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auto"/>
              </w:rPr>
              <w:t>Amount</w:t>
            </w: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Shares</w:t>
            </w:r>
          </w:p>
        </w:tc>
        <w:tc>
          <w:tcPr>
            <w:tcW w:w="7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Amount</w:t>
            </w:r>
          </w:p>
        </w:tc>
        <w:tc>
          <w:tcPr>
            <w:tcW w:w="780" w:type="dxa"/>
            <w:vAlign w:val="bottom"/>
            <w:gridSpan w:val="3"/>
          </w:tcPr>
          <w:p>
            <w:pPr>
              <w:ind w:left="40"/>
              <w:spacing w:after="0" w:line="174" w:lineRule="exact"/>
              <w:rPr>
                <w:sz w:val="20"/>
                <w:szCs w:val="20"/>
                <w:color w:val="auto"/>
              </w:rPr>
            </w:pPr>
            <w:r>
              <w:rPr>
                <w:rFonts w:ascii="Times New Roman" w:cs="Times New Roman" w:eastAsia="Times New Roman" w:hAnsi="Times New Roman"/>
                <w:sz w:val="17"/>
                <w:szCs w:val="17"/>
                <w:color w:val="auto"/>
              </w:rPr>
              <w:t>Retained</w:t>
            </w:r>
          </w:p>
        </w:tc>
        <w:tc>
          <w:tcPr>
            <w:tcW w:w="880" w:type="dxa"/>
            <w:vAlign w:val="bottom"/>
            <w:gridSpan w:val="3"/>
          </w:tcPr>
          <w:p>
            <w:pPr>
              <w:jc w:val="center"/>
              <w:ind w:right="80"/>
              <w:spacing w:after="0" w:line="174" w:lineRule="exact"/>
              <w:rPr>
                <w:sz w:val="20"/>
                <w:szCs w:val="20"/>
                <w:color w:val="auto"/>
              </w:rPr>
            </w:pPr>
            <w:r>
              <w:rPr>
                <w:rFonts w:ascii="Times New Roman" w:cs="Times New Roman" w:eastAsia="Times New Roman" w:hAnsi="Times New Roman"/>
                <w:sz w:val="17"/>
                <w:szCs w:val="17"/>
                <w:color w:val="auto"/>
                <w:w w:val="96"/>
              </w:rPr>
              <w:t>controlling</w:t>
            </w:r>
          </w:p>
        </w:tc>
        <w:tc>
          <w:tcPr>
            <w:tcW w:w="960" w:type="dxa"/>
            <w:vAlign w:val="bottom"/>
            <w:tcBorders>
              <w:right w:val="single" w:sz="8" w:color="auto"/>
            </w:tcBorders>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w w:val="97"/>
              </w:rPr>
              <w:t>Stockholders'</w:t>
            </w:r>
          </w:p>
        </w:tc>
        <w:tc>
          <w:tcPr>
            <w:tcW w:w="60" w:type="dxa"/>
            <w:vAlign w:val="bottom"/>
          </w:tcPr>
          <w:p>
            <w:pPr>
              <w:spacing w:after="0"/>
              <w:rPr>
                <w:sz w:val="15"/>
                <w:szCs w:val="15"/>
                <w:color w:val="auto"/>
              </w:rPr>
            </w:pPr>
          </w:p>
        </w:tc>
        <w:tc>
          <w:tcPr>
            <w:tcW w:w="86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7"/>
                <w:szCs w:val="17"/>
                <w:color w:val="auto"/>
                <w:w w:val="96"/>
              </w:rPr>
              <w:t>controlling</w:t>
            </w:r>
          </w:p>
        </w:tc>
        <w:tc>
          <w:tcPr>
            <w:tcW w:w="0" w:type="dxa"/>
            <w:vAlign w:val="bottom"/>
          </w:tcPr>
          <w:p>
            <w:pPr>
              <w:spacing w:after="0"/>
              <w:rPr>
                <w:sz w:val="1"/>
                <w:szCs w:val="1"/>
                <w:color w:val="auto"/>
              </w:rPr>
            </w:pPr>
          </w:p>
        </w:tc>
      </w:tr>
      <w:tr>
        <w:trPr>
          <w:trHeight w:val="211"/>
        </w:trPr>
        <w:tc>
          <w:tcPr>
            <w:tcW w:w="138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earnings</w:t>
            </w: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interests</w:t>
            </w:r>
          </w:p>
        </w:tc>
        <w:tc>
          <w:tcPr>
            <w:tcW w:w="180" w:type="dxa"/>
            <w:vAlign w:val="bottom"/>
          </w:tcPr>
          <w:p>
            <w:pPr>
              <w:spacing w:after="0"/>
              <w:rPr>
                <w:sz w:val="18"/>
                <w:szCs w:val="18"/>
                <w:color w:val="auto"/>
              </w:rPr>
            </w:pPr>
          </w:p>
        </w:tc>
        <w:tc>
          <w:tcPr>
            <w:tcW w:w="780" w:type="dxa"/>
            <w:vAlign w:val="bottom"/>
            <w:tcBorders>
              <w:right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Equity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center"/>
              <w:ind w:right="57"/>
              <w:spacing w:after="0"/>
              <w:rPr>
                <w:sz w:val="20"/>
                <w:szCs w:val="20"/>
                <w:color w:val="auto"/>
              </w:rPr>
            </w:pPr>
            <w:r>
              <w:rPr>
                <w:rFonts w:ascii="Times New Roman" w:cs="Times New Roman" w:eastAsia="Times New Roman" w:hAnsi="Times New Roman"/>
                <w:sz w:val="17"/>
                <w:szCs w:val="17"/>
                <w:color w:val="auto"/>
                <w:w w:val="98"/>
              </w:rPr>
              <w:t>interests</w:t>
            </w:r>
          </w:p>
        </w:tc>
        <w:tc>
          <w:tcPr>
            <w:tcW w:w="0" w:type="dxa"/>
            <w:vAlign w:val="bottom"/>
          </w:tcPr>
          <w:p>
            <w:pPr>
              <w:spacing w:after="0"/>
              <w:rPr>
                <w:sz w:val="1"/>
                <w:szCs w:val="1"/>
                <w:color w:val="auto"/>
              </w:rPr>
            </w:pPr>
          </w:p>
        </w:tc>
      </w:tr>
      <w:tr>
        <w:trPr>
          <w:trHeight w:val="142"/>
        </w:trPr>
        <w:tc>
          <w:tcPr>
            <w:tcW w:w="1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3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7"/>
                <w:szCs w:val="17"/>
                <w:b w:val="1"/>
                <w:bCs w:val="1"/>
                <w:color w:val="auto"/>
              </w:rPr>
              <w:t>2020, as</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b w:val="1"/>
                <w:bCs w:val="1"/>
                <w:color w:val="auto"/>
              </w:rPr>
              <w:t>previously</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8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$ 49,170</w:t>
            </w:r>
          </w:p>
        </w:tc>
        <w:tc>
          <w:tcPr>
            <w:tcW w:w="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2"/>
              </w:rPr>
              <w:t>(25,396)</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6,685</w:t>
            </w:r>
          </w:p>
        </w:tc>
        <w:tc>
          <w:tcPr>
            <w:tcW w:w="6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30,459</w:t>
            </w:r>
          </w:p>
        </w:tc>
        <w:tc>
          <w:tcPr>
            <w:tcW w:w="6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reported</w:t>
            </w: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tcBorders>
              <w:right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Retroactive</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8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application of</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recapitalization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(49,170)</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142,377,450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23,760</w:t>
            </w:r>
          </w:p>
        </w:tc>
        <w:tc>
          <w:tcPr>
            <w:tcW w:w="0" w:type="dxa"/>
            <w:vAlign w:val="bottom"/>
          </w:tcPr>
          <w:p>
            <w:pPr>
              <w:spacing w:after="0"/>
              <w:rPr>
                <w:sz w:val="1"/>
                <w:szCs w:val="1"/>
                <w:color w:val="auto"/>
              </w:rPr>
            </w:pPr>
          </w:p>
        </w:tc>
      </w:tr>
      <w:tr>
        <w:trPr>
          <w:trHeight w:val="142"/>
        </w:trPr>
        <w:tc>
          <w:tcPr>
            <w:tcW w:w="1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2020, as adjusted</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142,377,450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6,699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23,760</w:t>
            </w:r>
          </w:p>
        </w:tc>
        <w:tc>
          <w:tcPr>
            <w:tcW w:w="0" w:type="dxa"/>
            <w:vAlign w:val="bottom"/>
          </w:tcPr>
          <w:p>
            <w:pPr>
              <w:spacing w:after="0"/>
              <w:rPr>
                <w:sz w:val="1"/>
                <w:szCs w:val="1"/>
                <w:color w:val="auto"/>
              </w:rPr>
            </w:pPr>
          </w:p>
        </w:tc>
      </w:tr>
      <w:tr>
        <w:trPr>
          <w:trHeight w:val="204"/>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Issuance of non-</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redeemable non-</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controlling interest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6,223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3,808</w:t>
            </w:r>
          </w:p>
        </w:tc>
        <w:tc>
          <w:tcPr>
            <w:tcW w:w="0" w:type="dxa"/>
            <w:vAlign w:val="bottom"/>
          </w:tcPr>
          <w:p>
            <w:pPr>
              <w:spacing w:after="0"/>
              <w:rPr>
                <w:sz w:val="1"/>
                <w:szCs w:val="1"/>
                <w:color w:val="auto"/>
              </w:rPr>
            </w:pPr>
          </w:p>
        </w:tc>
      </w:tr>
      <w:tr>
        <w:trPr>
          <w:trHeight w:val="162"/>
        </w:trPr>
        <w:tc>
          <w:tcPr>
            <w:tcW w:w="138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Contributions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8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from redeemable</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80" w:type="dxa"/>
            <w:vAlign w:val="bottom"/>
          </w:tcPr>
          <w:p>
            <w:pPr>
              <w:spacing w:after="0" w:line="166" w:lineRule="exact"/>
              <w:rPr>
                <w:sz w:val="20"/>
                <w:szCs w:val="20"/>
                <w:color w:val="auto"/>
              </w:rPr>
            </w:pPr>
            <w:r>
              <w:rPr>
                <w:rFonts w:ascii="Times New Roman" w:cs="Times New Roman" w:eastAsia="Times New Roman" w:hAnsi="Times New Roman"/>
                <w:sz w:val="17"/>
                <w:szCs w:val="17"/>
                <w:color w:val="auto"/>
              </w:rPr>
              <w:t>non-controlling</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4"/>
                <w:szCs w:val="14"/>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78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1,766</w:t>
            </w:r>
          </w:p>
        </w:tc>
        <w:tc>
          <w:tcPr>
            <w:tcW w:w="0" w:type="dxa"/>
            <w:vAlign w:val="bottom"/>
          </w:tcPr>
          <w:p>
            <w:pPr>
              <w:spacing w:after="0"/>
              <w:rPr>
                <w:sz w:val="1"/>
                <w:szCs w:val="1"/>
                <w:color w:val="auto"/>
              </w:rPr>
            </w:pPr>
          </w:p>
        </w:tc>
      </w:tr>
      <w:tr>
        <w:trPr>
          <w:trHeight w:val="211"/>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interests</w:t>
            </w:r>
          </w:p>
        </w:tc>
        <w:tc>
          <w:tcPr>
            <w:tcW w:w="5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Distributions to</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redeemable non-</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controlling</w:t>
            </w: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(2,103)</w:t>
            </w:r>
          </w:p>
        </w:tc>
        <w:tc>
          <w:tcPr>
            <w:tcW w:w="0" w:type="dxa"/>
            <w:vAlign w:val="bottom"/>
          </w:tcPr>
          <w:p>
            <w:pPr>
              <w:spacing w:after="0"/>
              <w:rPr>
                <w:sz w:val="1"/>
                <w:szCs w:val="1"/>
                <w:color w:val="auto"/>
              </w:rPr>
            </w:pPr>
          </w:p>
        </w:tc>
      </w:tr>
      <w:tr>
        <w:trPr>
          <w:trHeight w:val="211"/>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interests</w:t>
            </w:r>
          </w:p>
        </w:tc>
        <w:tc>
          <w:tcPr>
            <w:tcW w:w="56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Stock-based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compensation</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04"/>
        </w:trPr>
        <w:tc>
          <w:tcPr>
            <w:tcW w:w="1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March 31, 2021</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142,377,450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12,820</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12,834</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26,964</w:t>
            </w:r>
          </w:p>
        </w:tc>
        <w:tc>
          <w:tcPr>
            <w:tcW w:w="0" w:type="dxa"/>
            <w:vAlign w:val="bottom"/>
          </w:tcPr>
          <w:p>
            <w:pPr>
              <w:spacing w:after="0"/>
              <w:rPr>
                <w:sz w:val="1"/>
                <w:szCs w:val="1"/>
                <w:color w:val="auto"/>
              </w:rPr>
            </w:pPr>
          </w:p>
        </w:tc>
      </w:tr>
      <w:tr>
        <w:trPr>
          <w:trHeight w:val="204"/>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18,802</w:t>
            </w: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Issuance of non-</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redeemable non-</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controlling interest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5,171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2"/>
        </w:trPr>
        <w:tc>
          <w:tcPr>
            <w:tcW w:w="138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Contributions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8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from redeemable</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80" w:type="dxa"/>
            <w:vAlign w:val="bottom"/>
          </w:tcPr>
          <w:p>
            <w:pPr>
              <w:spacing w:after="0" w:line="166" w:lineRule="exact"/>
              <w:rPr>
                <w:sz w:val="20"/>
                <w:szCs w:val="20"/>
                <w:color w:val="auto"/>
              </w:rPr>
            </w:pPr>
            <w:r>
              <w:rPr>
                <w:rFonts w:ascii="Times New Roman" w:cs="Times New Roman" w:eastAsia="Times New Roman" w:hAnsi="Times New Roman"/>
                <w:sz w:val="17"/>
                <w:szCs w:val="17"/>
                <w:color w:val="auto"/>
              </w:rPr>
              <w:t>non-controlling</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4"/>
                <w:szCs w:val="14"/>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78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5,756</w:t>
            </w:r>
          </w:p>
        </w:tc>
        <w:tc>
          <w:tcPr>
            <w:tcW w:w="0" w:type="dxa"/>
            <w:vAlign w:val="bottom"/>
          </w:tcPr>
          <w:p>
            <w:pPr>
              <w:spacing w:after="0"/>
              <w:rPr>
                <w:sz w:val="1"/>
                <w:szCs w:val="1"/>
                <w:color w:val="auto"/>
              </w:rPr>
            </w:pPr>
          </w:p>
        </w:tc>
      </w:tr>
      <w:tr>
        <w:trPr>
          <w:trHeight w:val="211"/>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interests</w:t>
            </w:r>
          </w:p>
        </w:tc>
        <w:tc>
          <w:tcPr>
            <w:tcW w:w="5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Distributions to</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redeemable non-</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controlling</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(1,592)</w:t>
            </w:r>
          </w:p>
        </w:tc>
        <w:tc>
          <w:tcPr>
            <w:tcW w:w="0" w:type="dxa"/>
            <w:vAlign w:val="bottom"/>
          </w:tcPr>
          <w:p>
            <w:pPr>
              <w:spacing w:after="0"/>
              <w:rPr>
                <w:sz w:val="1"/>
                <w:szCs w:val="1"/>
                <w:color w:val="auto"/>
              </w:rPr>
            </w:pPr>
          </w:p>
        </w:tc>
      </w:tr>
      <w:tr>
        <w:trPr>
          <w:trHeight w:val="211"/>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Stock-based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compensation</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04"/>
        </w:trPr>
        <w:tc>
          <w:tcPr>
            <w:tcW w:w="1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June 30, 2021</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142,377,450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17,881</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17,895</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50,090</w:t>
            </w:r>
          </w:p>
        </w:tc>
        <w:tc>
          <w:tcPr>
            <w:tcW w:w="0" w:type="dxa"/>
            <w:vAlign w:val="bottom"/>
          </w:tcPr>
          <w:p>
            <w:pPr>
              <w:spacing w:after="0"/>
              <w:rPr>
                <w:sz w:val="1"/>
                <w:szCs w:val="1"/>
                <w:color w:val="auto"/>
              </w:rPr>
            </w:pPr>
          </w:p>
        </w:tc>
      </w:tr>
      <w:tr>
        <w:trPr>
          <w:trHeight w:val="204"/>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Issuance of non-</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redeemable non-</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controlling interest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27,545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27,545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(4,523)</w:t>
            </w:r>
          </w:p>
        </w:tc>
        <w:tc>
          <w:tcPr>
            <w:tcW w:w="0" w:type="dxa"/>
            <w:vAlign w:val="bottom"/>
          </w:tcPr>
          <w:p>
            <w:pPr>
              <w:spacing w:after="0"/>
              <w:rPr>
                <w:sz w:val="1"/>
                <w:szCs w:val="1"/>
                <w:color w:val="auto"/>
              </w:rPr>
            </w:pPr>
          </w:p>
        </w:tc>
      </w:tr>
      <w:tr>
        <w:trPr>
          <w:trHeight w:val="162"/>
        </w:trPr>
        <w:tc>
          <w:tcPr>
            <w:tcW w:w="138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Contributions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8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from redeemable</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80" w:type="dxa"/>
            <w:vAlign w:val="bottom"/>
          </w:tcPr>
          <w:p>
            <w:pPr>
              <w:spacing w:after="0" w:line="166" w:lineRule="exact"/>
              <w:rPr>
                <w:sz w:val="20"/>
                <w:szCs w:val="20"/>
                <w:color w:val="auto"/>
              </w:rPr>
            </w:pPr>
            <w:r>
              <w:rPr>
                <w:rFonts w:ascii="Times New Roman" w:cs="Times New Roman" w:eastAsia="Times New Roman" w:hAnsi="Times New Roman"/>
                <w:sz w:val="17"/>
                <w:szCs w:val="17"/>
                <w:color w:val="auto"/>
              </w:rPr>
              <w:t>non-controlling</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4"/>
                <w:szCs w:val="14"/>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78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0" w:type="dxa"/>
            <w:vAlign w:val="bottom"/>
          </w:tcPr>
          <w:p>
            <w:pPr>
              <w:spacing w:after="0"/>
              <w:rPr>
                <w:sz w:val="1"/>
                <w:szCs w:val="1"/>
                <w:color w:val="auto"/>
              </w:rPr>
            </w:pPr>
          </w:p>
        </w:tc>
      </w:tr>
      <w:tr>
        <w:trPr>
          <w:trHeight w:val="211"/>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interests</w:t>
            </w:r>
          </w:p>
        </w:tc>
        <w:tc>
          <w:tcPr>
            <w:tcW w:w="5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Stock-based</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142"/>
        </w:trPr>
        <w:tc>
          <w:tcPr>
            <w:tcW w:w="1380" w:type="dxa"/>
            <w:vAlign w:val="bottom"/>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vMerge w:val="restart"/>
          </w:tcPr>
          <w:p>
            <w:pPr>
              <w:jc w:val="center"/>
              <w:ind w:right="1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6"/>
              </w:rPr>
              <w:t>142,377,450</w:t>
            </w:r>
          </w:p>
        </w:tc>
        <w:tc>
          <w:tcPr>
            <w:tcW w:w="80" w:type="dxa"/>
            <w:vAlign w:val="bottom"/>
          </w:tcPr>
          <w:p>
            <w:pPr>
              <w:spacing w:after="0"/>
              <w:rPr>
                <w:sz w:val="12"/>
                <w:szCs w:val="12"/>
                <w:color w:val="auto"/>
              </w:rPr>
            </w:pPr>
          </w:p>
        </w:tc>
        <w:tc>
          <w:tcPr>
            <w:tcW w:w="240" w:type="dxa"/>
            <w:vAlign w:val="bottom"/>
            <w:vMerge w:val="restart"/>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45,210</w:t>
            </w:r>
          </w:p>
        </w:tc>
        <w:tc>
          <w:tcPr>
            <w:tcW w:w="6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45,224</w:t>
            </w:r>
          </w:p>
        </w:tc>
        <w:tc>
          <w:tcPr>
            <w:tcW w:w="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47,112</w:t>
            </w:r>
          </w:p>
        </w:tc>
        <w:tc>
          <w:tcPr>
            <w:tcW w:w="0" w:type="dxa"/>
            <w:vAlign w:val="bottom"/>
          </w:tcPr>
          <w:p>
            <w:pPr>
              <w:spacing w:after="0"/>
              <w:rPr>
                <w:sz w:val="1"/>
                <w:szCs w:val="1"/>
                <w:color w:val="auto"/>
              </w:rPr>
            </w:pPr>
          </w:p>
        </w:tc>
      </w:tr>
      <w:tr>
        <w:trPr>
          <w:trHeight w:val="199"/>
        </w:trPr>
        <w:tc>
          <w:tcPr>
            <w:tcW w:w="1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2021</w:t>
            </w:r>
          </w:p>
        </w:tc>
        <w:tc>
          <w:tcPr>
            <w:tcW w:w="56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ectPr>
          <w:pgSz w:w="11900" w:h="16838" w:orient="portrait"/>
          <w:cols w:equalWidth="0" w:num="1">
            <w:col w:w="9019"/>
          </w:cols>
          <w:pgMar w:left="1440" w:top="1440"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OPAL FUELS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1"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5"/>
          <w:szCs w:val="15"/>
          <w:b w:val="1"/>
          <w:bCs w:val="1"/>
          <w:color w:val="auto"/>
        </w:rPr>
        <w:t>Nine Months Ended</w:t>
      </w:r>
    </w:p>
    <w:p>
      <w:pPr>
        <w:jc w:val="center"/>
        <w:ind w:left="814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5"/>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1"/>
        </w:trPr>
        <w:tc>
          <w:tcPr>
            <w:tcW w:w="8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65"/>
              <w:spacing w:after="0"/>
              <w:rPr>
                <w:sz w:val="20"/>
                <w:szCs w:val="20"/>
                <w:color w:val="auto"/>
              </w:rPr>
            </w:pPr>
            <w:r>
              <w:rPr>
                <w:rFonts w:ascii="Times New Roman" w:cs="Times New Roman" w:eastAsia="Times New Roman" w:hAnsi="Times New Roman"/>
                <w:sz w:val="15"/>
                <w:szCs w:val="15"/>
                <w:color w:val="auto"/>
              </w:rPr>
              <w:t>(Restated)</w:t>
            </w:r>
          </w:p>
        </w:tc>
      </w:tr>
      <w:tr>
        <w:trPr>
          <w:trHeight w:val="197"/>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340" w:type="dxa"/>
            <w:vAlign w:val="bottom"/>
            <w:tcBorders>
              <w:bottom w:val="single" w:sz="8" w:color="CCEEFF"/>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18,950</w:t>
            </w: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(used in) provided by operating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Income from equity method investments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(2,392)</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6,510</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of deferred financing costs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678</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Amortization of PPA liability</w:t>
            </w:r>
          </w:p>
        </w:tc>
        <w:tc>
          <w:tcPr>
            <w:tcW w:w="3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Accretion expense related to asset retirement obligation</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Stock-based compensation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Paid-in-kind interest income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Change in fair value of Convertible Note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2,250</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Unrealized loss on derivative financial instruments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1,553</w:t>
            </w:r>
          </w:p>
        </w:tc>
      </w:tr>
      <w:tr>
        <w:trPr>
          <w:trHeight w:val="221"/>
        </w:trPr>
        <w:tc>
          <w:tcPr>
            <w:tcW w:w="8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Gain on extinguishment of contingent liability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7"/>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Gain on repayment of Note receivable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1"/>
        </w:trPr>
        <w:tc>
          <w:tcPr>
            <w:tcW w:w="8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Gain on acquisition of equity method investment</w:t>
            </w: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(19,818)</w:t>
            </w:r>
          </w:p>
        </w:tc>
      </w:tr>
      <w:tr>
        <w:trPr>
          <w:trHeight w:val="207"/>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operating assets and liabilities, net of effects of businesses acquired:</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(11,269)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received on previously recorded paid-in-kind interest income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Fuel tax credits receivable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Capital spares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1,608</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Brown gas and parts inventory</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Environmental credits held for sale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(1,086)</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Prepaid expense and other current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1,348</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Contract assets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(1,725)</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6,970</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 related party</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1,268</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Fuel tax credits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1,545</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payroll</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(549)</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expenses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8,561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3,672</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current and non-current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8,794</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Contract liabilities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31"/>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provided by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(22,289)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28,897</w:t>
            </w:r>
          </w:p>
        </w:tc>
      </w:tr>
      <w:tr>
        <w:trPr>
          <w:trHeight w:val="177"/>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Purchase of property, plant, and equipment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(84,949)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(63,393)</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acquired on acquisition of equity method investment</w:t>
            </w:r>
          </w:p>
        </w:tc>
        <w:tc>
          <w:tcPr>
            <w:tcW w:w="3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1,955</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paid for short term investments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(146,936)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paid for investment in other entity</w:t>
            </w:r>
          </w:p>
        </w:tc>
        <w:tc>
          <w:tcPr>
            <w:tcW w:w="3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(1,570)</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Purchase of Note receivable</w:t>
            </w:r>
          </w:p>
        </w:tc>
        <w:tc>
          <w:tcPr>
            <w:tcW w:w="3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(10,450)</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received from repayment of Note receivable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10,855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Distributions received from equity method investment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3,695</w:t>
            </w:r>
          </w:p>
        </w:tc>
      </w:tr>
      <w:tr>
        <w:trPr>
          <w:trHeight w:val="186"/>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(218,930)</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(69,763)</w:t>
            </w:r>
          </w:p>
        </w:tc>
      </w:tr>
      <w:tr>
        <w:trPr>
          <w:trHeight w:val="31"/>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Sunoma loan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14,191</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OPAL Term Loan</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27,500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received from Business Combination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138,850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Financing costs paid to other third parties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Repayment of Senior Secured Credit Facility</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(3,835)</w:t>
            </w: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ectPr>
          <w:pgSz w:w="11900" w:h="16838" w:orient="portrait"/>
          <w:cols w:equalWidth="0" w:num="1">
            <w:col w:w="11240"/>
          </w:cols>
          <w:pgMar w:left="320" w:top="86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4"/>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Repayment of OPAL Term Loan</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(11,277)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Repayment of Municipality loan</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sale of non-redeemable non-controlling interest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23,152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21,579</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sale of non-controlling interest, related party</w:t>
            </w:r>
          </w:p>
        </w:tc>
        <w:tc>
          <w:tcPr>
            <w:tcW w:w="5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16,645</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issuance of redeemable preferred units</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Contributions from members</w:t>
            </w:r>
          </w:p>
        </w:tc>
        <w:tc>
          <w:tcPr>
            <w:tcW w:w="5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7,919</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Distributions to members</w:t>
            </w:r>
          </w:p>
        </w:tc>
        <w:tc>
          <w:tcPr>
            <w:tcW w:w="5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(3,695)</w:t>
            </w:r>
          </w:p>
        </w:tc>
        <w:tc>
          <w:tcPr>
            <w:tcW w:w="0" w:type="dxa"/>
            <w:vAlign w:val="bottom"/>
          </w:tcPr>
          <w:p>
            <w:pPr>
              <w:spacing w:after="0"/>
              <w:rPr>
                <w:sz w:val="1"/>
                <w:szCs w:val="1"/>
                <w:color w:val="auto"/>
              </w:rPr>
            </w:pPr>
          </w:p>
        </w:tc>
      </w:tr>
      <w:tr>
        <w:trPr>
          <w:trHeight w:val="186"/>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270,525</w:t>
            </w: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52,729</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increase in cash, restricted cash, and cash equivalents</w:t>
            </w: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29,306</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11,863</w:t>
            </w:r>
          </w:p>
        </w:tc>
        <w:tc>
          <w:tcPr>
            <w:tcW w:w="0" w:type="dxa"/>
            <w:vAlign w:val="bottom"/>
          </w:tcPr>
          <w:p>
            <w:pPr>
              <w:spacing w:after="0"/>
              <w:rPr>
                <w:sz w:val="1"/>
                <w:szCs w:val="1"/>
                <w:color w:val="auto"/>
              </w:rPr>
            </w:pPr>
          </w:p>
        </w:tc>
      </w:tr>
      <w:tr>
        <w:trPr>
          <w:trHeight w:val="186"/>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restricted cash, and cash equivalents, beginning of period</w:t>
            </w:r>
          </w:p>
        </w:tc>
        <w:tc>
          <w:tcPr>
            <w:tcW w:w="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42,054</w:t>
            </w: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15,388</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restricted cash, and cash equivalents, end of period</w:t>
            </w: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71,360</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27,251</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1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paid, net of $— and $531 capitalized, respectively</w:t>
            </w:r>
          </w:p>
        </w:tc>
        <w:tc>
          <w:tcPr>
            <w:tcW w:w="520" w:type="dxa"/>
            <w:vAlign w:val="bottom"/>
            <w:tcBorders>
              <w:bottom w:val="single" w:sz="8" w:color="CCEEFF"/>
            </w:tcBorders>
            <w:shd w:val="clear" w:color="auto" w:fill="CCEEFF"/>
          </w:tcPr>
          <w:p>
            <w:pPr>
              <w:jc w:val="right"/>
              <w:ind w:right="365"/>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7,013</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5"/>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2,405</w:t>
            </w:r>
          </w:p>
        </w:tc>
        <w:tc>
          <w:tcPr>
            <w:tcW w:w="0" w:type="dxa"/>
            <w:vAlign w:val="bottom"/>
          </w:tcPr>
          <w:p>
            <w:pPr>
              <w:spacing w:after="0"/>
              <w:rPr>
                <w:sz w:val="1"/>
                <w:szCs w:val="1"/>
                <w:color w:val="auto"/>
              </w:rPr>
            </w:pPr>
          </w:p>
        </w:tc>
      </w:tr>
      <w:tr>
        <w:trPr>
          <w:trHeight w:val="197"/>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Convertible Note Payable related to business acquisition, excluding paid-in-kind interest</w:t>
            </w:r>
          </w:p>
        </w:tc>
        <w:tc>
          <w:tcPr>
            <w:tcW w:w="520" w:type="dxa"/>
            <w:vAlign w:val="bottom"/>
            <w:shd w:val="clear" w:color="auto" w:fill="CCEEFF"/>
          </w:tcPr>
          <w:p>
            <w:pPr>
              <w:jc w:val="right"/>
              <w:ind w:right="365"/>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55,410</w:t>
            </w:r>
          </w:p>
        </w:tc>
        <w:tc>
          <w:tcPr>
            <w:tcW w:w="0" w:type="dxa"/>
            <w:vAlign w:val="bottom"/>
          </w:tcPr>
          <w:p>
            <w:pPr>
              <w:spacing w:after="0"/>
              <w:rPr>
                <w:sz w:val="1"/>
                <w:szCs w:val="1"/>
                <w:color w:val="auto"/>
              </w:rPr>
            </w:pPr>
          </w:p>
        </w:tc>
      </w:tr>
      <w:tr>
        <w:trPr>
          <w:trHeight w:val="215"/>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Fair value of Class A common stock issued for redemption of Convertible Note Payable</w:t>
            </w:r>
          </w:p>
        </w:tc>
        <w:tc>
          <w:tcPr>
            <w:tcW w:w="520" w:type="dxa"/>
            <w:vAlign w:val="bottom"/>
          </w:tcPr>
          <w:p>
            <w:pPr>
              <w:jc w:val="right"/>
              <w:ind w:right="365"/>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30,595</w:t>
            </w:r>
          </w:p>
        </w:tc>
        <w:tc>
          <w:tcPr>
            <w:tcW w:w="120" w:type="dxa"/>
            <w:vAlign w:val="bottom"/>
          </w:tcPr>
          <w:p>
            <w:pPr>
              <w:spacing w:after="0"/>
              <w:rPr>
                <w:sz w:val="18"/>
                <w:szCs w:val="18"/>
                <w:color w:val="auto"/>
              </w:rPr>
            </w:pPr>
          </w:p>
        </w:tc>
        <w:tc>
          <w:tcPr>
            <w:tcW w:w="560" w:type="dxa"/>
            <w:vAlign w:val="bottom"/>
          </w:tcPr>
          <w:p>
            <w:pPr>
              <w:jc w:val="right"/>
              <w:ind w:right="405"/>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of Derivative warrant liabilities assumed related to Business Combination</w:t>
            </w:r>
          </w:p>
        </w:tc>
        <w:tc>
          <w:tcPr>
            <w:tcW w:w="520" w:type="dxa"/>
            <w:vAlign w:val="bottom"/>
            <w:shd w:val="clear" w:color="auto" w:fill="CCEEFF"/>
          </w:tcPr>
          <w:p>
            <w:pPr>
              <w:jc w:val="right"/>
              <w:ind w:right="365"/>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13,524</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5"/>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Fair value of Earnout liabilities related to Business Combination</w:t>
            </w:r>
          </w:p>
        </w:tc>
        <w:tc>
          <w:tcPr>
            <w:tcW w:w="520" w:type="dxa"/>
            <w:vAlign w:val="bottom"/>
          </w:tcPr>
          <w:p>
            <w:pPr>
              <w:jc w:val="right"/>
              <w:ind w:right="365"/>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45,900</w:t>
            </w:r>
          </w:p>
        </w:tc>
        <w:tc>
          <w:tcPr>
            <w:tcW w:w="120" w:type="dxa"/>
            <w:vAlign w:val="bottom"/>
          </w:tcPr>
          <w:p>
            <w:pPr>
              <w:spacing w:after="0"/>
              <w:rPr>
                <w:sz w:val="18"/>
                <w:szCs w:val="18"/>
                <w:color w:val="auto"/>
              </w:rPr>
            </w:pPr>
          </w:p>
        </w:tc>
        <w:tc>
          <w:tcPr>
            <w:tcW w:w="560" w:type="dxa"/>
            <w:vAlign w:val="bottom"/>
          </w:tcPr>
          <w:p>
            <w:pPr>
              <w:jc w:val="right"/>
              <w:ind w:right="405"/>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of put option on a forward purchase agreement related to Business Combination</w:t>
            </w:r>
          </w:p>
        </w:tc>
        <w:tc>
          <w:tcPr>
            <w:tcW w:w="520" w:type="dxa"/>
            <w:vAlign w:val="bottom"/>
            <w:shd w:val="clear" w:color="auto" w:fill="CCEEFF"/>
          </w:tcPr>
          <w:p>
            <w:pPr>
              <w:jc w:val="right"/>
              <w:ind w:right="365"/>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4,600</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5"/>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Fair value of contingent consideration to redeem the non-controlling interest included in other long-term liabilities</w:t>
            </w:r>
          </w:p>
        </w:tc>
        <w:tc>
          <w:tcPr>
            <w:tcW w:w="520" w:type="dxa"/>
            <w:vAlign w:val="bottom"/>
          </w:tcPr>
          <w:p>
            <w:pPr>
              <w:jc w:val="right"/>
              <w:ind w:right="365"/>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120" w:type="dxa"/>
            <w:vAlign w:val="bottom"/>
          </w:tcPr>
          <w:p>
            <w:pPr>
              <w:spacing w:after="0"/>
              <w:rPr>
                <w:sz w:val="18"/>
                <w:szCs w:val="18"/>
                <w:color w:val="auto"/>
              </w:rPr>
            </w:pPr>
          </w:p>
        </w:tc>
        <w:tc>
          <w:tcPr>
            <w:tcW w:w="560" w:type="dxa"/>
            <w:vAlign w:val="bottom"/>
          </w:tcPr>
          <w:p>
            <w:pPr>
              <w:jc w:val="right"/>
              <w:ind w:right="405"/>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Paid-in-kind dividend on redeemable preferred non-controlling interests</w:t>
            </w:r>
          </w:p>
        </w:tc>
        <w:tc>
          <w:tcPr>
            <w:tcW w:w="520" w:type="dxa"/>
            <w:vAlign w:val="bottom"/>
            <w:tcBorders>
              <w:bottom w:val="single" w:sz="8" w:color="CCEEFF"/>
            </w:tcBorders>
            <w:shd w:val="clear" w:color="auto" w:fill="CCEEFF"/>
          </w:tcPr>
          <w:p>
            <w:pPr>
              <w:jc w:val="right"/>
              <w:ind w:right="365"/>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5,093</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05"/>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Accrual for purchase of Property, plant and equipment included in Accounts payable and Accrued capital expenses</w:t>
            </w:r>
          </w:p>
        </w:tc>
        <w:tc>
          <w:tcPr>
            <w:tcW w:w="520" w:type="dxa"/>
            <w:vAlign w:val="bottom"/>
          </w:tcPr>
          <w:p>
            <w:pPr>
              <w:jc w:val="right"/>
              <w:ind w:right="365"/>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9,284</w:t>
            </w:r>
          </w:p>
        </w:tc>
        <w:tc>
          <w:tcPr>
            <w:tcW w:w="120" w:type="dxa"/>
            <w:vAlign w:val="bottom"/>
          </w:tcPr>
          <w:p>
            <w:pPr>
              <w:spacing w:after="0"/>
              <w:rPr>
                <w:sz w:val="16"/>
                <w:szCs w:val="16"/>
                <w:color w:val="auto"/>
              </w:rPr>
            </w:pPr>
          </w:p>
        </w:tc>
        <w:tc>
          <w:tcPr>
            <w:tcW w:w="560" w:type="dxa"/>
            <w:vAlign w:val="bottom"/>
          </w:tcPr>
          <w:p>
            <w:pPr>
              <w:jc w:val="right"/>
              <w:ind w:right="405"/>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789</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Accrual for deferred financing costs included in Accrued expenses and other current liabilities</w:t>
            </w:r>
          </w:p>
        </w:tc>
        <w:tc>
          <w:tcPr>
            <w:tcW w:w="520" w:type="dxa"/>
            <w:vAlign w:val="bottom"/>
            <w:shd w:val="clear" w:color="auto" w:fill="CCEEFF"/>
          </w:tcPr>
          <w:p>
            <w:pPr>
              <w:jc w:val="right"/>
              <w:ind w:right="365"/>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8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ectPr>
          <w:pgSz w:w="11900" w:h="16838" w:orient="portrait"/>
          <w:cols w:equalWidth="0" w:num="1">
            <w:col w:w="11240"/>
          </w:cols>
          <w:pgMar w:left="320" w:top="910" w:right="339" w:bottom="1440" w:gutter="0" w:footer="0" w:header="0"/>
        </w:sectPr>
      </w:pPr>
    </w:p>
    <w:bookmarkStart w:id="14" w:name="page15"/>
    <w:bookmarkEnd w:id="14"/>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Description of Business</w:t>
      </w:r>
    </w:p>
    <w:p>
      <w:pPr>
        <w:spacing w:after="0" w:line="231" w:lineRule="exact"/>
        <w:rPr>
          <w:sz w:val="20"/>
          <w:szCs w:val="20"/>
          <w:color w:val="auto"/>
        </w:rPr>
      </w:pPr>
    </w:p>
    <w:p>
      <w:pPr>
        <w:jc w:val="both"/>
        <w:ind w:firstLine="298"/>
        <w:spacing w:after="0" w:line="248" w:lineRule="auto"/>
        <w:rPr>
          <w:sz w:val="20"/>
          <w:szCs w:val="20"/>
          <w:color w:val="auto"/>
        </w:rPr>
      </w:pPr>
      <w:r>
        <w:rPr>
          <w:rFonts w:ascii="Times New Roman" w:cs="Times New Roman" w:eastAsia="Times New Roman" w:hAnsi="Times New Roman"/>
          <w:sz w:val="17"/>
          <w:szCs w:val="17"/>
          <w:color w:val="auto"/>
        </w:rPr>
        <w:t>OPAL Fuels Inc. (including its subsidiaries, the "Company", “OPAL,” “we,” “us” or “our”) is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spacing w:after="0" w:line="202"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The Company (formerly known as ArcLight Clean Transition Corp. II) was incorporated as a Cayman Islands exempted company on January 13, 2021. The Company was incorporated for the purpose of effecting a merger, share exchange, asset acquisition, share purchase, reorganization or similar business combination with one or more businesses.</w:t>
      </w:r>
    </w:p>
    <w:p>
      <w:pPr>
        <w:spacing w:after="0" w:line="195" w:lineRule="exact"/>
        <w:rPr>
          <w:sz w:val="20"/>
          <w:szCs w:val="20"/>
          <w:color w:val="auto"/>
        </w:rPr>
      </w:pPr>
    </w:p>
    <w:p>
      <w:pPr>
        <w:jc w:val="both"/>
        <w:ind w:firstLine="298"/>
        <w:spacing w:after="0" w:line="250" w:lineRule="auto"/>
        <w:rPr>
          <w:sz w:val="20"/>
          <w:szCs w:val="20"/>
          <w:color w:val="auto"/>
        </w:rPr>
      </w:pPr>
      <w:r>
        <w:rPr>
          <w:rFonts w:ascii="Times New Roman" w:cs="Times New Roman" w:eastAsia="Times New Roman" w:hAnsi="Times New Roman"/>
          <w:sz w:val="17"/>
          <w:szCs w:val="17"/>
          <w:color w:val="auto"/>
        </w:rPr>
        <w:t>On December 2, 2021, the Company, OPAL HoldCo LLC ("OPAL Holdco") and OPAL Fuels LLC, a Delaware limited liability company ("OPAL Fuels"), entered into a business combination agreement (as it may be amended, supplemented or otherwise modified from time to time, the “Business Combination Agreement”). On July 21, 2022, we closed the Business Combination Agreement and consummated the transactions contemplated thereby (the “Business Combination”). The Business Combination Agreement and the Business Combination were unanimously approved by the boards of directors of the Company and OPAL Fuels, and also approved by OPAL Holdco, the sole member of OPAL Fuels.</w:t>
      </w:r>
    </w:p>
    <w:p>
      <w:pPr>
        <w:spacing w:after="0" w:line="200" w:lineRule="exact"/>
        <w:rPr>
          <w:sz w:val="20"/>
          <w:szCs w:val="20"/>
          <w:color w:val="auto"/>
        </w:rPr>
      </w:pPr>
    </w:p>
    <w:p>
      <w:pPr>
        <w:jc w:val="both"/>
        <w:ind w:firstLine="298"/>
        <w:spacing w:after="0" w:line="247" w:lineRule="auto"/>
        <w:rPr>
          <w:sz w:val="20"/>
          <w:szCs w:val="20"/>
          <w:color w:val="auto"/>
        </w:rPr>
      </w:pPr>
      <w:r>
        <w:rPr>
          <w:rFonts w:ascii="Times New Roman" w:cs="Times New Roman" w:eastAsia="Times New Roman" w:hAnsi="Times New Roman"/>
          <w:sz w:val="17"/>
          <w:szCs w:val="17"/>
          <w:color w:val="auto"/>
        </w:rPr>
        <w:t xml:space="preserve">Pursuant to the Business Combination Agreement, on July 21, 2022, (the "Closing Date"), Arclight changed its jurisdiction of incorporation by deregistering as a Cayman Islands exempted company and continuing and domesticating as a corporation incorporated under the laws of the State of Delaware (the "Domestication"). Following the Domestication, on July 21, 2022, Arclight changed its name to "OPAL Fuels Inc." and each outstanding ArcLight Class B ordinary share converted into one ArcLight Class A ordinary share, each outstanding ArcLight Class A ordinary share became one share of Class A common stock of the Company, par value $0.0001 per share (the “Class A common stock”), and each outstanding warrant to purchase one ArcLight Class A ordinary share became a warrant to purchase one share of the Company's Class A common stock at an exercise price of $11.50 per share. Following the consummation of the Business Combination on July 21, 2022, the Company was organized in an “Up-C” structure. The Company is the managing member of OPAL Fuels. OPAL Fuels directly or indirectly holds substantially all of the consolidated assets and business of the Company. Please see Note 3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xml:space="preserve"> for additional information.</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All amounts in these footnotes are presented in thousands of dollars except per share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COVID-19 Impact</w:t>
      </w:r>
    </w:p>
    <w:p>
      <w:pPr>
        <w:spacing w:after="0" w:line="132" w:lineRule="exact"/>
        <w:rPr>
          <w:sz w:val="20"/>
          <w:szCs w:val="20"/>
          <w:color w:val="auto"/>
        </w:rPr>
      </w:pPr>
    </w:p>
    <w:p>
      <w:pPr>
        <w:jc w:val="both"/>
        <w:ind w:firstLine="298"/>
        <w:spacing w:after="0" w:line="250" w:lineRule="auto"/>
        <w:rPr>
          <w:sz w:val="20"/>
          <w:szCs w:val="20"/>
          <w:color w:val="auto"/>
        </w:rPr>
      </w:pPr>
      <w:r>
        <w:rPr>
          <w:rFonts w:ascii="Times New Roman" w:cs="Times New Roman" w:eastAsia="Times New Roman" w:hAnsi="Times New Roman"/>
          <w:sz w:val="17"/>
          <w:szCs w:val="17"/>
          <w:color w:val="auto"/>
        </w:rPr>
        <w:t>In March 2020, the World Health Organization categorized the coronavirus disease 2019 ("COVID-19")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three and nine months ended September 30, 2022.</w:t>
      </w:r>
    </w:p>
    <w:p>
      <w:pPr>
        <w:spacing w:after="0" w:line="113"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The future impact of the COVID-19 pandemic on the Company's business will depend on a number of factors, including, but not limited to, the duration and severity of the pandemic and its impact on our customers, all of which are uncertain and cannot be predicted.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September 30, 2022, our liquidity consisted of cash and cash equivalents including restricted cash of $71,360 and short term investments of $146,936.</w:t>
      </w:r>
    </w:p>
    <w:p>
      <w:pPr>
        <w:spacing w:after="0" w:line="128" w:lineRule="exact"/>
        <w:rPr>
          <w:sz w:val="20"/>
          <w:szCs w:val="20"/>
          <w:color w:val="auto"/>
        </w:rPr>
      </w:pPr>
    </w:p>
    <w:p>
      <w:pPr>
        <w:jc w:val="both"/>
        <w:ind w:left="140" w:firstLine="298"/>
        <w:spacing w:after="0" w:line="252" w:lineRule="auto"/>
        <w:rPr>
          <w:sz w:val="20"/>
          <w:szCs w:val="20"/>
          <w:color w:val="auto"/>
        </w:rPr>
      </w:pPr>
      <w:r>
        <w:rPr>
          <w:rFonts w:ascii="Times New Roman" w:cs="Times New Roman" w:eastAsia="Times New Roman" w:hAnsi="Times New Roman"/>
          <w:sz w:val="17"/>
          <w:szCs w:val="17"/>
          <w:color w:val="auto"/>
        </w:rPr>
        <w:t>As of September 30, 2022, we had total indebtedness excluding the deferred financing costs of $219,987 which primarily consisted of $77,679 under the Senior Secured Credit Facility, $27,964 under the Convertible Note Payable, $91,223 under the OPAL Term Loan, $121 under the Municipality loan, and $23,000 under the Sunoma Loan. The amount outstanding under the Senior Secured Credit Facility is due to be repaid in December 2022 and therefore has been classified as a current liability.</w:t>
      </w:r>
    </w:p>
    <w:p>
      <w:pPr>
        <w:spacing w:after="0" w:line="111" w:lineRule="exact"/>
        <w:rPr>
          <w:sz w:val="20"/>
          <w:szCs w:val="20"/>
          <w:color w:val="auto"/>
        </w:rPr>
      </w:pPr>
    </w:p>
    <w:p>
      <w:pPr>
        <w:jc w:val="both"/>
        <w:ind w:left="140" w:firstLine="298"/>
        <w:spacing w:after="0" w:line="250" w:lineRule="auto"/>
        <w:rPr>
          <w:sz w:val="20"/>
          <w:szCs w:val="20"/>
          <w:color w:val="auto"/>
        </w:rPr>
      </w:pPr>
      <w:r>
        <w:rPr>
          <w:rFonts w:ascii="Times New Roman" w:cs="Times New Roman" w:eastAsia="Times New Roman" w:hAnsi="Times New Roman"/>
          <w:sz w:val="17"/>
          <w:szCs w:val="17"/>
          <w:color w:val="auto"/>
        </w:rPr>
        <w:t>In August 2022, we entered into a delayed draw term loan facility for $105,000 to fund the construction of new RNG facilities which is available for us to drawdown upon achievement of certain milestones. In July 2022, we received a redemption notice from Biotown Bio Gas LLC ("Biotown") for the Note receivable and the Company subsequently received $11,555 consisting of the principal balance $10,915, prepayment penalty of $546 and accrued interest of $94. Additionally, we have drawn $12,500 in September 2022 and $12,500 in October 2022 under the OPAL Term Loan following the commencement of operations of two additional RNG facilities. We entered into an amendment to the OPAL Term Loan to extend the commitment date to March 2023 for the remaining $10,000.</w:t>
      </w:r>
    </w:p>
    <w:p>
      <w:pPr>
        <w:spacing w:after="0" w:line="113" w:lineRule="exact"/>
        <w:rPr>
          <w:sz w:val="20"/>
          <w:szCs w:val="20"/>
          <w:color w:val="auto"/>
        </w:rPr>
      </w:pPr>
    </w:p>
    <w:p>
      <w:pPr>
        <w:jc w:val="both"/>
        <w:ind w:left="140" w:firstLine="298"/>
        <w:spacing w:after="0" w:line="300" w:lineRule="auto"/>
        <w:rPr>
          <w:sz w:val="20"/>
          <w:szCs w:val="20"/>
          <w:color w:val="auto"/>
        </w:rPr>
      </w:pPr>
      <w:r>
        <w:rPr>
          <w:rFonts w:ascii="Times New Roman" w:cs="Times New Roman" w:eastAsia="Times New Roman" w:hAnsi="Times New Roman"/>
          <w:sz w:val="16"/>
          <w:szCs w:val="16"/>
          <w:color w:val="auto"/>
        </w:rPr>
        <w:t>We expect that our available cash, together with our other assets, expected cash flows from operations, available lines of credit under various debt facilities and access to expected sources of capital will be sufficient to meet our existing commitments for a period of at least twelve months following the date of this report.</w:t>
      </w:r>
    </w:p>
    <w:p>
      <w:pPr>
        <w:spacing w:after="0" w:line="62" w:lineRule="exact"/>
        <w:rPr>
          <w:sz w:val="20"/>
          <w:szCs w:val="20"/>
          <w:color w:val="auto"/>
        </w:rPr>
      </w:pPr>
    </w:p>
    <w:p>
      <w:pPr>
        <w:jc w:val="both"/>
        <w:ind w:firstLine="298"/>
        <w:spacing w:after="0" w:line="250" w:lineRule="auto"/>
        <w:rPr>
          <w:sz w:val="20"/>
          <w:szCs w:val="20"/>
          <w:color w:val="auto"/>
        </w:rPr>
      </w:pPr>
      <w:r>
        <w:rPr>
          <w:rFonts w:ascii="Times New Roman" w:cs="Times New Roman" w:eastAsia="Times New Roman" w:hAnsi="Times New Roman"/>
          <w:sz w:val="17"/>
          <w:szCs w:val="17"/>
          <w:color w:val="auto"/>
        </w:rPr>
        <w:t>To fuel future growth, we anticipate seeking additional capital through equity offerings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13"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on a going concern basis, which contemplates the realization of assets and the satisfaction of liabilities in the normal course of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Restatement of Financial Statements</w:t>
      </w:r>
    </w:p>
    <w:p>
      <w:pPr>
        <w:spacing w:after="0" w:line="144" w:lineRule="exact"/>
        <w:rPr>
          <w:sz w:val="20"/>
          <w:szCs w:val="20"/>
          <w:color w:val="auto"/>
        </w:rPr>
      </w:pPr>
    </w:p>
    <w:p>
      <w:pPr>
        <w:jc w:val="both"/>
        <w:ind w:firstLine="298"/>
        <w:spacing w:after="0" w:line="250" w:lineRule="auto"/>
        <w:rPr>
          <w:sz w:val="20"/>
          <w:szCs w:val="20"/>
          <w:color w:val="auto"/>
        </w:rPr>
      </w:pPr>
      <w:r>
        <w:rPr>
          <w:rFonts w:ascii="Times New Roman" w:cs="Times New Roman" w:eastAsia="Times New Roman" w:hAnsi="Times New Roman"/>
          <w:sz w:val="17"/>
          <w:szCs w:val="17"/>
          <w:color w:val="auto"/>
        </w:rPr>
        <w:t>Our condensed consolidated statements of operations for the nine months ended September 30, 2021 and condensed consolidated statements of changes in Redeemable non-controlling interest, Redeemable preferred non-controlling interests and stockholders' equity as of September 30, 2021 have been restated for certain errors made with regard to accounting for certain commodity swap agreements which the Company entered into in December 2018 and November 2019, recording of certain invoices related to construction in progress in the wrong period and for the gross up of revenue for certain federal and state taxes collected by the Company on behalf of the customer, which the Company subsequently remitted to the government.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Restatement relating to commodity swap contracts</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 xml:space="preserve">In December 2018, the Company signed an amendment to an existing power purchase agreement (“PPA”) which converted the PPA into a swap structure whereby the Company was able to sell the capacity separately and schedule the sale of electricity independent of the PPA. Post the amendment and conversion to a swap, the counterparty agreed to pay the Company the difference between the market price collected from the sale of the electricity and the contract price in the PPA. The contract was expected to be net settled in cash on a monthly basis. Please see Note 10 </w:t>
      </w:r>
      <w:r>
        <w:rPr>
          <w:rFonts w:ascii="Times New Roman" w:cs="Times New Roman" w:eastAsia="Times New Roman" w:hAnsi="Times New Roman"/>
          <w:sz w:val="17"/>
          <w:szCs w:val="17"/>
          <w:i w:val="1"/>
          <w:iCs w:val="1"/>
          <w:color w:val="auto"/>
        </w:rPr>
        <w:t>Derivative Financial Instruments</w:t>
      </w:r>
      <w:r>
        <w:rPr>
          <w:rFonts w:ascii="Times New Roman" w:cs="Times New Roman" w:eastAsia="Times New Roman" w:hAnsi="Times New Roman"/>
          <w:sz w:val="17"/>
          <w:szCs w:val="17"/>
          <w:color w:val="auto"/>
        </w:rPr>
        <w:t xml:space="preserve"> for additional information.</w:t>
      </w:r>
    </w:p>
    <w:p>
      <w:pPr>
        <w:spacing w:after="0" w:line="2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 xml:space="preserve">In November 2019, the Company entered into an International Swaps and Derivatives Association(“ISDA”) agreement pursuant to which, the Company entered into a commodity swap contract for a notional quantity of 87,720 MWh at 5MWh per hour for a period of two years — 2020 and 2021 at a fixed contract price of $35.75 per MWh. The swap was expected to be net settled in cash on a monthly basis. Additionally, the Company entered into another commodity swap contract for a notional quantity of 26,280 MWh at 3 MWh per hour for one year - 2022. Please see Note 10 </w:t>
      </w:r>
      <w:r>
        <w:rPr>
          <w:rFonts w:ascii="Times New Roman" w:cs="Times New Roman" w:eastAsia="Times New Roman" w:hAnsi="Times New Roman"/>
          <w:sz w:val="17"/>
          <w:szCs w:val="17"/>
          <w:i w:val="1"/>
          <w:iCs w:val="1"/>
          <w:color w:val="auto"/>
        </w:rPr>
        <w:t>Derivative Financial Instruments</w:t>
      </w:r>
      <w:r>
        <w:rPr>
          <w:rFonts w:ascii="Times New Roman" w:cs="Times New Roman" w:eastAsia="Times New Roman" w:hAnsi="Times New Roman"/>
          <w:sz w:val="17"/>
          <w:szCs w:val="17"/>
          <w:color w:val="auto"/>
        </w:rPr>
        <w:t xml:space="preserve"> for additional information.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Company recorded $169 of realized gain on the above swap arrangements as part of Revenues in its consolidated statements of operations for the nine months ended September 30, 2021. The Company previously reported this gain as part of Revenues in the condensed consolidated statement of operations but the gain was not properly disclosed in the notes to the financial statements.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concluded that these two contracts were economic hedges against market price volatility and are considered as derivatives under ASC 815 Derivatives and Hedging, which required the Company to record mark to market unrealized gain (loss) in its condensed consolidated statements of operations.</w:t>
      </w:r>
    </w:p>
    <w:p>
      <w:pPr>
        <w:spacing w:after="0" w:line="19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7"/>
          <w:szCs w:val="17"/>
          <w:color w:val="auto"/>
        </w:rPr>
        <w:t>The Company did not record an unrealized loss of $2,824 for the nine months ended September 30, 2021. Therefore, the Company restated its Revenues - RNG Fuel by $2,824 for the nine months ended September 30, 2021.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Restatement relating to taxes collected on behalf of customers</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Company collects federal and state taxes on its revenues generated from customers in our RNG Fuel segment and remits the same to the government subsequently. The Company concluded that these taxes should be presented on a net basis in Revenues-RNG fuel in its condensed consolidated statements of operations. Therefore, the Company restated its revenues and cost of sales by $1,140 for the nine months ended September 30, 2021. This adjustment did not have any impact on net income reported for the nine months ended September 30, 2021.</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 and Principles of Consolidation</w:t>
      </w:r>
    </w:p>
    <w:p>
      <w:pPr>
        <w:spacing w:after="0" w:line="144" w:lineRule="exact"/>
        <w:rPr>
          <w:sz w:val="20"/>
          <w:szCs w:val="20"/>
          <w:color w:val="auto"/>
        </w:rPr>
      </w:pPr>
    </w:p>
    <w:p>
      <w:pPr>
        <w:jc w:val="both"/>
        <w:ind w:firstLine="298"/>
        <w:spacing w:after="0" w:line="247" w:lineRule="auto"/>
        <w:rPr>
          <w:sz w:val="20"/>
          <w:szCs w:val="20"/>
          <w:color w:val="auto"/>
        </w:rPr>
      </w:pPr>
      <w:r>
        <w:rPr>
          <w:rFonts w:ascii="Times New Roman" w:cs="Times New Roman" w:eastAsia="Times New Roman" w:hAnsi="Times New Roman"/>
          <w:sz w:val="17"/>
          <w:szCs w:val="17"/>
          <w:color w:val="auto"/>
        </w:rPr>
        <w:t>These unaudited condensed consolidated financial statements are prepared in accordance with generally accepted accounting principles in the United States ("U.S. GAAP") for interim financial information and includes the accounts of the Company and all other entities in which the Company has a controlling financial interest: Fortistar Methane 3 LLC (“FM3”), Fortistar Methane 4 LLC, Beacon RNG LLC (“Beacon”) Sunoma Holdings, LLC (“Sunoma”), Emerald RNG LLC (“Emerald”), Sapphire RNG LLC (“Sapphire”), New River LLC (“New River”), Reynolds NRG LLC (“Reynolds”), Beacon RNG LLC (“Beacon”), Central Valley LLC (“Central Valley”), Fortistar Contracting LLC, Fortistar RNG LLC, and OPAL Fuel station services LLC (“Fuel station services”). The Company’s condensed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the Stockholders' equity in the condensed consolidated balance sheets and as a non-redeemable non-controlling interests in the condensed consolidated statements of changes in redeemable non-controlling interests, redeemable preferred non-controlling interests and Stockholders' equity.</w:t>
      </w:r>
    </w:p>
    <w:p>
      <w:pPr>
        <w:spacing w:after="0" w:line="104" w:lineRule="exact"/>
        <w:rPr>
          <w:sz w:val="20"/>
          <w:szCs w:val="20"/>
          <w:color w:val="auto"/>
        </w:rPr>
      </w:pPr>
    </w:p>
    <w:p>
      <w:pPr>
        <w:jc w:val="both"/>
        <w:ind w:firstLine="298"/>
        <w:spacing w:after="0" w:line="267" w:lineRule="auto"/>
        <w:rPr>
          <w:sz w:val="20"/>
          <w:szCs w:val="20"/>
          <w:color w:val="auto"/>
        </w:rPr>
      </w:pPr>
      <w:r>
        <w:rPr>
          <w:rFonts w:ascii="Times New Roman" w:cs="Times New Roman" w:eastAsia="Times New Roman" w:hAnsi="Times New Roman"/>
          <w:sz w:val="16"/>
          <w:szCs w:val="16"/>
          <w:color w:val="auto"/>
        </w:rPr>
        <w:t xml:space="preserve">The accompanying condensed consolidated financial statements reflect the activities of the Company, its subsidiaries, and its equity method investments for the nine months ended September 30, 2022 and 2021. Investments in unconsolidated entities in which the Company can influence the operating or financial decisions are accounted for under the equity method. As of September 30, 2022 and December 31, 2021, the Company accounted for its ownership interests in Pine Bend RNG LLC ("Pine Bend"), Noble Road RNG LLC ("Noble Road") and GREP BTB Holdings LLC ("GREP") under the equity method. The Company's interests in Beacon for the period between January 1, 2021 and April 30, 2021 were accounted for under the equity method. Beacon was consolidated after acquisition of remaining ownership interests increasing the ownership interest from 44.3% to 100% on May 1, 2021. Please see Note 4. </w:t>
      </w:r>
      <w:r>
        <w:rPr>
          <w:rFonts w:ascii="Times New Roman" w:cs="Times New Roman" w:eastAsia="Times New Roman" w:hAnsi="Times New Roman"/>
          <w:sz w:val="16"/>
          <w:szCs w:val="16"/>
          <w:i w:val="1"/>
          <w:iCs w:val="1"/>
          <w:color w:val="auto"/>
        </w:rPr>
        <w:t>Investment in other entities,</w:t>
      </w:r>
      <w:r>
        <w:rPr>
          <w:rFonts w:ascii="Times New Roman" w:cs="Times New Roman" w:eastAsia="Times New Roman" w:hAnsi="Times New Roman"/>
          <w:sz w:val="16"/>
          <w:szCs w:val="16"/>
          <w:color w:val="auto"/>
        </w:rPr>
        <w:t xml:space="preserve"> for additional information.</w:t>
      </w:r>
    </w:p>
    <w:p>
      <w:pPr>
        <w:spacing w:after="0" w:line="102" w:lineRule="exact"/>
        <w:rPr>
          <w:sz w:val="20"/>
          <w:szCs w:val="20"/>
          <w:color w:val="auto"/>
        </w:rPr>
      </w:pPr>
    </w:p>
    <w:p>
      <w:pPr>
        <w:jc w:val="both"/>
        <w:ind w:firstLine="298"/>
        <w:spacing w:after="0" w:line="249" w:lineRule="auto"/>
        <w:rPr>
          <w:sz w:val="20"/>
          <w:szCs w:val="20"/>
          <w:color w:val="auto"/>
        </w:rPr>
      </w:pPr>
      <w:r>
        <w:rPr>
          <w:rFonts w:ascii="Times New Roman" w:cs="Times New Roman" w:eastAsia="Times New Roman" w:hAnsi="Times New Roman"/>
          <w:sz w:val="17"/>
          <w:szCs w:val="17"/>
          <w:color w:val="auto"/>
        </w:rPr>
        <w:t>The accompanying unaudited condensed financial statements have been prepared in accordance with the instructions to Form 10-Q and Article 10 of Regulation S-X of the Securities and Exchange Commission ("SEC"). Certain information or footnote disclosures normally included in financial statements prepared in accordance with U.S. GAAP have been condensed or omitted, pursuant to the rules and regulations of the SEC for interim financial reporting. Accordingly, it does not include all the information and footnotes necessary for a complete presentation of financial position, results of operations, or cash flows. The information herein should be read in conjunction with the audited consolidated financial statements and notes thereto included in the Company's Current Report on Form 8K, which was filed with SEC on July 27, 2022. In the opinion of management, the accompanying unaudited condensed financial statements include all adjustments,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63" w:lineRule="exact"/>
        <w:rPr>
          <w:sz w:val="20"/>
          <w:szCs w:val="20"/>
          <w:color w:val="auto"/>
        </w:rPr>
      </w:pPr>
    </w:p>
    <w:p>
      <w:pPr>
        <w:ind w:right="360"/>
        <w:spacing w:after="0" w:line="404" w:lineRule="auto"/>
        <w:rPr>
          <w:sz w:val="20"/>
          <w:szCs w:val="20"/>
          <w:color w:val="auto"/>
        </w:rPr>
      </w:pPr>
      <w:r>
        <w:rPr>
          <w:rFonts w:ascii="Times New Roman" w:cs="Times New Roman" w:eastAsia="Times New Roman" w:hAnsi="Times New Roman"/>
          <w:sz w:val="17"/>
          <w:szCs w:val="17"/>
          <w:color w:val="auto"/>
        </w:rPr>
        <w:t xml:space="preserve">consisting of a normal recurring nature, which are necessary for a fair statement of the financial position, operating results, and cash flows for the periods presented. </w:t>
      </w:r>
      <w:r>
        <w:rPr>
          <w:rFonts w:ascii="Times New Roman" w:cs="Times New Roman" w:eastAsia="Times New Roman" w:hAnsi="Times New Roman"/>
          <w:sz w:val="17"/>
          <w:szCs w:val="17"/>
          <w:i w:val="1"/>
          <w:iCs w:val="1"/>
          <w:color w:val="auto"/>
        </w:rPr>
        <w:t>Business Combination</w:t>
      </w:r>
    </w:p>
    <w:p>
      <w:pPr>
        <w:spacing w:after="0" w:line="1" w:lineRule="exact"/>
        <w:rPr>
          <w:sz w:val="20"/>
          <w:szCs w:val="20"/>
          <w:color w:val="auto"/>
        </w:rPr>
      </w:pPr>
    </w:p>
    <w:p>
      <w:pPr>
        <w:jc w:val="both"/>
        <w:ind w:firstLine="298"/>
        <w:spacing w:after="0" w:line="246" w:lineRule="auto"/>
        <w:rPr>
          <w:sz w:val="20"/>
          <w:szCs w:val="20"/>
          <w:color w:val="auto"/>
        </w:rPr>
      </w:pPr>
      <w:r>
        <w:rPr>
          <w:rFonts w:ascii="Times New Roman" w:cs="Times New Roman" w:eastAsia="Times New Roman" w:hAnsi="Times New Roman"/>
          <w:sz w:val="17"/>
          <w:szCs w:val="17"/>
          <w:color w:val="auto"/>
        </w:rPr>
        <w:t xml:space="preserve">The Business Combination was accounted for as a reverse recapitalization as OPAL Fuels was determined to be the accounting acquirer under Financial Accounting Standards Board's ("FASB") Accounting Standards Codification ("ASC") Topic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OPAL HoldCo held a controlling financial interest in OPAL Fuels prior to the closing date. At transaction close, OPAL HoldCo obtained a controlling financial interest in the Company and indirectly retained control over OPAL Fuels through the Company. OPAL HoldCo did not relinquish control over OPAL Fuels during the transaction, instead it affected a transfer of a controlled subsidiary (i.e., OPAL Fuels) to a newly-controlled subsidiary (i.e., OPAL Fuels Inc) and in exchange for issuing Class A common units of OPAL Fuels for the net assets of the Company. As there was no change in control, OPAL Fuels has been determined to be the accounting acquirer. Under this method of accounting, ArcLight is treated as the “acquired” company for financial reporting purposes. Accordingly, for accounting purposes, the transaction is treated as the equivalent of OPAL Fuels issuing stock for the net assets of ArcLight, accompanied by a recapitalization. The net assets of ArcLight are stated at historical cost, with no goodwill or other intangible assets recorded. Results of operations prior to Business Combination are presented as belonging to OPAL Fuels in future reports of the combined entity. The recapitalization had no effect on reported net loss and comprehensive income, cash flows, total assets or members' equity as previously reported. See Note 3.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Combination</w:t>
      </w:r>
      <w:r>
        <w:rPr>
          <w:rFonts w:ascii="Times New Roman" w:cs="Times New Roman" w:eastAsia="Times New Roman" w:hAnsi="Times New Roman"/>
          <w:sz w:val="17"/>
          <w:szCs w:val="17"/>
          <w:color w:val="auto"/>
        </w:rPr>
        <w:t>, for additional information.</w:t>
      </w:r>
    </w:p>
    <w:p>
      <w:pPr>
        <w:spacing w:after="0" w:line="120" w:lineRule="exact"/>
        <w:rPr>
          <w:sz w:val="20"/>
          <w:szCs w:val="20"/>
          <w:color w:val="auto"/>
        </w:rPr>
      </w:pPr>
    </w:p>
    <w:p>
      <w:pPr>
        <w:jc w:val="both"/>
        <w:ind w:firstLine="298"/>
        <w:spacing w:after="0" w:line="252" w:lineRule="auto"/>
        <w:rPr>
          <w:sz w:val="20"/>
          <w:szCs w:val="20"/>
          <w:color w:val="auto"/>
        </w:rPr>
      </w:pPr>
      <w:r>
        <w:rPr>
          <w:rFonts w:ascii="Times New Roman" w:cs="Times New Roman" w:eastAsia="Times New Roman" w:hAnsi="Times New Roman"/>
          <w:sz w:val="17"/>
          <w:szCs w:val="17"/>
          <w:color w:val="auto"/>
        </w:rPr>
        <w:t>The Business Combination resulted in an umbrella partnership corporation (“Up-C”) structure, which is often used by partnerships and limited liability companies (operating as partnerships) undertaking an initial public offering. The Up-C structure allowed OPAL Fuels equity holders to retain their equity ownership in OPAL Fuels, an entity that is classified as a partnership for U.S. federal income tax purposes, and provides potential future tax benefits for the Company when the OPAL Fuels equity holders ultimately redeem their pass-through interests for shares of Class A common stock in OPAL Fuels Inc.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142" w:lineRule="exact"/>
        <w:rPr>
          <w:sz w:val="20"/>
          <w:szCs w:val="20"/>
          <w:color w:val="auto"/>
        </w:rPr>
      </w:pPr>
    </w:p>
    <w:p>
      <w:pPr>
        <w:jc w:val="both"/>
        <w:ind w:firstLine="298"/>
        <w:spacing w:after="0" w:line="249"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asset retirement obligations, the estimated losses on our trade receivables, the fair value of the Convertible Note Payable (as defined below), the impairment assessment of goodwill, and the fair value of derivative instruments. Actual results could differ from those estimates.</w:t>
      </w:r>
    </w:p>
    <w:p>
      <w:pPr>
        <w:spacing w:after="0" w:line="113" w:lineRule="exact"/>
        <w:rPr>
          <w:sz w:val="20"/>
          <w:szCs w:val="20"/>
          <w:color w:val="auto"/>
        </w:rPr>
      </w:pPr>
    </w:p>
    <w:p>
      <w:pPr>
        <w:ind w:right="1540" w:firstLine="298"/>
        <w:spacing w:after="0" w:line="403" w:lineRule="auto"/>
        <w:rPr>
          <w:sz w:val="20"/>
          <w:szCs w:val="20"/>
          <w:color w:val="auto"/>
        </w:rPr>
      </w:pPr>
      <w:r>
        <w:rPr>
          <w:rFonts w:ascii="Times New Roman" w:cs="Times New Roman" w:eastAsia="Times New Roman" w:hAnsi="Times New Roman"/>
          <w:sz w:val="17"/>
          <w:szCs w:val="17"/>
          <w:color w:val="auto"/>
        </w:rPr>
        <w:t xml:space="preserve">The results of operations for the interim periods presented are not necessarily indicative of the results that may be expected for the entire year. </w:t>
      </w:r>
      <w:r>
        <w:rPr>
          <w:rFonts w:ascii="Times New Roman" w:cs="Times New Roman" w:eastAsia="Times New Roman" w:hAnsi="Times New Roman"/>
          <w:sz w:val="17"/>
          <w:szCs w:val="17"/>
          <w:b w:val="1"/>
          <w:bCs w:val="1"/>
          <w:color w:val="auto"/>
        </w:rPr>
        <w:t>Accounting Pronouncements</w:t>
      </w:r>
    </w:p>
    <w:p>
      <w:pPr>
        <w:jc w:val="both"/>
        <w:ind w:firstLine="597"/>
        <w:spacing w:after="0" w:line="248" w:lineRule="auto"/>
        <w:rPr>
          <w:sz w:val="20"/>
          <w:szCs w:val="20"/>
          <w:color w:val="auto"/>
        </w:rPr>
      </w:pPr>
      <w:r>
        <w:rPr>
          <w:rFonts w:ascii="Times New Roman" w:cs="Times New Roman" w:eastAsia="Times New Roman" w:hAnsi="Times New Roman"/>
          <w:sz w:val="17"/>
          <w:szCs w:val="17"/>
          <w:color w:val="auto"/>
        </w:rPr>
        <w:t xml:space="preserve">In June 2022, the FASB issued Accounting Standards Update ("ASU") 2022-03, </w:t>
      </w:r>
      <w:r>
        <w:rPr>
          <w:rFonts w:ascii="Times New Roman" w:cs="Times New Roman" w:eastAsia="Times New Roman" w:hAnsi="Times New Roman"/>
          <w:sz w:val="17"/>
          <w:szCs w:val="17"/>
          <w:i w:val="1"/>
          <w:iCs w:val="1"/>
          <w:color w:val="auto"/>
        </w:rPr>
        <w:t>Fair Value Measurement of Equity Securities Subject to Contractual Sale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Restrictions </w:t>
      </w:r>
      <w:r>
        <w:rPr>
          <w:rFonts w:ascii="Times New Roman" w:cs="Times New Roman" w:eastAsia="Times New Roman" w:hAnsi="Times New Roman"/>
          <w:sz w:val="17"/>
          <w:szCs w:val="17"/>
          <w:color w:val="auto"/>
        </w:rPr>
        <w:t>which states that a contractual restriction on the sale of an equity security is not considered part of the unit of account of the equity security and therefore,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considered in measuring fair value. The ASU clarifies that an entity cannot, as a separate unit of account, recognize and measure a contractual sale restriction. The ASU requires an entity to disclose (i) the fair value of equity securities subject to contractual sale restrictions reflected in the balance sheet (ii) the nature and remaining duration of the restriction and (iii) the circumstances that could cause a lapse in the restriction. The amendments in this ASU are effective for fiscal years beginning after December 15, 2023, and interim periods within those fiscal years for public entities and fiscal year beginning December 15, 2024 for all other entities. The Company is currently evaluating the impact on its financial statements of adopting this standard.</w:t>
      </w:r>
    </w:p>
    <w:p>
      <w:pPr>
        <w:spacing w:after="0" w:line="117"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In February 2016, the FASB issued Leases (Topic 842) requiring lessees to record the assets and liabilities for operating leases on the balance sheet. This standard is effective for fiscal years beginning after December 15, 2020, with early adoption permitted. In April 2020, the FASB voted to defer the effective date for Leases for private companies and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certain not-for-profit entities for one year. For companies filing under emerging growth company status and private not-for-profits, the leasing standard will be effective for fiscal years beginning after December 15, 2021. The Company is currently evaluating all of its contracts and expects to record right-of-use assets and corresponding liabilities on its consolidated balance sheet as of December 31, 2022 for its vehicle leases and office lease.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32" w:lineRule="exact"/>
        <w:rPr>
          <w:sz w:val="20"/>
          <w:szCs w:val="20"/>
          <w:color w:val="auto"/>
        </w:rPr>
      </w:pPr>
    </w:p>
    <w:p>
      <w:pPr>
        <w:jc w:val="both"/>
        <w:ind w:firstLine="298"/>
        <w:spacing w:after="0" w:line="249"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Cash, cash equivalents, and restricted cash consisted of the following as of September 30, 2022 and December 31, 2021</w:t>
      </w:r>
    </w:p>
    <w:p>
      <w:pPr>
        <w:spacing w:after="0" w:line="21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200" w:type="dxa"/>
            <w:vAlign w:val="bottom"/>
          </w:tcPr>
          <w:p>
            <w:pPr>
              <w:spacing w:after="0"/>
              <w:rPr>
                <w:sz w:val="16"/>
                <w:szCs w:val="16"/>
                <w:color w:val="auto"/>
              </w:rPr>
            </w:pPr>
          </w:p>
        </w:tc>
        <w:tc>
          <w:tcPr>
            <w:tcW w:w="1280" w:type="dxa"/>
            <w:vAlign w:val="bottom"/>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7"/>
        </w:trPr>
        <w:tc>
          <w:tcPr>
            <w:tcW w:w="67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1"/>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93"/>
        </w:trPr>
        <w:tc>
          <w:tcPr>
            <w:tcW w:w="6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25,286</w:t>
            </w:r>
          </w:p>
        </w:tc>
        <w:tc>
          <w:tcPr>
            <w:tcW w:w="1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39,314</w:t>
            </w:r>
          </w:p>
        </w:tc>
      </w:tr>
      <w:tr>
        <w:trPr>
          <w:trHeight w:val="31"/>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Restricted cash - current </w:t>
            </w:r>
            <w:r>
              <w:rPr>
                <w:rFonts w:ascii="Times New Roman" w:cs="Times New Roman" w:eastAsia="Times New Roman" w:hAnsi="Times New Roman"/>
                <w:sz w:val="19"/>
                <w:szCs w:val="19"/>
                <w:color w:val="auto"/>
                <w:vertAlign w:val="superscript"/>
              </w:rPr>
              <w:t>(1)</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3"/>
        </w:trPr>
        <w:tc>
          <w:tcPr>
            <w:tcW w:w="6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assets:</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1"/>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xml:space="preserve">Restricted cash held as collateral </w:t>
            </w:r>
            <w:r>
              <w:rPr>
                <w:rFonts w:ascii="Times New Roman" w:cs="Times New Roman" w:eastAsia="Times New Roman" w:hAnsi="Times New Roman"/>
                <w:sz w:val="19"/>
                <w:szCs w:val="19"/>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2,740</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cash, cash equivalents, and restricted cash</w:t>
            </w:r>
          </w:p>
        </w:tc>
        <w:tc>
          <w:tcPr>
            <w:tcW w:w="2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71,360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42,054</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298"/>
        <w:spacing w:after="0" w:line="270" w:lineRule="auto"/>
        <w:tabs>
          <w:tab w:leader="none" w:pos="451"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Restricted cash - current primarily consists of (i) $20,100 held in escrow to secure the Company's purchase obligations under the forward purchase agreement with Meteora (See Note.3 </w:t>
      </w:r>
      <w:r>
        <w:rPr>
          <w:rFonts w:ascii="Times New Roman" w:cs="Times New Roman" w:eastAsia="Times New Roman" w:hAnsi="Times New Roman"/>
          <w:sz w:val="15"/>
          <w:szCs w:val="15"/>
          <w:i w:val="1"/>
          <w:iCs w:val="1"/>
          <w:color w:val="auto"/>
        </w:rPr>
        <w:t>Business Combination</w:t>
      </w:r>
      <w:r>
        <w:rPr>
          <w:rFonts w:ascii="Times New Roman" w:cs="Times New Roman" w:eastAsia="Times New Roman" w:hAnsi="Times New Roman"/>
          <w:sz w:val="15"/>
          <w:szCs w:val="15"/>
          <w:color w:val="auto"/>
        </w:rPr>
        <w:t xml:space="preserve"> for additional information). (ii) $5,800 equity contribution to a joint venture in connection with the closing of OPAL Term Loan II (iii) $1,778 relates to interest reserve on Sunoma Loan and (iv) $13,700 held in a restricted account for funding one of our RNG projects.</w:t>
      </w:r>
    </w:p>
    <w:p>
      <w:pPr>
        <w:spacing w:after="0" w:line="85" w:lineRule="exact"/>
        <w:rPr>
          <w:rFonts w:ascii="Times New Roman" w:cs="Times New Roman" w:eastAsia="Times New Roman" w:hAnsi="Times New Roman"/>
          <w:sz w:val="19"/>
          <w:szCs w:val="19"/>
          <w:color w:val="auto"/>
          <w:vertAlign w:val="superscript"/>
        </w:rPr>
      </w:pPr>
    </w:p>
    <w:p>
      <w:pPr>
        <w:ind w:left="460" w:hanging="162"/>
        <w:spacing w:after="0"/>
        <w:tabs>
          <w:tab w:leader="none" w:pos="46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Restricted cash held as collateral represents the collateral requirements on our debt facilities.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Short term investments</w:t>
      </w:r>
    </w:p>
    <w:p>
      <w:pPr>
        <w:spacing w:after="0" w:line="132"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17"/>
          <w:szCs w:val="17"/>
          <w:color w:val="auto"/>
        </w:rPr>
        <w:t>The Company considers highly liquid investments such as time deposits and certificates of deposit with an original maturity greater than three months at the time of purchase to be short term investments. The Short term investments of $146,936 consists of cash received upon closing of the Business Combination invested in money market accounts with maturities ranging between 1 and 12 months as of September 30, 2022. The amounts in these money market accounts are liquid and available for general use.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 costs</w:t>
      </w:r>
    </w:p>
    <w:p>
      <w:pPr>
        <w:spacing w:after="0" w:line="144" w:lineRule="exact"/>
        <w:rPr>
          <w:sz w:val="20"/>
          <w:szCs w:val="20"/>
          <w:color w:val="auto"/>
        </w:rPr>
      </w:pPr>
    </w:p>
    <w:p>
      <w:pPr>
        <w:jc w:val="both"/>
        <w:ind w:firstLine="298"/>
        <w:spacing w:after="0" w:line="250" w:lineRule="auto"/>
        <w:rPr>
          <w:sz w:val="20"/>
          <w:szCs w:val="20"/>
          <w:color w:val="auto"/>
        </w:rPr>
      </w:pPr>
      <w:r>
        <w:rPr>
          <w:rFonts w:ascii="Times New Roman" w:cs="Times New Roman" w:eastAsia="Times New Roman" w:hAnsi="Times New Roman"/>
          <w:sz w:val="17"/>
          <w:szCs w:val="17"/>
          <w:color w:val="auto"/>
        </w:rPr>
        <w:t>Transaction costs consists of direct legal, consulting, audit and other fees related to the consummation of the Business Combination. These costs were initially capitalized as incurred and recorded as Deferred financing costs in the condensed consolidated balance sheet. Upon the completion of the Business Combination, transaction costs directly related to the issuance of shares were recognized as an offset to additional paid-in capital within the condensed consolidated statements of changes in redeemable non-controlling interest, redeemable preferred non-controlling interest and stockholders' equity. The Company incurred $8,299 in transaction costs consisting of legal and professional fees, which were recorded as an offset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 warrant liabilities</w:t>
      </w:r>
    </w:p>
    <w:p>
      <w:pPr>
        <w:spacing w:after="0" w:line="132" w:lineRule="exact"/>
        <w:rPr>
          <w:sz w:val="20"/>
          <w:szCs w:val="20"/>
          <w:color w:val="auto"/>
        </w:rPr>
      </w:pPr>
    </w:p>
    <w:p>
      <w:pPr>
        <w:jc w:val="both"/>
        <w:ind w:firstLine="298"/>
        <w:spacing w:after="0" w:line="252" w:lineRule="auto"/>
        <w:rPr>
          <w:sz w:val="20"/>
          <w:szCs w:val="20"/>
          <w:color w:val="auto"/>
        </w:rPr>
      </w:pPr>
      <w:r>
        <w:rPr>
          <w:rFonts w:ascii="Times New Roman" w:cs="Times New Roman" w:eastAsia="Times New Roman" w:hAnsi="Times New Roman"/>
          <w:sz w:val="17"/>
          <w:szCs w:val="17"/>
          <w:color w:val="auto"/>
        </w:rPr>
        <w:t>The Company assumed publicly-traded warrants (the "Public Warrants") and private warrants (the "Private Warrants") upon the completion of the Business Combination. The Company accounts for warrants for shares of the Company's stock that are not indexed to its own stock as liabilities at fair value on the condensed consolidated balance sheet. The warrants are remeasured at each balance sheet date and any change in fair value is recognized in the Company's condensed consolidated statement of operations as part of change in fair value of derivative instruments, net.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Earnout Awards</w:t>
      </w:r>
    </w:p>
    <w:p>
      <w:pPr>
        <w:spacing w:after="0" w:line="206" w:lineRule="exact"/>
        <w:rPr>
          <w:sz w:val="20"/>
          <w:szCs w:val="20"/>
          <w:color w:val="auto"/>
        </w:rPr>
      </w:pPr>
    </w:p>
    <w:p>
      <w:pPr>
        <w:jc w:val="both"/>
        <w:ind w:firstLine="298"/>
        <w:spacing w:after="0" w:line="249" w:lineRule="auto"/>
        <w:rPr>
          <w:sz w:val="20"/>
          <w:szCs w:val="20"/>
          <w:color w:val="auto"/>
        </w:rPr>
      </w:pPr>
      <w:r>
        <w:rPr>
          <w:rFonts w:ascii="Times New Roman" w:cs="Times New Roman" w:eastAsia="Times New Roman" w:hAnsi="Times New Roman"/>
          <w:sz w:val="17"/>
          <w:szCs w:val="17"/>
          <w:color w:val="auto"/>
        </w:rPr>
        <w:t>In connection with the Business Combination and pursuant to a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OPAL Fuels equity holders are eligible to receive an aggregate of 10,000,000 shares of Class B and Class D common stock upon the Company achieving each earn-out event during the earn-out period. The Earnout Awards were recognized at fair value on the Closing Date and classified as a liability which is remeasured at each balance sheet date and any change in fair value is recognized in the Company's condensed consolidated statement of operations as part of change in fair value of derivative instruments, net.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Put option on forward purchase agreement</w:t>
      </w:r>
    </w:p>
    <w:p>
      <w:pPr>
        <w:spacing w:after="0" w:line="132" w:lineRule="exact"/>
        <w:rPr>
          <w:sz w:val="20"/>
          <w:szCs w:val="20"/>
          <w:color w:val="auto"/>
        </w:rPr>
      </w:pPr>
    </w:p>
    <w:p>
      <w:pPr>
        <w:jc w:val="both"/>
        <w:ind w:firstLine="597"/>
        <w:spacing w:after="0" w:line="247" w:lineRule="auto"/>
        <w:rPr>
          <w:sz w:val="20"/>
          <w:szCs w:val="20"/>
          <w:color w:val="auto"/>
        </w:rPr>
      </w:pPr>
      <w:r>
        <w:rPr>
          <w:rFonts w:ascii="Times New Roman" w:cs="Times New Roman" w:eastAsia="Times New Roman" w:hAnsi="Times New Roman"/>
          <w:sz w:val="17"/>
          <w:szCs w:val="17"/>
          <w:color w:val="auto"/>
        </w:rPr>
        <w:t xml:space="preserve">Prior to the closing of Business Combination, the Company entered into a forward purchase agreement with Meteora Capital Partners ("Meteora") pursuant to which Meteora agreed to purchase 2,000,000 shares of Class A common stock from shareholders who had previously tendered such shares for redemption but agreed to reverse their redemption and sell such shares to Meteora at the redemption price. The Company placed $20,040 in escrow at the closing of the Business Combination to secure its purchase obligation to repurchase these 2,000,000 shares at Meteora’s option for a price of $10.02 per share on the date that is six months after closing of the Business Combination. The cash plus earned interest is recorded as Restricted cash - current in the Company's condensed consolidated balance sheet as of September 30, 2022. The put option written to Meteora on 2,000,000 shares of Class A common stock is recorded as a liability under Topic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xml:space="preserve"> with the change in the fair market value recognized in the statement of operations as part of change in fair value of derivative instruments, net. See Note.3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 </w:t>
      </w:r>
      <w:r>
        <w:rPr>
          <w:rFonts w:ascii="Times New Roman" w:cs="Times New Roman" w:eastAsia="Times New Roman" w:hAnsi="Times New Roman"/>
          <w:sz w:val="17"/>
          <w:szCs w:val="17"/>
          <w:color w:val="auto"/>
        </w:rPr>
        <w:t>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Redeemable non-controlling interests</w:t>
      </w:r>
    </w:p>
    <w:p>
      <w:pPr>
        <w:spacing w:after="0" w:line="206"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17"/>
          <w:szCs w:val="17"/>
          <w:color w:val="auto"/>
        </w:rPr>
        <w:t>Redeemable non-controlling interests represent the portion of OPAL Fuels that the Company controls and consolidates but does not own. The Redeemable non-controlling interest was created as a result of the Business Combination and represents 144,399,037 Class B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condensed consolidated statement of operations.</w:t>
      </w:r>
    </w:p>
    <w:p>
      <w:pPr>
        <w:spacing w:after="0" w:line="173" w:lineRule="exact"/>
        <w:rPr>
          <w:sz w:val="20"/>
          <w:szCs w:val="20"/>
          <w:color w:val="auto"/>
        </w:rPr>
      </w:pPr>
    </w:p>
    <w:p>
      <w:pPr>
        <w:jc w:val="both"/>
        <w:ind w:firstLine="597"/>
        <w:spacing w:after="0" w:line="268" w:lineRule="auto"/>
        <w:rPr>
          <w:sz w:val="20"/>
          <w:szCs w:val="20"/>
          <w:color w:val="auto"/>
        </w:rPr>
      </w:pPr>
      <w:r>
        <w:rPr>
          <w:rFonts w:ascii="Times New Roman" w:cs="Times New Roman" w:eastAsia="Times New Roman" w:hAnsi="Times New Roman"/>
          <w:sz w:val="17"/>
          <w:szCs w:val="17"/>
          <w:color w:val="auto"/>
        </w:rPr>
        <w:t>At each balance sheet date, the mezzanine equity classified Redeemable non-controlling interests is adjusted up to their maximum redemption value if necessary, with an offset in Stockholders' equity. As of September 30, 2022, the Company recorded an adjustment of $1,160,723.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(loss) per share</w:t>
      </w:r>
    </w:p>
    <w:p>
      <w:pPr>
        <w:spacing w:after="0" w:line="144"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 xml:space="preserve">The Business Combination was accounted for as a reverse recapitalization as OPAL Fuels was determined to be the accounting acquirer under FASB ASC Topic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Accordingly, for accounting purposes, the transaction is treated as the equivalent of OPAL Fuels issuing stock for the net assets of ArcLight, accompanied by a recapitalization.</w:t>
      </w:r>
    </w:p>
    <w:p>
      <w:pPr>
        <w:spacing w:after="0" w:line="108"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The Company's basic earnings per share of Class A common stock is computed based on the average number of outstanding shares of Class A common stock for the period.</w:t>
      </w:r>
    </w:p>
    <w:p>
      <w:pPr>
        <w:spacing w:after="0" w:line="85"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The Company's diluted earnings per share includes effects of the Company's outstanding Redeemable non-controlling interests (OPAL Fuels Class B units), the put option a forward purchase agreement, redeemable preferred non-controlling interests, Sponsor Earnout Awards, OPAL Earnout Awards, Private Warrants and Public Warrants.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Receivable, Net</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Company's allowance for doubtful accounts was $100 and $— at September 30, 2022 and December 31,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 Retirement Obligation</w:t>
      </w:r>
    </w:p>
    <w:p>
      <w:pPr>
        <w:spacing w:after="0" w:line="130" w:lineRule="exact"/>
        <w:rPr>
          <w:sz w:val="20"/>
          <w:szCs w:val="20"/>
          <w:color w:val="auto"/>
        </w:rPr>
      </w:pPr>
    </w:p>
    <w:p>
      <w:pPr>
        <w:jc w:val="both"/>
        <w:ind w:firstLine="298"/>
        <w:spacing w:after="0" w:line="247" w:lineRule="auto"/>
        <w:rPr>
          <w:sz w:val="20"/>
          <w:szCs w:val="20"/>
          <w:color w:val="auto"/>
        </w:rPr>
      </w:pPr>
      <w:r>
        <w:rPr>
          <w:rFonts w:ascii="Times New Roman" w:cs="Times New Roman" w:eastAsia="Times New Roman" w:hAnsi="Times New Roman"/>
          <w:sz w:val="17"/>
          <w:szCs w:val="17"/>
          <w:color w:val="auto"/>
        </w:rPr>
        <w:t xml:space="preserve">The Company accounts for asset retirement obligations in accordance with FASB ASC 410, </w:t>
      </w:r>
      <w:r>
        <w:rPr>
          <w:rFonts w:ascii="Times New Roman" w:cs="Times New Roman" w:eastAsia="Times New Roman" w:hAnsi="Times New Roman"/>
          <w:sz w:val="17"/>
          <w:szCs w:val="17"/>
          <w:i w:val="1"/>
          <w:iCs w:val="1"/>
          <w:color w:val="auto"/>
        </w:rPr>
        <w:t>Asset Retirement and Environmental Obligations,</w:t>
      </w:r>
      <w:r>
        <w:rPr>
          <w:rFonts w:ascii="Times New Roman" w:cs="Times New Roman" w:eastAsia="Times New Roman" w:hAnsi="Times New Roman"/>
          <w:sz w:val="17"/>
          <w:szCs w:val="17"/>
          <w:color w:val="auto"/>
        </w:rPr>
        <w:t xml:space="preserve"> which requires entities to record the fair value of a liability for an asset retirement 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As of September 30, 2022 and December 31, 2021, the Company estimated the value of its total asset retirement obligations to be $5,968 and $5,738, respectively.</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changes in the asset retirement obligations were as follows as of September 30,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40" w:type="dxa"/>
            <w:vAlign w:val="bottom"/>
          </w:tcPr>
          <w:p>
            <w:pPr>
              <w:jc w:val="right"/>
              <w:ind w:right="645"/>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197"/>
        </w:trPr>
        <w:tc>
          <w:tcPr>
            <w:tcW w:w="6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40" w:type="dxa"/>
            <w:vAlign w:val="bottom"/>
          </w:tcPr>
          <w:p>
            <w:pPr>
              <w:jc w:val="right"/>
              <w:ind w:right="945"/>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31"/>
        </w:trPr>
        <w:tc>
          <w:tcPr>
            <w:tcW w:w="68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9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December 31, 2021</w:t>
            </w:r>
          </w:p>
        </w:tc>
        <w:tc>
          <w:tcPr>
            <w:tcW w:w="420" w:type="dxa"/>
            <w:vAlign w:val="bottom"/>
            <w:tcBorders>
              <w:bottom w:val="single" w:sz="8" w:color="CCEEFF"/>
            </w:tcBorders>
            <w:shd w:val="clear" w:color="auto" w:fill="CCEEFF"/>
          </w:tcPr>
          <w:p>
            <w:pPr>
              <w:jc w:val="right"/>
              <w:ind w:right="245"/>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5,738</w:t>
            </w:r>
          </w:p>
        </w:tc>
      </w:tr>
      <w:tr>
        <w:trPr>
          <w:trHeight w:val="193"/>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Addition</w:t>
            </w:r>
          </w:p>
        </w:tc>
        <w:tc>
          <w:tcPr>
            <w:tcW w:w="42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31"/>
        </w:trPr>
        <w:tc>
          <w:tcPr>
            <w:tcW w:w="6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4"/>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Accretion expense</w:t>
            </w:r>
          </w:p>
        </w:tc>
        <w:tc>
          <w:tcPr>
            <w:tcW w:w="4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w:t>
            </w:r>
          </w:p>
        </w:tc>
      </w:tr>
      <w:tr>
        <w:trPr>
          <w:trHeight w:val="186"/>
        </w:trPr>
        <w:tc>
          <w:tcPr>
            <w:tcW w:w="6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asset retirement obligation</w:t>
            </w:r>
          </w:p>
        </w:tc>
        <w:tc>
          <w:tcPr>
            <w:tcW w:w="42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5,968</w:t>
            </w:r>
          </w:p>
        </w:tc>
      </w:tr>
      <w:tr>
        <w:trPr>
          <w:trHeight w:val="31"/>
        </w:trPr>
        <w:tc>
          <w:tcPr>
            <w:tcW w:w="68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current portion</w:t>
            </w:r>
          </w:p>
        </w:tc>
        <w:tc>
          <w:tcPr>
            <w:tcW w:w="42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(1,586)</w:t>
            </w:r>
          </w:p>
        </w:tc>
      </w:tr>
      <w:tr>
        <w:trPr>
          <w:trHeight w:val="213"/>
        </w:trPr>
        <w:tc>
          <w:tcPr>
            <w:tcW w:w="68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asset retirement obligation, net of current portion</w:t>
            </w:r>
          </w:p>
        </w:tc>
        <w:tc>
          <w:tcPr>
            <w:tcW w:w="420" w:type="dxa"/>
            <w:vAlign w:val="bottom"/>
            <w:tcBorders>
              <w:top w:val="single" w:sz="8" w:color="auto"/>
              <w:bottom w:val="single" w:sz="8" w:color="auto"/>
            </w:tcBorders>
          </w:tcPr>
          <w:p>
            <w:pPr>
              <w:jc w:val="right"/>
              <w:ind w:right="245"/>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4,382</w:t>
            </w:r>
          </w:p>
        </w:tc>
      </w:tr>
      <w:tr>
        <w:trPr>
          <w:trHeight w:val="20"/>
        </w:trPr>
        <w:tc>
          <w:tcPr>
            <w:tcW w:w="6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81" w:lineRule="exact"/>
        <w:rPr>
          <w:sz w:val="20"/>
          <w:szCs w:val="20"/>
          <w:color w:val="auto"/>
        </w:rPr>
      </w:pPr>
    </w:p>
    <w:p>
      <w:pPr>
        <w:jc w:val="both"/>
        <w:ind w:firstLine="298"/>
        <w:spacing w:after="0" w:line="250" w:lineRule="auto"/>
        <w:rPr>
          <w:sz w:val="20"/>
          <w:szCs w:val="20"/>
          <w:color w:val="auto"/>
        </w:rPr>
      </w:pPr>
      <w:r>
        <w:rPr>
          <w:rFonts w:ascii="Times New Roman" w:cs="Times New Roman" w:eastAsia="Times New Roman" w:hAnsi="Times New Roman"/>
          <w:sz w:val="17"/>
          <w:szCs w:val="17"/>
          <w:color w:val="auto"/>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01"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108" w:lineRule="exact"/>
        <w:rPr>
          <w:sz w:val="20"/>
          <w:szCs w:val="20"/>
          <w:color w:val="auto"/>
        </w:rPr>
      </w:pPr>
    </w:p>
    <w:p>
      <w:pPr>
        <w:jc w:val="both"/>
        <w:ind w:firstLine="298"/>
        <w:spacing w:after="0" w:line="252" w:lineRule="auto"/>
        <w:rPr>
          <w:sz w:val="20"/>
          <w:szCs w:val="20"/>
          <w:color w:val="auto"/>
        </w:rPr>
      </w:pPr>
      <w:r>
        <w:rPr>
          <w:rFonts w:ascii="Times New Roman" w:cs="Times New Roman" w:eastAsia="Times New Roman" w:hAnsi="Times New Roman"/>
          <w:sz w:val="17"/>
          <w:szCs w:val="17"/>
          <w:color w:val="auto"/>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11"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LCFSs received as a current asset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85" w:lineRule="exact"/>
        <w:rPr>
          <w:sz w:val="20"/>
          <w:szCs w:val="20"/>
          <w:color w:val="auto"/>
        </w:rPr>
      </w:pPr>
    </w:p>
    <w:p>
      <w:pPr>
        <w:jc w:val="both"/>
        <w:ind w:firstLine="298"/>
        <w:spacing w:after="0" w:line="250" w:lineRule="auto"/>
        <w:rPr>
          <w:sz w:val="20"/>
          <w:szCs w:val="20"/>
          <w:color w:val="auto"/>
        </w:rPr>
      </w:pPr>
      <w:r>
        <w:rPr>
          <w:rFonts w:ascii="Times New Roman" w:cs="Times New Roman" w:eastAsia="Times New Roman" w:hAnsi="Times New Roman"/>
          <w:sz w:val="17"/>
          <w:szCs w:val="17"/>
          <w:color w:val="auto"/>
        </w:rPr>
        <w:t>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three and nine months ended September 30, 2022, the Company earned net revenues after discount and fees of $19,335 and $49,023, respectively under this contract which was recorded as part of Revenues - RNG fuel.</w:t>
      </w:r>
    </w:p>
    <w:p>
      <w:pPr>
        <w:spacing w:after="0" w:line="113" w:lineRule="exact"/>
        <w:rPr>
          <w:sz w:val="20"/>
          <w:szCs w:val="20"/>
          <w:color w:val="auto"/>
        </w:rPr>
      </w:pPr>
    </w:p>
    <w:p>
      <w:pPr>
        <w:jc w:val="both"/>
        <w:ind w:firstLine="298"/>
        <w:spacing w:after="0" w:line="252" w:lineRule="auto"/>
        <w:rPr>
          <w:sz w:val="20"/>
          <w:szCs w:val="20"/>
          <w:color w:val="auto"/>
        </w:rPr>
      </w:pPr>
      <w:r>
        <w:rPr>
          <w:rFonts w:ascii="Times New Roman" w:cs="Times New Roman" w:eastAsia="Times New Roman" w:hAnsi="Times New Roman"/>
          <w:sz w:val="17"/>
          <w:szCs w:val="17"/>
          <w:color w:val="auto"/>
        </w:rPr>
        <w:t>Sales of environmental attributes such as RINs, RECs, and LCFS are generally recorded as revenue when the certificates related to them are delivered to a buyer. However, the Company may recognize revenue from the sale of such environmental attributes at the time of the related RNG or renewable power sales when the contract provides that title to the environmental attributes transfers at the time of production, the Company's price to the buyer is fixed, and collection of the sales proceeds occurs within 60 days after generation of the renewable power.</w:t>
      </w:r>
    </w:p>
    <w:p>
      <w:pPr>
        <w:spacing w:after="0" w:line="111"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spacing w:after="0" w:line="95" w:lineRule="exact"/>
        <w:rPr>
          <w:sz w:val="20"/>
          <w:szCs w:val="20"/>
          <w:color w:val="auto"/>
        </w:rPr>
      </w:pPr>
    </w:p>
    <w:p>
      <w:pPr>
        <w:jc w:val="both"/>
        <w:ind w:firstLine="298"/>
        <w:spacing w:after="0" w:line="252" w:lineRule="auto"/>
        <w:rPr>
          <w:sz w:val="20"/>
          <w:szCs w:val="20"/>
          <w:color w:val="auto"/>
        </w:rPr>
      </w:pPr>
      <w:r>
        <w:rPr>
          <w:rFonts w:ascii="Times New Roman" w:cs="Times New Roman" w:eastAsia="Times New Roman" w:hAnsi="Times New Roman"/>
          <w:sz w:val="17"/>
          <w:szCs w:val="17"/>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111"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spacing w:after="0" w:line="332" w:lineRule="exact"/>
        <w:rPr>
          <w:sz w:val="20"/>
          <w:szCs w:val="20"/>
          <w:color w:val="auto"/>
        </w:rPr>
      </w:pPr>
    </w:p>
    <w:p>
      <w:pPr>
        <w:jc w:val="both"/>
        <w:ind w:firstLine="298"/>
        <w:spacing w:after="0" w:line="236" w:lineRule="auto"/>
        <w:rPr>
          <w:sz w:val="20"/>
          <w:szCs w:val="20"/>
          <w:color w:val="auto"/>
        </w:rPr>
      </w:pPr>
      <w:r>
        <w:rPr>
          <w:rFonts w:ascii="Times New Roman" w:cs="Times New Roman" w:eastAsia="Times New Roman" w:hAnsi="Times New Roman"/>
          <w:sz w:val="17"/>
          <w:szCs w:val="17"/>
          <w:color w:val="auto"/>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the Company has concluded these agreements meet the criteria for a lease and are classified as operating leases. Typically, these agreements do not require any minimum consumption amounts and, therefore, no minimum payments. Included in "RNG fuel" revenues are $856 and $1,906 related to the lease portion of these agreements for the three and nine months ended September 30, 2022. The lease revenues included in Revenues - RNG fuel for the three and nine months ended September 30, 2021 were $694 and $1,644, respectively. In addition, the Company has assessed all power purchase agreements ("PPAs") and concluded that certain PPAs contain a lease element requiring lease accounting. Included in "Renewable power" revenues are $384 and $1,014 related to the lease element of these PPAs for the three and nine months ended September 30, 2022. For the three and nine months ended September 30, 2021, the lease revenues from the PPAs included in "Renewable power" revenues were $765 and $1,642,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Disaggregation of Revenue</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shows the disaggregation of revenue according to product line: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ectPr>
          <w:pgSz w:w="11900" w:h="16838" w:orient="portrait"/>
          <w:cols w:equalWidth="0" w:num="1">
            <w:col w:w="11240"/>
          </w:cols>
          <w:pgMar w:left="320" w:top="1440" w:right="339" w:bottom="1440" w:gutter="0" w:footer="0" w:header="0"/>
        </w:sectPr>
      </w:pPr>
    </w:p>
    <w:bookmarkStart w:id="22" w:name="page23"/>
    <w:bookmarkEnd w:id="22"/>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900" w:type="dxa"/>
            <w:vAlign w:val="bottom"/>
          </w:tcPr>
          <w:p>
            <w:pPr>
              <w:spacing w:after="0"/>
              <w:rPr>
                <w:sz w:val="16"/>
                <w:szCs w:val="16"/>
                <w:color w:val="auto"/>
              </w:rPr>
            </w:pPr>
          </w:p>
        </w:tc>
      </w:tr>
      <w:tr>
        <w:trPr>
          <w:trHeight w:val="207"/>
        </w:trPr>
        <w:tc>
          <w:tcPr>
            <w:tcW w:w="4560" w:type="dxa"/>
            <w:vAlign w:val="bottom"/>
          </w:tcPr>
          <w:p>
            <w:pPr>
              <w:spacing w:after="0"/>
              <w:rPr>
                <w:sz w:val="18"/>
                <w:szCs w:val="18"/>
                <w:color w:val="auto"/>
              </w:rPr>
            </w:pPr>
          </w:p>
        </w:tc>
        <w:tc>
          <w:tcPr>
            <w:tcW w:w="2720" w:type="dxa"/>
            <w:vAlign w:val="bottom"/>
            <w:gridSpan w:val="6"/>
          </w:tcPr>
          <w:p>
            <w:pPr>
              <w:ind w:left="1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40" w:type="dxa"/>
            <w:vAlign w:val="bottom"/>
          </w:tcPr>
          <w:p>
            <w:pPr>
              <w:spacing w:after="0"/>
              <w:rPr>
                <w:sz w:val="18"/>
                <w:szCs w:val="18"/>
                <w:color w:val="auto"/>
              </w:rPr>
            </w:pPr>
          </w:p>
        </w:tc>
        <w:tc>
          <w:tcPr>
            <w:tcW w:w="1840" w:type="dxa"/>
            <w:vAlign w:val="bottom"/>
            <w:gridSpan w:val="3"/>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00" w:type="dxa"/>
            <w:vAlign w:val="bottom"/>
          </w:tcPr>
          <w:p>
            <w:pPr>
              <w:spacing w:after="0"/>
              <w:rPr>
                <w:sz w:val="18"/>
                <w:szCs w:val="18"/>
                <w:color w:val="auto"/>
              </w:rPr>
            </w:pPr>
          </w:p>
        </w:tc>
      </w:tr>
      <w:tr>
        <w:trPr>
          <w:trHeight w:val="197"/>
        </w:trPr>
        <w:tc>
          <w:tcPr>
            <w:tcW w:w="456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w w:val="93"/>
              </w:rPr>
              <w:t>2021</w:t>
            </w:r>
          </w:p>
        </w:tc>
      </w:tr>
      <w:tr>
        <w:trPr>
          <w:trHeight w:val="27"/>
        </w:trPr>
        <w:tc>
          <w:tcPr>
            <w:tcW w:w="45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Renewable power sales</w:t>
            </w:r>
          </w:p>
        </w:tc>
        <w:tc>
          <w:tcPr>
            <w:tcW w:w="820" w:type="dxa"/>
            <w:vAlign w:val="bottom"/>
            <w:tcBorders>
              <w:bottom w:val="single" w:sz="8" w:color="CCEEFF"/>
            </w:tcBorders>
            <w:shd w:val="clear" w:color="auto" w:fill="CCEEFF"/>
          </w:tcPr>
          <w:p>
            <w:pPr>
              <w:jc w:val="right"/>
              <w:ind w:right="645"/>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9,666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9,551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27,205</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28,162</w:t>
            </w:r>
          </w:p>
        </w:tc>
      </w:tr>
      <w:tr>
        <w:trPr>
          <w:trHeight w:val="193"/>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Third party construction</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18,660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14,078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41,476</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23,348</w:t>
            </w:r>
          </w:p>
        </w:tc>
      </w:tr>
      <w:tr>
        <w:trPr>
          <w:trHeight w:val="31"/>
        </w:trPr>
        <w:tc>
          <w:tcPr>
            <w:tcW w:w="4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4"/>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Service</w:t>
            </w:r>
          </w:p>
        </w:tc>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11,910</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11,674</w:t>
            </w:r>
          </w:p>
        </w:tc>
      </w:tr>
      <w:tr>
        <w:trPr>
          <w:trHeight w:val="193"/>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Brown gas sales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12,430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23,398</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7,836</w:t>
            </w:r>
          </w:p>
        </w:tc>
      </w:tr>
      <w:tr>
        <w:trPr>
          <w:trHeight w:val="31"/>
        </w:trPr>
        <w:tc>
          <w:tcPr>
            <w:tcW w:w="4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4"/>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Environmental credits</w:t>
            </w:r>
          </w:p>
        </w:tc>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19,649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13,202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58,444</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25,198</w:t>
            </w:r>
          </w:p>
        </w:tc>
      </w:tr>
      <w:tr>
        <w:trPr>
          <w:trHeight w:val="193"/>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Parts sales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2,332</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w:t>
            </w:r>
          </w:p>
        </w:tc>
      </w:tr>
      <w:tr>
        <w:trPr>
          <w:trHeight w:val="31"/>
        </w:trPr>
        <w:tc>
          <w:tcPr>
            <w:tcW w:w="4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4"/>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agreements</w:t>
            </w:r>
          </w:p>
        </w:tc>
        <w:tc>
          <w:tcPr>
            <w:tcW w:w="8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893</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2,433</w:t>
            </w:r>
          </w:p>
        </w:tc>
      </w:tr>
      <w:tr>
        <w:trPr>
          <w:trHeight w:val="193"/>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2,499</w:t>
            </w:r>
          </w:p>
        </w:tc>
      </w:tr>
      <w:tr>
        <w:trPr>
          <w:trHeight w:val="31"/>
        </w:trPr>
        <w:tc>
          <w:tcPr>
            <w:tcW w:w="45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6"/>
        </w:trPr>
        <w:tc>
          <w:tcPr>
            <w:tcW w:w="4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revenue from contracts with customers</w:t>
            </w:r>
          </w:p>
        </w:tc>
        <w:tc>
          <w:tcPr>
            <w:tcW w:w="8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65,310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45,725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165,894</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101,682</w:t>
            </w:r>
          </w:p>
        </w:tc>
      </w:tr>
      <w:tr>
        <w:trPr>
          <w:trHeight w:val="186"/>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Lease revenue</w:t>
            </w:r>
          </w:p>
        </w:tc>
        <w:tc>
          <w:tcPr>
            <w:tcW w:w="8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1,459</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2,920</w:t>
            </w:r>
          </w:p>
        </w:tc>
        <w:tc>
          <w:tcPr>
            <w:tcW w:w="1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3,286</w:t>
            </w:r>
          </w:p>
        </w:tc>
      </w:tr>
      <w:tr>
        <w:trPr>
          <w:trHeight w:val="31"/>
        </w:trPr>
        <w:tc>
          <w:tcPr>
            <w:tcW w:w="45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8"/>
        </w:trPr>
        <w:tc>
          <w:tcPr>
            <w:tcW w:w="4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revenue</w:t>
            </w:r>
          </w:p>
        </w:tc>
        <w:tc>
          <w:tcPr>
            <w:tcW w:w="820" w:type="dxa"/>
            <w:vAlign w:val="bottom"/>
            <w:tcBorders>
              <w:bottom w:val="single" w:sz="8" w:color="auto"/>
            </w:tcBorders>
            <w:shd w:val="clear" w:color="auto" w:fill="CCEEFF"/>
          </w:tcPr>
          <w:p>
            <w:pPr>
              <w:jc w:val="right"/>
              <w:ind w:right="645"/>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66,550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47,184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168,814</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104,968</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For the three and nine months ended September 30, 2022, 28% and 24.6%, respectively of revenue was recognized over time, and the remainder was for products and services transferred at a point in time. For the three and nine months ended September 30, 2021, approximately 29.8% and 22.2%, respectively, of revenue was recognized over time, and the remainder was for products and services transferred at a point in time.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shows the items consisting of items recorded as Other income:</w:t>
      </w:r>
    </w:p>
    <w:p>
      <w:pPr>
        <w:spacing w:after="0" w:line="252" w:lineRule="exact"/>
        <w:rPr>
          <w:sz w:val="20"/>
          <w:szCs w:val="20"/>
          <w:color w:val="auto"/>
        </w:rPr>
      </w:pPr>
    </w:p>
    <w:tbl>
      <w:tblPr>
        <w:tblLayout w:type="fixed"/>
        <w:tblInd w:w="60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ind w:left="560"/>
              <w:spacing w:after="0"/>
              <w:rPr>
                <w:sz w:val="20"/>
                <w:szCs w:val="20"/>
                <w:color w:val="auto"/>
              </w:rPr>
            </w:pPr>
            <w:r>
              <w:rPr>
                <w:rFonts w:ascii="Times New Roman" w:cs="Times New Roman" w:eastAsia="Times New Roman" w:hAnsi="Times New Roman"/>
                <w:sz w:val="15"/>
                <w:szCs w:val="15"/>
                <w:b w:val="1"/>
                <w:bCs w:val="1"/>
                <w:color w:val="auto"/>
                <w:w w:val="98"/>
              </w:rPr>
              <w:t>Nine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60" w:type="dxa"/>
            <w:vAlign w:val="bottom"/>
          </w:tcPr>
          <w:p>
            <w:pPr>
              <w:spacing w:after="0"/>
              <w:rPr>
                <w:sz w:val="18"/>
                <w:szCs w:val="18"/>
                <w:color w:val="auto"/>
              </w:rPr>
            </w:pPr>
          </w:p>
        </w:tc>
        <w:tc>
          <w:tcPr>
            <w:tcW w:w="2720" w:type="dxa"/>
            <w:vAlign w:val="bottom"/>
            <w:gridSpan w:val="6"/>
          </w:tcPr>
          <w:p>
            <w:pPr>
              <w:ind w:left="1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40" w:type="dxa"/>
            <w:vAlign w:val="bottom"/>
          </w:tcPr>
          <w:p>
            <w:pPr>
              <w:spacing w:after="0"/>
              <w:rPr>
                <w:sz w:val="18"/>
                <w:szCs w:val="18"/>
                <w:color w:val="auto"/>
              </w:rPr>
            </w:pPr>
          </w:p>
        </w:tc>
        <w:tc>
          <w:tcPr>
            <w:tcW w:w="1840" w:type="dxa"/>
            <w:vAlign w:val="bottom"/>
            <w:gridSpan w:val="3"/>
          </w:tcPr>
          <w:p>
            <w:pPr>
              <w:ind w:left="74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6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w w:val="93"/>
              </w:rPr>
              <w:t>2021</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456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5"/>
                <w:szCs w:val="15"/>
                <w:color w:val="auto"/>
              </w:rPr>
              <w:t>Reversal of contingent consideration on acquisition of non-controlling</w:t>
            </w:r>
          </w:p>
        </w:tc>
        <w:tc>
          <w:tcPr>
            <w:tcW w:w="860" w:type="dxa"/>
            <w:vAlign w:val="bottom"/>
            <w:vMerge w:val="restart"/>
            <w:shd w:val="clear" w:color="auto" w:fill="CCEEFF"/>
          </w:tcPr>
          <w:p>
            <w:pPr>
              <w:jc w:val="right"/>
              <w:ind w:right="705"/>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4,365</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vMerge w:val="restart"/>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4,365</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1"/>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interest</w:t>
            </w:r>
          </w:p>
        </w:tc>
        <w:tc>
          <w:tcPr>
            <w:tcW w:w="86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redemption of Note receivable</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14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1,943</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45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income</w:t>
            </w:r>
          </w:p>
        </w:tc>
        <w:tc>
          <w:tcPr>
            <w:tcW w:w="86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6,308</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 Balances</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provides information about receivables, contract assets, and contract liabilities from contracts with customers: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200" w:type="dxa"/>
            <w:vAlign w:val="bottom"/>
          </w:tcPr>
          <w:p>
            <w:pPr>
              <w:spacing w:after="0"/>
              <w:rPr>
                <w:sz w:val="15"/>
                <w:szCs w:val="15"/>
                <w:color w:val="auto"/>
              </w:rPr>
            </w:pPr>
          </w:p>
        </w:tc>
        <w:tc>
          <w:tcPr>
            <w:tcW w:w="1280" w:type="dxa"/>
            <w:vAlign w:val="bottom"/>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97"/>
        </w:trPr>
        <w:tc>
          <w:tcPr>
            <w:tcW w:w="8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Accounts receivable, net</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36,660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25,391</w:t>
            </w:r>
          </w:p>
        </w:tc>
        <w:tc>
          <w:tcPr>
            <w:tcW w:w="0" w:type="dxa"/>
            <w:vAlign w:val="bottom"/>
          </w:tcPr>
          <w:p>
            <w:pPr>
              <w:spacing w:after="0"/>
              <w:rPr>
                <w:sz w:val="1"/>
                <w:szCs w:val="1"/>
                <w:color w:val="auto"/>
              </w:rPr>
            </w:pPr>
          </w:p>
        </w:tc>
      </w:tr>
      <w:tr>
        <w:trPr>
          <w:trHeight w:val="197"/>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Contract assets: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Cost and estimated earnings in excess of billings</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12,514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5,989</w:t>
            </w:r>
          </w:p>
        </w:tc>
        <w:tc>
          <w:tcPr>
            <w:tcW w:w="0" w:type="dxa"/>
            <w:vAlign w:val="bottom"/>
          </w:tcPr>
          <w:p>
            <w:pPr>
              <w:spacing w:after="0"/>
              <w:rPr>
                <w:sz w:val="1"/>
                <w:szCs w:val="1"/>
                <w:color w:val="auto"/>
              </w:rPr>
            </w:pP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retainage, net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2,495</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Contract assets total</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14,676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Contract 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1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Billings in excess of costs and estimated earnings</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9,785</w:t>
            </w:r>
          </w:p>
        </w:tc>
        <w:tc>
          <w:tcPr>
            <w:tcW w:w="0" w:type="dxa"/>
            <w:vAlign w:val="bottom"/>
          </w:tcPr>
          <w:p>
            <w:pPr>
              <w:spacing w:after="0"/>
              <w:rPr>
                <w:sz w:val="1"/>
                <w:szCs w:val="1"/>
                <w:color w:val="auto"/>
              </w:rPr>
            </w:pPr>
          </w:p>
        </w:tc>
      </w:tr>
      <w:tr>
        <w:trPr>
          <w:trHeight w:val="213"/>
        </w:trPr>
        <w:tc>
          <w:tcPr>
            <w:tcW w:w="8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Contract liabilities 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6,750</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9,785</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During the nine months ended September 30, 2022, the Company recognized revenue of $9,785 that was included in "Contract liabilities" at December 31, 2021.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nine months ended September 30, 2021, the Company recognized revenue of $4,678 that was included in "Contract liabilities" at December 31, 2020.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RNG inventory</w:t>
      </w:r>
    </w:p>
    <w:p>
      <w:pPr>
        <w:spacing w:after="0" w:line="206" w:lineRule="exact"/>
        <w:rPr>
          <w:sz w:val="20"/>
          <w:szCs w:val="20"/>
          <w:color w:val="auto"/>
        </w:rPr>
      </w:pPr>
    </w:p>
    <w:p>
      <w:pPr>
        <w:jc w:val="both"/>
        <w:ind w:firstLine="298"/>
        <w:spacing w:after="0" w:line="300" w:lineRule="auto"/>
        <w:rPr>
          <w:sz w:val="20"/>
          <w:szCs w:val="20"/>
          <w:color w:val="auto"/>
        </w:rPr>
      </w:pPr>
      <w:r>
        <w:rPr>
          <w:rFonts w:ascii="Times New Roman" w:cs="Times New Roman" w:eastAsia="Times New Roman" w:hAnsi="Times New Roman"/>
          <w:sz w:val="16"/>
          <w:szCs w:val="16"/>
          <w:color w:val="auto"/>
        </w:rPr>
        <w:t>RNG inventory relates to storage of an equivalent amount of RNG production from our new RNG facilities during their RIN and LCFS certification period. It is sold to various customers at market prices upon obtaining RIN or LCFS certification. It is recorded at cost and adjusted to its net realizable value at each balance sheet date.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Backlog</w:t>
      </w:r>
    </w:p>
    <w:p>
      <w:pPr>
        <w:spacing w:after="0" w:line="132"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The Company's remaining performance obligations ("backlog") represent the unrecognized revenue value of its contract commitments. The Company's backlog may significantly vary each reporting period based on the timing of major new contract commitments. At September 30, 2022, the Company had a backlog of $36,311 which is anticipated to be recognized as revenue in the next 12 months.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44"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As a result of the Business Combination, the Company is the sole managing member of OPAL Fuels. OPAL Fuels is a limited liability company that is treated as a partnership for U.S. federal income tax purposes and for most applicable state and local income taxes. Any taxable income or loss generated by OPAL Fuels is passed through to and included in the taxable income or loss of its members, including the Company, on a pro-rata basis, subject to applicable tax regulations.</w:t>
      </w:r>
    </w:p>
    <w:p>
      <w:pPr>
        <w:spacing w:after="0" w:line="108" w:lineRule="exact"/>
        <w:rPr>
          <w:sz w:val="20"/>
          <w:szCs w:val="20"/>
          <w:color w:val="auto"/>
        </w:rPr>
      </w:pPr>
    </w:p>
    <w:p>
      <w:pPr>
        <w:jc w:val="both"/>
        <w:ind w:firstLine="298"/>
        <w:spacing w:after="0" w:line="248" w:lineRule="auto"/>
        <w:rPr>
          <w:sz w:val="20"/>
          <w:szCs w:val="20"/>
          <w:color w:val="auto"/>
        </w:rPr>
      </w:pPr>
      <w:r>
        <w:rPr>
          <w:rFonts w:ascii="Times New Roman" w:cs="Times New Roman" w:eastAsia="Times New Roman" w:hAnsi="Times New Roman"/>
          <w:sz w:val="17"/>
          <w:szCs w:val="17"/>
          <w:color w:val="auto"/>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condensed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Significant Customers, Vendors and Concentration of Credit Risk</w:t>
      </w:r>
    </w:p>
    <w:p>
      <w:pPr>
        <w:spacing w:after="0" w:line="132"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For the three and nine months ended September 30, 2022, two customers accounted for 49% and 45% of revenue, respectively. For the three and nine months ended 2021, two customers accounted for 18% and 30% of revenue, respectively. At September 30, 2022, two customers accounted for 38% of accounts receivable. At December 31, 2021, one customer accounted for 11%, of accounts receivable.</w:t>
      </w:r>
    </w:p>
    <w:p>
      <w:pPr>
        <w:spacing w:after="0" w:line="108"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08"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As of September 30, 2022 one vendor, respectively accounted for 22% of the accounts payable. As of December 31, 2021, no vendors accounted for greater than 10% of the accounts payable.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3.Business Combination</w:t>
      </w:r>
    </w:p>
    <w:p>
      <w:pPr>
        <w:spacing w:after="0" w:line="206" w:lineRule="exact"/>
        <w:rPr>
          <w:sz w:val="20"/>
          <w:szCs w:val="20"/>
          <w:color w:val="auto"/>
        </w:rPr>
      </w:pPr>
    </w:p>
    <w:p>
      <w:pPr>
        <w:jc w:val="both"/>
        <w:ind w:firstLine="298"/>
        <w:spacing w:after="0" w:line="249" w:lineRule="auto"/>
        <w:rPr>
          <w:sz w:val="20"/>
          <w:szCs w:val="20"/>
          <w:color w:val="auto"/>
        </w:rPr>
      </w:pPr>
      <w:r>
        <w:rPr>
          <w:rFonts w:ascii="Times New Roman" w:cs="Times New Roman" w:eastAsia="Times New Roman" w:hAnsi="Times New Roman"/>
          <w:sz w:val="17"/>
          <w:szCs w:val="17"/>
          <w:color w:val="auto"/>
        </w:rPr>
        <w:t>On July 21, 2022, ArcLight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“Domestication”). Pursuant to the Domestication, (i) each outstanding Class B ordinary share, par value $0.0001 per share of ArcLight was automatically converted, on a one-for-one basis, into a Class A ordinary share, par value $0.0001 per share (the “Class A ordinary shares”), of ArcLight; (ii) each issued and outstanding Class A ordinary share (including Class A ordinary shares resulting from the conversion of Class B ordinary shares into</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ectPr>
          <w:pgSz w:w="11900" w:h="16838" w:orient="portrait"/>
          <w:cols w:equalWidth="0" w:num="1">
            <w:col w:w="11240"/>
          </w:cols>
          <w:pgMar w:left="320" w:top="1440" w:right="339" w:bottom="1440" w:gutter="0" w:footer="0" w:header="0"/>
        </w:sectPr>
      </w:pPr>
    </w:p>
    <w:bookmarkStart w:id="24" w:name="page25"/>
    <w:bookmarkEnd w:id="24"/>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Class A ordinary shares) was automatically converted, on a one-for-one basis, into a share of the Company's Class A common stock, par value $0.0001 per share; (iii) each issued and outstanding whole warrant to purchase Class A ordinary shares of ArcLight automatically converted into a warrant to acquire one share of the Company's Class A common stock at an exercise price of $11.50 per share ("OPAL Warrant");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the Company's Class A common stock and one-half of one OPAL Warrant.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consummation of the Business Combination, the events summarized below, among others, occurred:</w:t>
      </w:r>
    </w:p>
    <w:p>
      <w:pPr>
        <w:spacing w:after="0" w:line="9" w:lineRule="exact"/>
        <w:rPr>
          <w:sz w:val="20"/>
          <w:szCs w:val="20"/>
          <w:color w:val="auto"/>
        </w:rPr>
      </w:pPr>
    </w:p>
    <w:p>
      <w:pPr>
        <w:jc w:val="both"/>
        <w:ind w:left="600" w:firstLine="294"/>
        <w:spacing w:after="0" w:line="236" w:lineRule="auto"/>
        <w:tabs>
          <w:tab w:leader="none" w:pos="119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OPAL Fuels and its existing members caused OPAL Fuels’ existing limited liability company agreement to be amended and restated and in connection therewith, all of the common units of OPAL Fuels issued and outstanding immediately prior to the closing were re-classified into 144,399,037 Class B common units ( "Class B Units") of OPAL Fuels. The Company accounts for these Class B units as Redeemable non-controlling interests in its condensed consolidated financial statements. Each Class B unit is paired with 1 non-economic share of Class D common stock issued by the Company.</w:t>
      </w:r>
    </w:p>
    <w:p>
      <w:pPr>
        <w:spacing w:after="0" w:line="207" w:lineRule="exact"/>
        <w:rPr>
          <w:rFonts w:ascii="Times New Roman" w:cs="Times New Roman" w:eastAsia="Times New Roman" w:hAnsi="Times New Roman"/>
          <w:sz w:val="17"/>
          <w:szCs w:val="17"/>
          <w:color w:val="auto"/>
        </w:rPr>
      </w:pPr>
    </w:p>
    <w:p>
      <w:pPr>
        <w:jc w:val="both"/>
        <w:ind w:left="600" w:firstLine="294"/>
        <w:spacing w:after="0" w:line="239" w:lineRule="auto"/>
        <w:tabs>
          <w:tab w:leader="none" w:pos="123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ArcLight (i) contributed to OPAL Fuels $138,850 in cash net of transaction expenses of $9.7 million, representing the sum of cash in the trust account after giving effect to the exercise of redemption rights by any Arclight shareholders plus the aggregate proceeds of the PIPE investment received and (ii) issued to OPAL Fuels 144,399,037 shares of Class D common stock of the Company, par value $0.0001 per share; (ii) issued 11,080,600 shares of the Company's Class A common stock to the PIPE investors at $10.0 per share, par value $0.0001 per share and (iii) issued 3,059,533 shares of the Company's Class A common stock to ARCC Beacon LLC ("Ares");</w:t>
      </w:r>
    </w:p>
    <w:p>
      <w:pPr>
        <w:spacing w:after="0" w:line="170" w:lineRule="exact"/>
        <w:rPr>
          <w:rFonts w:ascii="Times New Roman" w:cs="Times New Roman" w:eastAsia="Times New Roman" w:hAnsi="Times New Roman"/>
          <w:sz w:val="17"/>
          <w:szCs w:val="17"/>
          <w:color w:val="auto"/>
        </w:rPr>
      </w:pPr>
    </w:p>
    <w:p>
      <w:pPr>
        <w:ind w:left="1220" w:hanging="326"/>
        <w:spacing w:after="0"/>
        <w:tabs>
          <w:tab w:leader="none" w:pos="12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OPAL Fuels issued 25,671,390 Class A Units of OPAL Fuels to the Company; and</w:t>
      </w:r>
    </w:p>
    <w:p>
      <w:pPr>
        <w:spacing w:after="0" w:line="202" w:lineRule="exact"/>
        <w:rPr>
          <w:rFonts w:ascii="Times New Roman" w:cs="Times New Roman" w:eastAsia="Times New Roman" w:hAnsi="Times New Roman"/>
          <w:sz w:val="17"/>
          <w:szCs w:val="17"/>
          <w:color w:val="auto"/>
        </w:rPr>
      </w:pPr>
    </w:p>
    <w:p>
      <w:pPr>
        <w:jc w:val="both"/>
        <w:ind w:left="600" w:firstLine="294"/>
        <w:spacing w:after="0" w:line="256" w:lineRule="auto"/>
        <w:tabs>
          <w:tab w:leader="none" w:pos="123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contributed to OPAL Fuels, and OPAL Fuels in turn distributed to pre-closing members of OPAL Fuels, 144,399,037 shares of Class D common stock, par value $0.0001 per share (such shares of Class D common stock do not have any economic value but entitle the holder thereof to five votes per share).</w:t>
      </w:r>
    </w:p>
    <w:p>
      <w:pPr>
        <w:spacing w:after="0" w:line="195" w:lineRule="exact"/>
        <w:rPr>
          <w:sz w:val="20"/>
          <w:szCs w:val="20"/>
          <w:color w:val="auto"/>
        </w:rPr>
      </w:pPr>
    </w:p>
    <w:p>
      <w:pPr>
        <w:jc w:val="both"/>
        <w:ind w:firstLine="298"/>
        <w:spacing w:after="0" w:line="237" w:lineRule="auto"/>
        <w:rPr>
          <w:sz w:val="20"/>
          <w:szCs w:val="20"/>
          <w:color w:val="auto"/>
        </w:rPr>
      </w:pPr>
      <w:r>
        <w:rPr>
          <w:rFonts w:ascii="Times New Roman" w:cs="Times New Roman" w:eastAsia="Times New Roman" w:hAnsi="Times New Roman"/>
          <w:sz w:val="17"/>
          <w:szCs w:val="17"/>
          <w:color w:val="auto"/>
        </w:rPr>
        <w:t xml:space="preserve">Pursuant to a forward share purchase agreement (the “Forward Purchase Agreement”) entered into between ArcLight and Meteora and its affiliates (collectively, “Meteora”), prior to the closing of the Business Combination Meteora purchased 2,000,000 Class A common stock of ArcLight from shareholders who had previously tendered such shares for redemption but agreed to reverse their redemption and sell such shares to Meteora at the redemption price, resulting in Meteora holding a total of 2,000,000 Class A common stock, which Meteora agreed not to redeem in connection with the Business Combination. Additionally, ArcLight placed $20,040 in escrow at the closing of the Business Combination to secure its purchase obligation to repurchase these 2,000,000 shares at Meteora’s option for a price of $10.02 per share on the date that is six months after closing of the Business Combination. The cash plus earned interest is recorded as Restricted cash - current in the Company's condensed consolidated balance sheet as of September 30, 2022. The put option written to Meteora on 2,000,000 shares of Class A common stock is recorded as a liability under Topic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xml:space="preserve"> with the change in the fair market value recognized in the statement of operations. As of September 30, 2022, Meteora sold 340,000 shares. The fair value of the put option for the remaining 1,700,000 as of September 30, 2022 was estimated at $4,200. For the three and nine months ended September 30, 2022, the Company recorded a gain of $384 as change in fair value of derivative instruments,net in its Condensed Consolidated Statement of Operations.</w:t>
      </w:r>
    </w:p>
    <w:p>
      <w:pPr>
        <w:spacing w:after="0" w:line="201" w:lineRule="exact"/>
        <w:rPr>
          <w:sz w:val="20"/>
          <w:szCs w:val="20"/>
          <w:color w:val="auto"/>
        </w:rPr>
      </w:pPr>
    </w:p>
    <w:p>
      <w:pPr>
        <w:jc w:val="both"/>
        <w:ind w:firstLine="298"/>
        <w:spacing w:after="0" w:line="237" w:lineRule="auto"/>
        <w:rPr>
          <w:sz w:val="20"/>
          <w:szCs w:val="20"/>
          <w:color w:val="auto"/>
        </w:rPr>
      </w:pPr>
      <w:r>
        <w:rPr>
          <w:rFonts w:ascii="Times New Roman" w:cs="Times New Roman" w:eastAsia="Times New Roman" w:hAnsi="Times New Roman"/>
          <w:sz w:val="17"/>
          <w:szCs w:val="17"/>
          <w:color w:val="auto"/>
        </w:rPr>
        <w:t>Pursuant to the terms of the Sponsor Letter Agreement entered into on December 2, 2021 among ArcLight, ArcLight CTC Holdings II, L.P. (“Sponsor”), OPAL Fuels and certain other persons concurrently with the execution of the Business Combination Agreement (the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(“Sponsor Earnout Awards”). The Company accounted for the potential earnout shares as a liability at fair value with the change in the fair market value recognized in the statement of operations. The Sponsor Earnout Awards were classified as liability as their settlement terms contained certain variables that precluded them from being considered index to the Company's common stock under the "fixed-for-fixed" requirement per ASC 815 D</w:t>
      </w:r>
      <w:r>
        <w:rPr>
          <w:rFonts w:ascii="Times New Roman" w:cs="Times New Roman" w:eastAsia="Times New Roman" w:hAnsi="Times New Roman"/>
          <w:sz w:val="17"/>
          <w:szCs w:val="17"/>
          <w:i w:val="1"/>
          <w:iCs w:val="1"/>
          <w:color w:val="auto"/>
        </w:rPr>
        <w:t>erivatives and Hedging</w:t>
      </w:r>
      <w:r>
        <w:rPr>
          <w:rFonts w:ascii="Times New Roman" w:cs="Times New Roman" w:eastAsia="Times New Roman" w:hAnsi="Times New Roman"/>
          <w:sz w:val="17"/>
          <w:szCs w:val="17"/>
          <w:color w:val="auto"/>
        </w:rPr>
        <w:t>. The fair value of Sponsor Earnout Awards as of September 30, 2022 was estimated at $4,600.</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For the three and nine months ended September 30, 2022, the Company recorded a gain of $1,100 as change in fair value of derivative instruments,net in its condensed consolidated statement of operations.</w:t>
      </w:r>
    </w:p>
    <w:p>
      <w:pPr>
        <w:spacing w:after="0" w:line="197" w:lineRule="exact"/>
        <w:rPr>
          <w:sz w:val="20"/>
          <w:szCs w:val="20"/>
          <w:color w:val="auto"/>
        </w:rPr>
      </w:pPr>
    </w:p>
    <w:p>
      <w:pPr>
        <w:jc w:val="both"/>
        <w:ind w:firstLine="298"/>
        <w:spacing w:after="0" w:line="252" w:lineRule="auto"/>
        <w:rPr>
          <w:sz w:val="20"/>
          <w:szCs w:val="20"/>
          <w:color w:val="auto"/>
        </w:rPr>
      </w:pPr>
      <w:r>
        <w:rPr>
          <w:rFonts w:ascii="Times New Roman" w:cs="Times New Roman" w:eastAsia="Times New Roman" w:hAnsi="Times New Roman"/>
          <w:sz w:val="16"/>
          <w:szCs w:val="16"/>
          <w:color w:val="auto"/>
        </w:rPr>
        <w:t xml:space="preserve">Effective immediately after the closing, and upon the date on which the Company's annual adjusted EBITDA for the calendar year 2023 exceeds $238,000, (i) the Company will issue to OPAL Fuels equity holders (the “Earnout Participants”) an aggregate of 5,000,000 shares of the Company's Class B common stock and Class D common stock and corresponding OPAL Fuels Common Units in accordance with the allocations set forth in the Business Combination Agreement. Additionally, upon the date on which the Company's annual adjusted EBITDA for the calendar year 2024 exceeds $446,000, (i) the Company will issue to the Earnout Participants an aggregate of 5,000,000 additional shares of the Company's Class B common stock and Class D common stock and corresponding OPAL Fuels Common Units in accordance with the allocations set forth in the Business Combination Agreement (“OPAL Earnout Awards”). OPAL Earnout Awards were classified as a liability under Topic 480 </w:t>
      </w:r>
      <w:r>
        <w:rPr>
          <w:rFonts w:ascii="Times New Roman" w:cs="Times New Roman" w:eastAsia="Times New Roman" w:hAnsi="Times New Roman"/>
          <w:sz w:val="16"/>
          <w:szCs w:val="16"/>
          <w:i w:val="1"/>
          <w:iCs w:val="1"/>
          <w:color w:val="auto"/>
        </w:rPr>
        <w:t>Distinguishing Liabilities from Equity</w:t>
      </w:r>
      <w:r>
        <w:rPr>
          <w:rFonts w:ascii="Times New Roman" w:cs="Times New Roman" w:eastAsia="Times New Roman" w:hAnsi="Times New Roman"/>
          <w:sz w:val="16"/>
          <w:szCs w:val="16"/>
          <w:color w:val="auto"/>
        </w:rPr>
        <w:t xml:space="preserve"> because they are considered indexed to an obligation to repurchase shares by delivering cash or other assets as a result of certain settlement provisions. The fair value of OPAL Earnout Awards as of September 30, 2022 was estimated at $34,900. For the three and nine months ended September 30, 2022, the Company recorded a gain of $5,300 as change in fair value of derivative instruments,net in its condensed consolidated statements of operations.</w:t>
      </w:r>
    </w:p>
    <w:p>
      <w:pPr>
        <w:spacing w:after="0" w:line="200" w:lineRule="exact"/>
        <w:rPr>
          <w:sz w:val="20"/>
          <w:szCs w:val="20"/>
          <w:color w:val="auto"/>
        </w:rPr>
      </w:pPr>
    </w:p>
    <w:p>
      <w:pPr>
        <w:jc w:val="both"/>
        <w:ind w:firstLine="298"/>
        <w:spacing w:after="0" w:line="253" w:lineRule="auto"/>
        <w:rPr>
          <w:sz w:val="20"/>
          <w:szCs w:val="20"/>
          <w:color w:val="auto"/>
        </w:rPr>
      </w:pPr>
      <w:r>
        <w:rPr>
          <w:rFonts w:ascii="Times New Roman" w:cs="Times New Roman" w:eastAsia="Times New Roman" w:hAnsi="Times New Roman"/>
          <w:sz w:val="17"/>
          <w:szCs w:val="17"/>
          <w:color w:val="auto"/>
        </w:rPr>
        <w:t>Upon the completion of the business combination, the Company assumed the Public Warrants and Private Warrants. As of September 30, 2022, the Company had 6,223,261 and 9,223,261 Public Warrants and Private Warrants outstanding, respectively.</w:t>
      </w:r>
    </w:p>
    <w:p>
      <w:pPr>
        <w:spacing w:after="0" w:line="184" w:lineRule="exact"/>
        <w:rPr>
          <w:sz w:val="20"/>
          <w:szCs w:val="20"/>
          <w:color w:val="auto"/>
        </w:rPr>
      </w:pPr>
    </w:p>
    <w:p>
      <w:pPr>
        <w:jc w:val="both"/>
        <w:ind w:firstLine="298"/>
        <w:spacing w:after="0" w:line="238" w:lineRule="auto"/>
        <w:rPr>
          <w:sz w:val="20"/>
          <w:szCs w:val="20"/>
          <w:color w:val="auto"/>
        </w:rPr>
      </w:pPr>
      <w:r>
        <w:rPr>
          <w:rFonts w:ascii="Times New Roman" w:cs="Times New Roman" w:eastAsia="Times New Roman" w:hAnsi="Times New Roman"/>
          <w:sz w:val="17"/>
          <w:szCs w:val="17"/>
          <w:color w:val="auto"/>
        </w:rPr>
        <w:t>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warrants have an exercise price of $11.50 per share, subject to adjustments, and will expire five years after the completion of a Business Combination or earlier upon redemption or liquidation. The fair value of the Public Warrants as of September 30, 2022 was estimated at $9,024. For the three and nine months ended September 30, 2022, the Company recorded an expense of $3,578 as change in fair value of derivative instruments, net in its condensed consolidated statements of operations.</w:t>
      </w:r>
    </w:p>
    <w:p>
      <w:pPr>
        <w:spacing w:after="0" w:line="209" w:lineRule="exact"/>
        <w:rPr>
          <w:sz w:val="20"/>
          <w:szCs w:val="20"/>
          <w:color w:val="auto"/>
        </w:rPr>
      </w:pPr>
    </w:p>
    <w:p>
      <w:pPr>
        <w:jc w:val="both"/>
        <w:ind w:firstLine="298"/>
        <w:spacing w:after="0" w:line="238" w:lineRule="auto"/>
        <w:rPr>
          <w:sz w:val="20"/>
          <w:szCs w:val="20"/>
          <w:color w:val="auto"/>
        </w:rPr>
      </w:pPr>
      <w:r>
        <w:rPr>
          <w:rFonts w:ascii="Times New Roman" w:cs="Times New Roman" w:eastAsia="Times New Roman" w:hAnsi="Times New Roman"/>
          <w:sz w:val="17"/>
          <w:szCs w:val="17"/>
          <w:color w:val="auto"/>
        </w:rPr>
        <w:t>The Private Warrants are identical to the Public Warrants underlying the units sold in the Initial Public Offering, except that the Private Warrants and the Class A common stock issuable upon exercise of the Private Placement Warrants will not be transferable, assignable or salable until 30 days after the completion of a Business Combination, subject to certain limited exceptions. Additionally, the Private Warrants will be non-redeemable so long as they are held by the initial purchasers or such purchasers’ permitted transferees. If the Private Warrants are held by someone other than the Initial Shareholders or their permitted transferees, the Private Warrants will be redeemable by the Company and exercisable by such holders on the same basis as the Public Warrants. The fair value of the Private Warrants as of September 30, 2022 was estimated at $13,388. For the three and nine months ended September 30, 2022, the Company recorded an expense of $5,309 as change in fair value of derivative instruments, net in its condensed consolidated statements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Redemption of warrants for cash when the price per Class A common stock price equals or exceeds $18.00:</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Once the warrants become exercisable, the Company may redeem the outstanding warrants (except as described herein with respect to the Private Warrants):</w:t>
      </w:r>
    </w:p>
    <w:p>
      <w:pPr>
        <w:spacing w:after="0" w:line="227" w:lineRule="exact"/>
        <w:rPr>
          <w:sz w:val="20"/>
          <w:szCs w:val="20"/>
          <w:color w:val="auto"/>
        </w:rPr>
      </w:pPr>
    </w:p>
    <w:p>
      <w:pPr>
        <w:ind w:left="600" w:hanging="302"/>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8" w:lineRule="exact"/>
        <w:rPr>
          <w:rFonts w:ascii="Times New Roman" w:cs="Times New Roman" w:eastAsia="Times New Roman" w:hAnsi="Times New Roman"/>
          <w:sz w:val="17"/>
          <w:szCs w:val="17"/>
          <w:color w:val="auto"/>
        </w:rPr>
      </w:pPr>
    </w:p>
    <w:p>
      <w:pPr>
        <w:ind w:left="600" w:hanging="302"/>
        <w:spacing w:after="0" w:line="228"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warrant;</w:t>
      </w:r>
    </w:p>
    <w:p>
      <w:pPr>
        <w:ind w:left="600" w:hanging="302"/>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 minimum of 30 days’ prior written notice of redemption to each warrant holder; and</w:t>
      </w:r>
    </w:p>
    <w:p>
      <w:pPr>
        <w:spacing w:after="0" w:line="2" w:lineRule="exact"/>
        <w:rPr>
          <w:rFonts w:ascii="Times New Roman" w:cs="Times New Roman" w:eastAsia="Times New Roman" w:hAnsi="Times New Roman"/>
          <w:sz w:val="17"/>
          <w:szCs w:val="17"/>
          <w:color w:val="auto"/>
        </w:rPr>
      </w:pPr>
    </w:p>
    <w:p>
      <w:pPr>
        <w:ind w:left="600" w:hanging="302"/>
        <w:spacing w:after="0" w:line="230"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last reported sale price (the “closing price”) of Class A common stock equals or exceeds $18.00 per share (as adjusted) for any 20 trading</w:t>
      </w:r>
    </w:p>
    <w:p>
      <w:pPr>
        <w:ind w:left="600" w:right="480"/>
        <w:spacing w:after="0" w:line="228" w:lineRule="auto"/>
        <w:rPr>
          <w:sz w:val="20"/>
          <w:szCs w:val="20"/>
          <w:color w:val="auto"/>
        </w:rPr>
      </w:pPr>
      <w:r>
        <w:rPr>
          <w:rFonts w:ascii="Times New Roman" w:cs="Times New Roman" w:eastAsia="Times New Roman" w:hAnsi="Times New Roman"/>
          <w:sz w:val="17"/>
          <w:szCs w:val="17"/>
          <w:color w:val="auto"/>
        </w:rPr>
        <w:t>days within a 30-trading day period ending on the third trading day prior to the date on which the Company sends the notice of redemption to the warrant 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Redemption of warrants for Class A common stock when the price per share of Class A common stock equals or exceeds $10.00:</w:t>
      </w: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Once the warrants become exercisable, the Company may redeem the outstanding warrants: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ectPr>
          <w:pgSz w:w="11900" w:h="16838" w:orient="portrait"/>
          <w:cols w:equalWidth="0" w:num="1">
            <w:col w:w="11240"/>
          </w:cols>
          <w:pgMar w:left="320" w:top="1440" w:right="339" w:bottom="1440" w:gutter="0" w:footer="0" w:header="0"/>
        </w:sectPr>
      </w:pPr>
    </w:p>
    <w:bookmarkStart w:id="26" w:name="page27"/>
    <w:bookmarkEnd w:id="26"/>
    <w:p>
      <w:pPr>
        <w:spacing w:after="0" w:line="26" w:lineRule="exact"/>
        <w:rPr>
          <w:sz w:val="20"/>
          <w:szCs w:val="20"/>
          <w:color w:val="auto"/>
        </w:rPr>
      </w:pPr>
    </w:p>
    <w:p>
      <w:pPr>
        <w:ind w:left="600" w:hanging="302"/>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8" w:lineRule="exact"/>
        <w:rPr>
          <w:rFonts w:ascii="Times New Roman" w:cs="Times New Roman" w:eastAsia="Times New Roman" w:hAnsi="Times New Roman"/>
          <w:sz w:val="17"/>
          <w:szCs w:val="17"/>
          <w:color w:val="auto"/>
        </w:rPr>
      </w:pPr>
    </w:p>
    <w:p>
      <w:pPr>
        <w:jc w:val="both"/>
        <w:ind w:left="600" w:hanging="302"/>
        <w:spacing w:after="0" w:line="233" w:lineRule="auto"/>
        <w:tabs>
          <w:tab w:leader="none" w:pos="5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common stock;</w:t>
      </w:r>
    </w:p>
    <w:p>
      <w:pPr>
        <w:spacing w:after="0" w:line="2" w:lineRule="exact"/>
        <w:rPr>
          <w:rFonts w:ascii="Times New Roman" w:cs="Times New Roman" w:eastAsia="Times New Roman" w:hAnsi="Times New Roman"/>
          <w:sz w:val="17"/>
          <w:szCs w:val="17"/>
          <w:color w:val="auto"/>
        </w:rPr>
      </w:pPr>
    </w:p>
    <w:p>
      <w:pPr>
        <w:ind w:left="600" w:hanging="302"/>
        <w:spacing w:after="0" w:line="236" w:lineRule="auto"/>
        <w:tabs>
          <w:tab w:leader="none" w:pos="5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closing price of Class A common stock equals or exceeds $10.00 per share (as adjusted) for any 20 trading days within the 30 trading day period ending three trading days before the Company sends the notice of redemption to the warrant holders; and</w:t>
      </w:r>
    </w:p>
    <w:p>
      <w:pPr>
        <w:jc w:val="both"/>
        <w:ind w:left="600" w:hanging="302"/>
        <w:spacing w:after="0" w:line="238" w:lineRule="auto"/>
        <w:tabs>
          <w:tab w:leader="none" w:pos="63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closing price of the Class A common stock for any 20 trading days within a 30-trading day period ending on the third trading day prior to the date on which the Company sends the notice of redemption to the warrant holders is less than $18.00 per share (as adjusted), the Private Warrants must also be concurrently called for redemption on the same terms as the outstanding Public Warrants, as described above.</w:t>
      </w:r>
    </w:p>
    <w:p>
      <w:pPr>
        <w:spacing w:after="0" w:line="196" w:lineRule="exact"/>
        <w:rPr>
          <w:sz w:val="20"/>
          <w:szCs w:val="20"/>
          <w:color w:val="auto"/>
        </w:rPr>
      </w:pPr>
    </w:p>
    <w:p>
      <w:pPr>
        <w:jc w:val="both"/>
        <w:ind w:firstLine="298"/>
        <w:spacing w:after="0" w:line="248" w:lineRule="auto"/>
        <w:rPr>
          <w:sz w:val="20"/>
          <w:szCs w:val="20"/>
          <w:color w:val="auto"/>
        </w:rPr>
      </w:pPr>
      <w:r>
        <w:rPr>
          <w:rFonts w:ascii="Times New Roman" w:cs="Times New Roman" w:eastAsia="Times New Roman" w:hAnsi="Times New Roman"/>
          <w:sz w:val="17"/>
          <w:szCs w:val="17"/>
          <w:color w:val="auto"/>
        </w:rPr>
        <w:t>The “fair market value” of Class A common stock for the above purpose shall mean the volume weighted average price of our Class A common stock during the ten trading days immediately following the date on which the notice of redemption is sent to the holders of warrants. In no event will the warrants be exercisable in connection with this redemption feature for more than 0.361 Class A common stock per warrant (subject to adjustment).</w:t>
      </w:r>
    </w:p>
    <w:p>
      <w:pPr>
        <w:spacing w:after="0" w:line="190" w:lineRule="exact"/>
        <w:rPr>
          <w:sz w:val="20"/>
          <w:szCs w:val="20"/>
          <w:color w:val="auto"/>
        </w:rPr>
      </w:pPr>
    </w:p>
    <w:p>
      <w:pPr>
        <w:jc w:val="both"/>
        <w:ind w:firstLine="298"/>
        <w:spacing w:after="0" w:line="253" w:lineRule="auto"/>
        <w:rPr>
          <w:sz w:val="20"/>
          <w:szCs w:val="20"/>
          <w:color w:val="auto"/>
        </w:rPr>
      </w:pPr>
      <w:r>
        <w:rPr>
          <w:rFonts w:ascii="Times New Roman" w:cs="Times New Roman" w:eastAsia="Times New Roman" w:hAnsi="Times New Roman"/>
          <w:sz w:val="17"/>
          <w:szCs w:val="17"/>
          <w:color w:val="auto"/>
        </w:rPr>
        <w:t>The following table reconciles the elements of the Business Combination to the condensed consolidated statements of cash flows and the condensed consolidated statements of stockholders' equity for the nine months ended September 30, 2022:</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21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proceeds from Arclight, net of redemptions</w:t>
            </w:r>
          </w:p>
        </w:tc>
        <w:tc>
          <w:tcPr>
            <w:tcW w:w="84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17,775</w:t>
            </w:r>
          </w:p>
        </w:tc>
      </w:tr>
      <w:tr>
        <w:trPr>
          <w:trHeight w:val="211"/>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proceeds from PIPE investors</w:t>
            </w:r>
          </w:p>
        </w:tc>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110,806</w:t>
            </w:r>
          </w:p>
        </w:tc>
      </w:tr>
      <w:tr>
        <w:trPr>
          <w:trHeight w:val="21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in escrow account for the Forward Purchase Agreement</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20,040</w:t>
            </w:r>
          </w:p>
        </w:tc>
      </w:tr>
      <w:tr>
        <w:trPr>
          <w:trHeight w:val="211"/>
        </w:trPr>
        <w:tc>
          <w:tcPr>
            <w:tcW w:w="6700" w:type="dxa"/>
            <w:vAlign w:val="bottom"/>
            <w:tcBorders>
              <w:bottom w:val="single" w:sz="8" w:color="CCEEFF"/>
            </w:tcBorders>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Less: transaction costs and under writing fees paid </w:t>
            </w:r>
            <w:r>
              <w:rPr>
                <w:rFonts w:ascii="Times New Roman" w:cs="Times New Roman" w:eastAsia="Times New Roman" w:hAnsi="Times New Roman"/>
                <w:sz w:val="21"/>
                <w:szCs w:val="21"/>
                <w:color w:val="auto"/>
                <w:vertAlign w:val="superscript"/>
              </w:rPr>
              <w:t>(1)</w:t>
            </w:r>
          </w:p>
        </w:tc>
        <w:tc>
          <w:tcPr>
            <w:tcW w:w="8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(9,771)</w:t>
            </w:r>
          </w:p>
        </w:tc>
      </w:tr>
      <w:tr>
        <w:trPr>
          <w:trHeight w:val="20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acquired from Business Combination</w:t>
            </w:r>
          </w:p>
        </w:tc>
        <w:tc>
          <w:tcPr>
            <w:tcW w:w="8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138,850</w:t>
            </w:r>
          </w:p>
        </w:tc>
      </w:tr>
      <w:tr>
        <w:trPr>
          <w:trHeight w:val="204"/>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warrant liabilities</w:t>
            </w:r>
          </w:p>
        </w:tc>
        <w:tc>
          <w:tcPr>
            <w:tcW w:w="8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(13,524)</w:t>
            </w:r>
          </w:p>
        </w:tc>
      </w:tr>
      <w:tr>
        <w:trPr>
          <w:trHeight w:val="21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earnout liabilities</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(45,900)</w:t>
            </w:r>
          </w:p>
        </w:tc>
      </w:tr>
      <w:tr>
        <w:trPr>
          <w:trHeight w:val="211"/>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put option with Meteora</w:t>
            </w:r>
          </w:p>
        </w:tc>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(4,600)</w:t>
            </w:r>
          </w:p>
        </w:tc>
      </w:tr>
      <w:tr>
        <w:trPr>
          <w:trHeight w:val="211"/>
        </w:trPr>
        <w:tc>
          <w:tcPr>
            <w:tcW w:w="670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Less: Deferred financing costs recorded in additional paid-in-capital </w:t>
            </w:r>
            <w:r>
              <w:rPr>
                <w:rFonts w:ascii="Times New Roman" w:cs="Times New Roman" w:eastAsia="Times New Roman" w:hAnsi="Times New Roman"/>
                <w:sz w:val="21"/>
                <w:szCs w:val="21"/>
                <w:color w:val="auto"/>
                <w:vertAlign w:val="superscript"/>
              </w:rPr>
              <w:t>(2)</w:t>
            </w:r>
          </w:p>
        </w:tc>
        <w:tc>
          <w:tcPr>
            <w:tcW w:w="8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(6,569)</w:t>
            </w:r>
          </w:p>
        </w:tc>
      </w:tr>
      <w:tr>
        <w:trPr>
          <w:trHeight w:val="204"/>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from Business Combination recorded in Stockholders' equity</w:t>
            </w:r>
          </w:p>
        </w:tc>
        <w:tc>
          <w:tcPr>
            <w:tcW w:w="8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68,257</w:t>
            </w:r>
          </w:p>
        </w:tc>
      </w:tr>
      <w:tr>
        <w:trPr>
          <w:trHeight w:val="20"/>
        </w:trPr>
        <w:tc>
          <w:tcPr>
            <w:tcW w:w="6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left="460" w:hanging="162"/>
        <w:spacing w:after="0"/>
        <w:tabs>
          <w:tab w:leader="none" w:pos="46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$8,041 of Sponsor specific transaction costs paid at closing.</w:t>
      </w:r>
    </w:p>
    <w:p>
      <w:pPr>
        <w:spacing w:after="0" w:line="192" w:lineRule="exact"/>
        <w:rPr>
          <w:rFonts w:ascii="Times New Roman" w:cs="Times New Roman" w:eastAsia="Times New Roman" w:hAnsi="Times New Roman"/>
          <w:sz w:val="20"/>
          <w:szCs w:val="20"/>
          <w:color w:val="auto"/>
          <w:vertAlign w:val="superscript"/>
        </w:rPr>
      </w:pPr>
    </w:p>
    <w:p>
      <w:pPr>
        <w:ind w:left="460" w:hanging="162"/>
        <w:spacing w:after="0"/>
        <w:tabs>
          <w:tab w:leader="none" w:pos="46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Excludes $1,730 of transaction costs paid at closing and recorded on OPAL Fuels' condensed consolidated balance sheet prior to closing.</w:t>
      </w:r>
    </w:p>
    <w:p>
      <w:pPr>
        <w:spacing w:after="0" w:line="195" w:lineRule="exact"/>
        <w:rPr>
          <w:sz w:val="20"/>
          <w:szCs w:val="20"/>
          <w:color w:val="auto"/>
        </w:rPr>
      </w:pPr>
    </w:p>
    <w:p>
      <w:pPr>
        <w:ind w:right="460"/>
        <w:spacing w:after="0" w:line="253" w:lineRule="auto"/>
        <w:rPr>
          <w:sz w:val="20"/>
          <w:szCs w:val="20"/>
          <w:color w:val="auto"/>
        </w:rPr>
      </w:pPr>
      <w:r>
        <w:rPr>
          <w:rFonts w:ascii="Times New Roman" w:cs="Times New Roman" w:eastAsia="Times New Roman" w:hAnsi="Times New Roman"/>
          <w:sz w:val="17"/>
          <w:szCs w:val="17"/>
          <w:color w:val="auto"/>
        </w:rPr>
        <w:t>The total number of shares of the Company's Class A common stock outstanding immediately following the closing of the Business Combination was 25,671,390, consisting of the following: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ectPr>
          <w:pgSz w:w="11900" w:h="16838" w:orient="portrait"/>
          <w:cols w:equalWidth="0" w:num="1">
            <w:col w:w="11240"/>
          </w:cols>
          <w:pgMar w:left="320" w:top="1440" w:right="339" w:bottom="1440" w:gutter="0" w:footer="0" w:header="0"/>
        </w:sectPr>
      </w:pPr>
    </w:p>
    <w:bookmarkStart w:id="27" w:name="page28"/>
    <w:bookmarkEnd w:id="27"/>
    <w:p>
      <w:pPr>
        <w:spacing w:after="0" w:line="67" w:lineRule="exact"/>
        <w:rPr>
          <w:sz w:val="20"/>
          <w:szCs w:val="20"/>
          <w:color w:val="auto"/>
        </w:rPr>
      </w:pPr>
    </w:p>
    <w:tbl>
      <w:tblPr>
        <w:tblLayout w:type="fixed"/>
        <w:tblInd w:w="301" w:type="dxa"/>
        <w:tblCellMar>
          <w:top w:w="0" w:type="dxa"/>
          <w:left w:w="0" w:type="dxa"/>
          <w:bottom w:w="0" w:type="dxa"/>
          <w:right w:w="0" w:type="dxa"/>
        </w:tblCellMar>
      </w:tblPr>
      <w:tr>
        <w:trPr>
          <w:trHeight w:val="211"/>
        </w:trPr>
        <w:tc>
          <w:tcPr>
            <w:tcW w:w="644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rPr>
              <w:t>Shares</w:t>
            </w:r>
          </w:p>
        </w:tc>
      </w:tr>
      <w:tr>
        <w:trPr>
          <w:trHeight w:val="204"/>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A - Public stockholders</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1,752,181</w:t>
            </w:r>
          </w:p>
        </w:tc>
      </w:tr>
      <w:tr>
        <w:trPr>
          <w:trHeight w:val="211"/>
        </w:trPr>
        <w:tc>
          <w:tcPr>
            <w:tcW w:w="64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Class A - Sponsor shares </w:t>
            </w:r>
            <w:r>
              <w:rPr>
                <w:rFonts w:ascii="Times New Roman" w:cs="Times New Roman" w:eastAsia="Times New Roman" w:hAnsi="Times New Roman"/>
                <w:sz w:val="21"/>
                <w:szCs w:val="21"/>
                <w:color w:val="auto"/>
                <w:vertAlign w:val="superscript"/>
              </w:rPr>
              <w:t>(1)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7,779,076</w:t>
            </w:r>
          </w:p>
        </w:tc>
      </w:tr>
      <w:tr>
        <w:trPr>
          <w:trHeight w:val="211"/>
        </w:trPr>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A - PIPE investors</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11,080,600</w:t>
            </w:r>
          </w:p>
        </w:tc>
      </w:tr>
      <w:tr>
        <w:trPr>
          <w:trHeight w:val="21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 Forward Purchase Agreement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2,000,000</w:t>
            </w:r>
          </w:p>
        </w:tc>
      </w:tr>
      <w:tr>
        <w:trPr>
          <w:trHeight w:val="211"/>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Class A - Ares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3,059,533</w:t>
            </w:r>
          </w:p>
        </w:tc>
      </w:tr>
      <w:tr>
        <w:trPr>
          <w:trHeight w:val="204"/>
        </w:trPr>
        <w:tc>
          <w:tcPr>
            <w:tcW w:w="644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25,671,390</w:t>
            </w:r>
          </w:p>
        </w:tc>
      </w:tr>
      <w:tr>
        <w:trPr>
          <w:trHeight w:val="204"/>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Class D - Opal Fuels equity holders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144,399,037</w:t>
            </w:r>
          </w:p>
        </w:tc>
      </w:tr>
      <w:tr>
        <w:trPr>
          <w:trHeight w:val="229"/>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shares issued upon closing of Business Combination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170,070,427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161" w:hanging="161"/>
        <w:spacing w:after="0"/>
        <w:tabs>
          <w:tab w:leader="none" w:pos="161" w:val="left"/>
        </w:tabs>
        <w:numPr>
          <w:ilvl w:val="0"/>
          <w:numId w:val="11"/>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6"/>
          <w:szCs w:val="16"/>
          <w:color w:val="auto"/>
        </w:rPr>
        <w:t>Includes 763,908 Sponsor Earnout Awards subject to vesting and forfeiture conditions.</w:t>
      </w:r>
    </w:p>
    <w:p>
      <w:pPr>
        <w:spacing w:after="0" w:line="200" w:lineRule="exact"/>
        <w:rPr>
          <w:sz w:val="20"/>
          <w:szCs w:val="20"/>
          <w:color w:val="auto"/>
        </w:rPr>
      </w:pPr>
    </w:p>
    <w:p>
      <w:pPr>
        <w:spacing w:after="0" w:line="218" w:lineRule="exact"/>
        <w:rPr>
          <w:sz w:val="20"/>
          <w:szCs w:val="20"/>
          <w:color w:val="auto"/>
        </w:rPr>
      </w:pPr>
    </w:p>
    <w:p>
      <w:pPr>
        <w:jc w:val="both"/>
        <w:ind w:left="1"/>
        <w:spacing w:after="0" w:line="253" w:lineRule="auto"/>
        <w:rPr>
          <w:sz w:val="20"/>
          <w:szCs w:val="20"/>
          <w:color w:val="auto"/>
        </w:rPr>
      </w:pPr>
      <w:r>
        <w:rPr>
          <w:rFonts w:ascii="Times New Roman" w:cs="Times New Roman" w:eastAsia="Times New Roman" w:hAnsi="Times New Roman"/>
          <w:sz w:val="17"/>
          <w:szCs w:val="17"/>
          <w:color w:val="auto"/>
        </w:rPr>
        <w:t>The Company incurred $8,299 in transaction costs relating to the Business Combination which were recorded as an offset to additional paid-in capital in the condensed consolidated Statements of Changes in Redeemable preferred units and Stockholders' equity.</w:t>
      </w:r>
    </w:p>
    <w:p>
      <w:pPr>
        <w:spacing w:after="0" w:line="16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4. Investment in Other Entities</w:t>
      </w:r>
    </w:p>
    <w:p>
      <w:pPr>
        <w:spacing w:after="0" w:line="132" w:lineRule="exact"/>
        <w:rPr>
          <w:sz w:val="20"/>
          <w:szCs w:val="20"/>
          <w:color w:val="auto"/>
        </w:rPr>
      </w:pPr>
    </w:p>
    <w:p>
      <w:pPr>
        <w:jc w:val="both"/>
        <w:ind w:left="1" w:firstLine="298"/>
        <w:spacing w:after="0" w:line="252" w:lineRule="auto"/>
        <w:rPr>
          <w:sz w:val="20"/>
          <w:szCs w:val="20"/>
          <w:color w:val="auto"/>
        </w:rPr>
      </w:pPr>
      <w:r>
        <w:rPr>
          <w:rFonts w:ascii="Times New Roman" w:cs="Times New Roman" w:eastAsia="Times New Roman" w:hAnsi="Times New Roman"/>
          <w:sz w:val="17"/>
          <w:szCs w:val="17"/>
          <w:color w:val="auto"/>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condensed consolidated balance sheets under the equity method, and the Company's proportionate net (loss) income, if any, is included in the Company's condensed consolidated statements of operations as (loss) income from equity method investments.</w:t>
      </w:r>
    </w:p>
    <w:p>
      <w:pPr>
        <w:spacing w:after="0" w:line="111" w:lineRule="exact"/>
        <w:rPr>
          <w:sz w:val="20"/>
          <w:szCs w:val="20"/>
          <w:color w:val="auto"/>
        </w:rPr>
      </w:pPr>
    </w:p>
    <w:p>
      <w:pPr>
        <w:ind w:left="301"/>
        <w:spacing w:after="0"/>
        <w:rPr>
          <w:sz w:val="20"/>
          <w:szCs w:val="20"/>
          <w:color w:val="auto"/>
        </w:rPr>
      </w:pPr>
      <w:r>
        <w:rPr>
          <w:rFonts w:ascii="Times New Roman" w:cs="Times New Roman" w:eastAsia="Times New Roman" w:hAnsi="Times New Roman"/>
          <w:sz w:val="17"/>
          <w:szCs w:val="17"/>
          <w:color w:val="auto"/>
        </w:rPr>
        <w:t>Our equity method investments were as follows as of September 30, 2022 and December 31, 2021:</w:t>
      </w:r>
    </w:p>
    <w:p>
      <w:pPr>
        <w:spacing w:after="0" w:line="215" w:lineRule="exact"/>
        <w:rPr>
          <w:sz w:val="20"/>
          <w:szCs w:val="20"/>
          <w:color w:val="auto"/>
        </w:rPr>
      </w:pPr>
    </w:p>
    <w:tbl>
      <w:tblPr>
        <w:tblLayout w:type="fixed"/>
        <w:tblInd w:w="1"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gridSpan w:val="4"/>
          </w:tcPr>
          <w:p>
            <w:pPr>
              <w:jc w:val="right"/>
              <w:ind w:right="965"/>
              <w:spacing w:after="0"/>
              <w:rPr>
                <w:sz w:val="20"/>
                <w:szCs w:val="20"/>
                <w:color w:val="auto"/>
              </w:rPr>
            </w:pPr>
            <w:r>
              <w:rPr>
                <w:rFonts w:ascii="Times New Roman" w:cs="Times New Roman" w:eastAsia="Times New Roman" w:hAnsi="Times New Roman"/>
                <w:sz w:val="15"/>
                <w:szCs w:val="15"/>
                <w:b w:val="1"/>
                <w:bCs w:val="1"/>
                <w:color w:val="auto"/>
              </w:rPr>
              <w:t>Carrying Value</w:t>
            </w:r>
          </w:p>
        </w:tc>
        <w:tc>
          <w:tcPr>
            <w:tcW w:w="0" w:type="dxa"/>
            <w:vAlign w:val="bottom"/>
          </w:tcPr>
          <w:p>
            <w:pPr>
              <w:spacing w:after="0"/>
              <w:rPr>
                <w:sz w:val="1"/>
                <w:szCs w:val="1"/>
                <w:color w:val="auto"/>
              </w:rPr>
            </w:pPr>
          </w:p>
        </w:tc>
      </w:tr>
      <w:tr>
        <w:trPr>
          <w:trHeight w:val="31"/>
        </w:trPr>
        <w:tc>
          <w:tcPr>
            <w:tcW w:w="6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180" w:type="dxa"/>
            <w:vAlign w:val="bottom"/>
          </w:tcPr>
          <w:p>
            <w:pPr>
              <w:spacing w:after="0"/>
              <w:rPr>
                <w:sz w:val="16"/>
                <w:szCs w:val="16"/>
                <w:color w:val="auto"/>
              </w:rPr>
            </w:pPr>
          </w:p>
        </w:tc>
        <w:tc>
          <w:tcPr>
            <w:tcW w:w="1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Percentage of ownership</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7"/>
        </w:trPr>
        <w:tc>
          <w:tcPr>
            <w:tcW w:w="6180" w:type="dxa"/>
            <w:vAlign w:val="bottom"/>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04"/>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Pine Bend</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50.0 %</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20,730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21,188</w:t>
            </w:r>
          </w:p>
        </w:tc>
        <w:tc>
          <w:tcPr>
            <w:tcW w:w="0" w:type="dxa"/>
            <w:vAlign w:val="bottom"/>
          </w:tcPr>
          <w:p>
            <w:pPr>
              <w:spacing w:after="0"/>
              <w:rPr>
                <w:sz w:val="1"/>
                <w:szCs w:val="1"/>
                <w:color w:val="auto"/>
              </w:rPr>
            </w:pPr>
          </w:p>
        </w:tc>
      </w:tr>
      <w:tr>
        <w:trPr>
          <w:trHeight w:val="193"/>
        </w:trPr>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Noble Road</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24,516</w:t>
            </w:r>
          </w:p>
        </w:tc>
        <w:tc>
          <w:tcPr>
            <w:tcW w:w="0" w:type="dxa"/>
            <w:vAlign w:val="bottom"/>
          </w:tcPr>
          <w:p>
            <w:pPr>
              <w:spacing w:after="0"/>
              <w:rPr>
                <w:sz w:val="1"/>
                <w:szCs w:val="1"/>
                <w:color w:val="auto"/>
              </w:rPr>
            </w:pPr>
          </w:p>
        </w:tc>
      </w:tr>
      <w:tr>
        <w:trPr>
          <w:trHeight w:val="31"/>
        </w:trPr>
        <w:tc>
          <w:tcPr>
            <w:tcW w:w="6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GREP</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20.0 %</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1,446</w:t>
            </w:r>
          </w:p>
        </w:tc>
        <w:tc>
          <w:tcPr>
            <w:tcW w:w="0" w:type="dxa"/>
            <w:vAlign w:val="bottom"/>
          </w:tcPr>
          <w:p>
            <w:pPr>
              <w:spacing w:after="0"/>
              <w:rPr>
                <w:sz w:val="1"/>
                <w:szCs w:val="1"/>
                <w:color w:val="auto"/>
              </w:rPr>
            </w:pPr>
          </w:p>
        </w:tc>
      </w:tr>
      <w:tr>
        <w:trPr>
          <w:trHeight w:val="213"/>
        </w:trPr>
        <w:tc>
          <w:tcPr>
            <w:tcW w:w="61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investment in other entities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48,708</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47,150</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i w:val="1"/>
          <w:iCs w:val="1"/>
          <w:color w:val="auto"/>
        </w:rPr>
        <w:t>Note receivable</w:t>
      </w:r>
    </w:p>
    <w:p>
      <w:pPr>
        <w:spacing w:after="0" w:line="179" w:lineRule="exact"/>
        <w:rPr>
          <w:sz w:val="20"/>
          <w:szCs w:val="20"/>
          <w:color w:val="auto"/>
        </w:rPr>
      </w:pPr>
    </w:p>
    <w:p>
      <w:pPr>
        <w:jc w:val="both"/>
        <w:ind w:left="1" w:firstLine="298"/>
        <w:spacing w:after="0" w:line="256" w:lineRule="auto"/>
        <w:rPr>
          <w:sz w:val="20"/>
          <w:szCs w:val="20"/>
          <w:color w:val="auto"/>
        </w:rPr>
      </w:pPr>
      <w:r>
        <w:rPr>
          <w:rFonts w:ascii="Times New Roman" w:cs="Times New Roman" w:eastAsia="Times New Roman" w:hAnsi="Times New Roman"/>
          <w:sz w:val="17"/>
          <w:szCs w:val="17"/>
          <w:color w:val="auto"/>
        </w:rPr>
        <w:t>In August 2021, the Company acquired 100% ownership interest in Reynolds which held a note receivable of $10,450 to Biotown. The Note receivable had a maturity date of July 15, 2027 and carried an interest rate of 12.5% of which 8% is payable in cash on a quarterly basis from the inception of the loan and 4.5% payment-in-kind interest adding to the outstanding debt balance until the facility becomes operational.</w:t>
      </w:r>
    </w:p>
    <w:p>
      <w:pPr>
        <w:spacing w:after="0" w:line="95" w:lineRule="exact"/>
        <w:rPr>
          <w:sz w:val="20"/>
          <w:szCs w:val="20"/>
          <w:color w:val="auto"/>
        </w:rPr>
      </w:pPr>
    </w:p>
    <w:p>
      <w:pPr>
        <w:jc w:val="both"/>
        <w:ind w:left="1" w:firstLine="298"/>
        <w:spacing w:after="0" w:line="252" w:lineRule="auto"/>
        <w:rPr>
          <w:sz w:val="20"/>
          <w:szCs w:val="20"/>
          <w:color w:val="auto"/>
        </w:rPr>
      </w:pPr>
      <w:r>
        <w:rPr>
          <w:rFonts w:ascii="Times New Roman" w:cs="Times New Roman" w:eastAsia="Times New Roman" w:hAnsi="Times New Roman"/>
          <w:sz w:val="17"/>
          <w:szCs w:val="17"/>
          <w:color w:val="auto"/>
        </w:rPr>
        <w:t>On July 15, 2022, Biotown repaid the total amount outstanding under the Note receivable including paid-in-kind interest and prepayment penalty. The total proceeds received were $11,555 which included $701 paid-in-kind interest accrued from August 2021 to July 15, 2022 and $545 of prepayment penalty. The paid-in-kind interest income accrued during the year ended December 31, 2021 of $288 is shown as cash flow from operations. The Company recorded a gain on repayment of $1,943 as part of Other income in the condensed consolidated statement of operations for the three and nine months ended September 30, 2022.</w:t>
      </w:r>
    </w:p>
    <w:p>
      <w:pPr>
        <w:spacing w:after="0" w:line="111" w:lineRule="exact"/>
        <w:rPr>
          <w:sz w:val="20"/>
          <w:szCs w:val="20"/>
          <w:color w:val="auto"/>
        </w:rPr>
      </w:pPr>
    </w:p>
    <w:p>
      <w:pPr>
        <w:jc w:val="both"/>
        <w:ind w:left="1" w:firstLine="298"/>
        <w:spacing w:after="0" w:line="268" w:lineRule="auto"/>
        <w:rPr>
          <w:sz w:val="20"/>
          <w:szCs w:val="20"/>
          <w:color w:val="auto"/>
        </w:rPr>
      </w:pPr>
      <w:r>
        <w:rPr>
          <w:rFonts w:ascii="Times New Roman" w:cs="Times New Roman" w:eastAsia="Times New Roman" w:hAnsi="Times New Roman"/>
          <w:sz w:val="17"/>
          <w:szCs w:val="17"/>
          <w:color w:val="auto"/>
        </w:rPr>
        <w:t>The Company recorded $95 and $841 as a reduction to interest and financing expense, net in its condensed consolidated statement of operations for the three and nine months ended September 30, 2022, respectively.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ectPr>
          <w:pgSz w:w="11900" w:h="16838" w:orient="portrait"/>
          <w:cols w:equalWidth="0" w:num="1">
            <w:col w:w="11241"/>
          </w:cols>
          <w:pgMar w:left="319" w:top="1440" w:right="339" w:bottom="1440" w:gutter="0" w:footer="0" w:header="0"/>
        </w:sectPr>
      </w:pPr>
    </w:p>
    <w:bookmarkStart w:id="28" w:name="page29"/>
    <w:bookmarkEnd w:id="28"/>
    <w:p>
      <w:pPr>
        <w:spacing w:after="0" w:line="163" w:lineRule="exact"/>
        <w:rPr>
          <w:sz w:val="20"/>
          <w:szCs w:val="20"/>
          <w:color w:val="auto"/>
        </w:rPr>
      </w:pPr>
    </w:p>
    <w:p>
      <w:pPr>
        <w:jc w:val="both"/>
        <w:ind w:left="1" w:firstLine="298"/>
        <w:spacing w:after="0" w:line="252" w:lineRule="auto"/>
        <w:rPr>
          <w:sz w:val="20"/>
          <w:szCs w:val="20"/>
          <w:color w:val="auto"/>
        </w:rPr>
      </w:pPr>
      <w:r>
        <w:rPr>
          <w:rFonts w:ascii="Times New Roman" w:cs="Times New Roman" w:eastAsia="Times New Roman" w:hAnsi="Times New Roman"/>
          <w:sz w:val="17"/>
          <w:szCs w:val="17"/>
          <w:color w:val="auto"/>
        </w:rPr>
        <w:t>The Note receivable also entitles Reynolds to receive 4.25% of any revenue-based distributions made up to a maximum of $4,500 over the term of the debt. The Company recorded the fair value of the Note receivable — variable fee component of $1,538 as an allocation of the initial investment balance of $10,450 and recorded payment-in-kind interest income of $73 and $136 as a reduction to interest and financing expense, net in the condensed consolidated statement of operations for the three and nine months ended September 30, 2022, respectively.</w:t>
      </w:r>
    </w:p>
    <w:p>
      <w:pPr>
        <w:spacing w:after="0" w:line="99" w:lineRule="exact"/>
        <w:rPr>
          <w:sz w:val="20"/>
          <w:szCs w:val="20"/>
          <w:color w:val="auto"/>
        </w:rPr>
      </w:pPr>
    </w:p>
    <w:p>
      <w:pPr>
        <w:jc w:val="both"/>
        <w:ind w:left="1" w:firstLine="298"/>
        <w:spacing w:after="0" w:line="268" w:lineRule="auto"/>
        <w:rPr>
          <w:sz w:val="20"/>
          <w:szCs w:val="20"/>
          <w:color w:val="auto"/>
        </w:rPr>
      </w:pPr>
      <w:r>
        <w:rPr>
          <w:rFonts w:ascii="Times New Roman" w:cs="Times New Roman" w:eastAsia="Times New Roman" w:hAnsi="Times New Roman"/>
          <w:sz w:val="17"/>
          <w:szCs w:val="17"/>
          <w:color w:val="auto"/>
        </w:rPr>
        <w:t>The Note receivable - variable fee component of $1,865 and $1,656 is recorded as a long-term asset on its condensed consolidated balance sheets as of September 30, 2022 and December 31, 2021, respectively.</w:t>
      </w:r>
    </w:p>
    <w:p>
      <w:pPr>
        <w:spacing w:after="0" w:line="98" w:lineRule="exact"/>
        <w:rPr>
          <w:sz w:val="20"/>
          <w:szCs w:val="20"/>
          <w:color w:val="auto"/>
        </w:rPr>
      </w:pPr>
    </w:p>
    <w:p>
      <w:pPr>
        <w:ind w:left="301"/>
        <w:spacing w:after="0"/>
        <w:rPr>
          <w:sz w:val="20"/>
          <w:szCs w:val="20"/>
          <w:color w:val="auto"/>
        </w:rPr>
      </w:pPr>
      <w:r>
        <w:rPr>
          <w:rFonts w:ascii="Times New Roman" w:cs="Times New Roman" w:eastAsia="Times New Roman" w:hAnsi="Times New Roman"/>
          <w:sz w:val="17"/>
          <w:szCs w:val="17"/>
          <w:color w:val="auto"/>
        </w:rPr>
        <w:t>The following table summarizes the net income from equity method investments:</w:t>
      </w:r>
    </w:p>
    <w:p>
      <w:pPr>
        <w:spacing w:after="0" w:line="200" w:lineRule="exact"/>
        <w:rPr>
          <w:sz w:val="20"/>
          <w:szCs w:val="20"/>
          <w:color w:val="auto"/>
        </w:rPr>
      </w:pPr>
    </w:p>
    <w:p>
      <w:pPr>
        <w:spacing w:after="0" w:line="301"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4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825"/>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8"/>
        </w:trPr>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20" w:type="dxa"/>
            <w:vAlign w:val="bottom"/>
          </w:tcPr>
          <w:p>
            <w:pPr>
              <w:spacing w:after="0"/>
              <w:rPr>
                <w:sz w:val="18"/>
                <w:szCs w:val="18"/>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18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20" w:type="dxa"/>
            <w:vAlign w:val="bottom"/>
          </w:tcPr>
          <w:p>
            <w:pPr>
              <w:spacing w:after="0"/>
              <w:rPr>
                <w:sz w:val="18"/>
                <w:szCs w:val="18"/>
                <w:color w:val="auto"/>
              </w:rPr>
            </w:pPr>
          </w:p>
        </w:tc>
        <w:tc>
          <w:tcPr>
            <w:tcW w:w="1380" w:type="dxa"/>
            <w:vAlign w:val="bottom"/>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w w:val="98"/>
              </w:rPr>
              <w:t>September 30, 2021</w:t>
            </w:r>
          </w:p>
        </w:tc>
      </w:tr>
      <w:tr>
        <w:trPr>
          <w:trHeight w:val="21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Revenue </w:t>
            </w:r>
            <w:r>
              <w:rPr>
                <w:rFonts w:ascii="Times New Roman" w:cs="Times New Roman" w:eastAsia="Times New Roman" w:hAnsi="Times New Roman"/>
                <w:sz w:val="19"/>
                <w:szCs w:val="19"/>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42,158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47,247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14,181</w:t>
            </w:r>
          </w:p>
        </w:tc>
      </w:tr>
      <w:tr>
        <w:trPr>
          <w:trHeight w:val="193"/>
        </w:trPr>
        <w:tc>
          <w:tcPr>
            <w:tcW w:w="4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ind w:left="1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6,459</w:t>
            </w:r>
          </w:p>
        </w:tc>
      </w:tr>
      <w:tr>
        <w:trPr>
          <w:trHeight w:val="31"/>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04"/>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31,356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29,615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5,400</w:t>
            </w:r>
          </w:p>
        </w:tc>
      </w:tr>
      <w:tr>
        <w:trPr>
          <w:trHeight w:val="193"/>
        </w:trPr>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ind w:left="1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1"/>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4"/>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Net income from equity method investments </w:t>
            </w:r>
            <w:r>
              <w:rPr>
                <w:rFonts w:ascii="Times New Roman" w:cs="Times New Roman" w:eastAsia="Times New Roman" w:hAnsi="Times New Roman"/>
                <w:sz w:val="19"/>
                <w:szCs w:val="19"/>
                <w:color w:val="auto"/>
                <w:vertAlign w:val="superscript"/>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2,392</w:t>
            </w:r>
          </w:p>
        </w:tc>
      </w:tr>
    </w:tbl>
    <w:p>
      <w:pPr>
        <w:spacing w:after="0" w:line="58" w:lineRule="exact"/>
        <w:rPr>
          <w:sz w:val="20"/>
          <w:szCs w:val="20"/>
          <w:color w:val="auto"/>
        </w:rPr>
      </w:pPr>
    </w:p>
    <w:p>
      <w:pPr>
        <w:ind w:left="1" w:right="40" w:hanging="1"/>
        <w:spacing w:after="0" w:line="233" w:lineRule="auto"/>
        <w:tabs>
          <w:tab w:leader="none" w:pos="167"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Revenues include a realized gain of $32,796 from commodity swap contracts on our equity method investment, GREP for the three and nine months ended September 30, 2022.</w:t>
      </w:r>
    </w:p>
    <w:p>
      <w:pPr>
        <w:spacing w:after="0" w:line="182" w:lineRule="exact"/>
        <w:rPr>
          <w:rFonts w:ascii="Times New Roman" w:cs="Times New Roman" w:eastAsia="Times New Roman" w:hAnsi="Times New Roman"/>
          <w:sz w:val="20"/>
          <w:szCs w:val="20"/>
          <w:color w:val="auto"/>
          <w:vertAlign w:val="superscript"/>
        </w:rPr>
      </w:pPr>
    </w:p>
    <w:p>
      <w:pPr>
        <w:ind w:left="1" w:right="240" w:hanging="1"/>
        <w:spacing w:after="0" w:line="255" w:lineRule="auto"/>
        <w:tabs>
          <w:tab w:leader="none" w:pos="153"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Net income from equity method investments represents our portion of the net income from equity method investments in Pine Bend, Noble Road and GREP for the three and nine months ended September 30, 2022 and Beacon for the three and nine months ended September 30, 2021.</w:t>
      </w:r>
    </w:p>
    <w:p>
      <w:pPr>
        <w:spacing w:after="0" w:line="32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5. Property, Plant, and Equipment, Net</w:t>
      </w:r>
    </w:p>
    <w:p>
      <w:pPr>
        <w:spacing w:after="0" w:line="107" w:lineRule="exact"/>
        <w:rPr>
          <w:sz w:val="20"/>
          <w:szCs w:val="20"/>
          <w:color w:val="auto"/>
        </w:rPr>
      </w:pPr>
    </w:p>
    <w:p>
      <w:pPr>
        <w:ind w:left="301"/>
        <w:spacing w:after="0"/>
        <w:rPr>
          <w:sz w:val="20"/>
          <w:szCs w:val="20"/>
          <w:color w:val="auto"/>
        </w:rPr>
      </w:pPr>
      <w:r>
        <w:rPr>
          <w:rFonts w:ascii="Times New Roman" w:cs="Times New Roman" w:eastAsia="Times New Roman" w:hAnsi="Times New Roman"/>
          <w:sz w:val="17"/>
          <w:szCs w:val="17"/>
          <w:color w:val="auto"/>
        </w:rPr>
        <w:t>Property, plant, and equipment, net, consisted of the following as of September 30, 2022 and December 31, 2021:</w:t>
      </w:r>
    </w:p>
    <w:p>
      <w:pPr>
        <w:spacing w:after="0" w:line="53" w:lineRule="exact"/>
        <w:rPr>
          <w:sz w:val="20"/>
          <w:szCs w:val="20"/>
          <w:color w:val="auto"/>
        </w:rPr>
      </w:pPr>
    </w:p>
    <w:tbl>
      <w:tblPr>
        <w:tblLayout w:type="fixed"/>
        <w:tblInd w:w="1" w:type="dxa"/>
        <w:tblCellMar>
          <w:top w:w="0" w:type="dxa"/>
          <w:left w:w="0" w:type="dxa"/>
          <w:bottom w:w="0" w:type="dxa"/>
          <w:right w:w="0" w:type="dxa"/>
        </w:tblCellMar>
      </w:tblPr>
      <w:tr>
        <w:trPr>
          <w:trHeight w:val="174"/>
        </w:trPr>
        <w:tc>
          <w:tcPr>
            <w:tcW w:w="8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200" w:type="dxa"/>
            <w:vAlign w:val="bottom"/>
          </w:tcPr>
          <w:p>
            <w:pPr>
              <w:spacing w:after="0"/>
              <w:rPr>
                <w:sz w:val="15"/>
                <w:szCs w:val="15"/>
                <w:color w:val="auto"/>
              </w:rPr>
            </w:pPr>
          </w:p>
        </w:tc>
        <w:tc>
          <w:tcPr>
            <w:tcW w:w="1280" w:type="dxa"/>
            <w:vAlign w:val="bottom"/>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97"/>
        </w:trPr>
        <w:tc>
          <w:tcPr>
            <w:tcW w:w="8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Plant and equipment</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203,382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161,387</w:t>
            </w: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CNG/RNG fueling stations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34,494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27,892</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Construction in progress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102,205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62,616</w:t>
            </w: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Buildings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2,544</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Land</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1,303</w:t>
            </w: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Service equipment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1,521</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Leasehold improvements</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815</w:t>
            </w: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Vehicles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Office furniture and equipment</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w:t>
            </w: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Computer software</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w:t>
            </w:r>
          </w:p>
        </w:tc>
      </w:tr>
      <w:tr>
        <w:trPr>
          <w:trHeight w:val="186"/>
        </w:trPr>
        <w:tc>
          <w:tcPr>
            <w:tcW w:w="8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347,831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259,480</w:t>
            </w: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accumulated depreciation</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(97,476)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(89,710)</w:t>
            </w:r>
          </w:p>
        </w:tc>
      </w:tr>
      <w:tr>
        <w:trPr>
          <w:trHeight w:val="21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250,355</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169,770</w:t>
            </w:r>
          </w:p>
        </w:tc>
      </w:tr>
      <w:tr>
        <w:trPr>
          <w:trHeight w:val="20"/>
        </w:trPr>
        <w:tc>
          <w:tcPr>
            <w:tcW w:w="8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left="1" w:firstLine="298"/>
        <w:spacing w:after="0" w:line="256" w:lineRule="auto"/>
        <w:rPr>
          <w:sz w:val="20"/>
          <w:szCs w:val="20"/>
          <w:color w:val="auto"/>
        </w:rPr>
      </w:pPr>
      <w:r>
        <w:rPr>
          <w:rFonts w:ascii="Times New Roman" w:cs="Times New Roman" w:eastAsia="Times New Roman" w:hAnsi="Times New Roman"/>
          <w:sz w:val="17"/>
          <w:szCs w:val="17"/>
          <w:color w:val="auto"/>
        </w:rPr>
        <w:t>As of September 30, 2022, there has been an increase in property, plant and equipment as a result of an increase in the construction of RNG generation facilities including, but not limited to Emerald, Sapphire, and Central Valley RNG dispensing facilities. The majority of these facilities, for which costs are in construction in progress as of September 30, 2022, are expected to be operational during the fourth quarter of 2023 and early 2024.</w:t>
      </w:r>
    </w:p>
    <w:p>
      <w:pPr>
        <w:spacing w:after="0" w:line="71" w:lineRule="exact"/>
        <w:rPr>
          <w:sz w:val="20"/>
          <w:szCs w:val="20"/>
          <w:color w:val="auto"/>
        </w:rPr>
      </w:pPr>
    </w:p>
    <w:p>
      <w:pPr>
        <w:jc w:val="both"/>
        <w:ind w:left="1" w:firstLine="298"/>
        <w:spacing w:after="0" w:line="268" w:lineRule="auto"/>
        <w:rPr>
          <w:sz w:val="20"/>
          <w:szCs w:val="20"/>
          <w:color w:val="auto"/>
        </w:rPr>
      </w:pPr>
      <w:r>
        <w:rPr>
          <w:rFonts w:ascii="Times New Roman" w:cs="Times New Roman" w:eastAsia="Times New Roman" w:hAnsi="Times New Roman"/>
          <w:sz w:val="17"/>
          <w:szCs w:val="17"/>
          <w:color w:val="auto"/>
        </w:rPr>
        <w:t>Depreciation expense on property, plant, and equipment for the nine months ended September 30, 2022 and September 30, 2021 was $8,986 and $6,163, respectively.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ectPr>
          <w:pgSz w:w="11900" w:h="16838" w:orient="portrait"/>
          <w:cols w:equalWidth="0" w:num="1">
            <w:col w:w="11241"/>
          </w:cols>
          <w:pgMar w:left="319" w:top="1440" w:right="339" w:bottom="1440" w:gutter="0" w:footer="0" w:header="0"/>
        </w:sectPr>
      </w:pPr>
    </w:p>
    <w:bookmarkStart w:id="29" w:name="page30"/>
    <w:bookmarkEnd w:id="29"/>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Intangible Assets, Net</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Intangible assets, net, consisted of the following at September 30, 2022 and December 31, 2021:</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20" w:type="dxa"/>
            <w:vAlign w:val="bottom"/>
            <w:gridSpan w:val="3"/>
          </w:tcPr>
          <w:p>
            <w:pPr>
              <w:jc w:val="center"/>
              <w:ind w:left="265"/>
              <w:spacing w:after="0"/>
              <w:rPr>
                <w:sz w:val="20"/>
                <w:szCs w:val="20"/>
                <w:color w:val="auto"/>
              </w:rPr>
            </w:pPr>
            <w:r>
              <w:rPr>
                <w:rFonts w:ascii="Times New Roman" w:cs="Times New Roman" w:eastAsia="Times New Roman" w:hAnsi="Times New Roman"/>
                <w:sz w:val="15"/>
                <w:szCs w:val="15"/>
                <w:b w:val="1"/>
                <w:bCs w:val="1"/>
                <w:color w:val="auto"/>
                <w:w w:val="98"/>
              </w:rPr>
              <w:t>September 30, 2022</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1"/>
        </w:trPr>
        <w:tc>
          <w:tcPr>
            <w:tcW w:w="4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75"/>
        </w:trPr>
        <w:tc>
          <w:tcPr>
            <w:tcW w:w="4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w:t>
            </w:r>
          </w:p>
        </w:tc>
      </w:tr>
      <w:tr>
        <w:trPr>
          <w:trHeight w:val="174"/>
        </w:trPr>
        <w:tc>
          <w:tcPr>
            <w:tcW w:w="4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Average</w:t>
            </w:r>
          </w:p>
        </w:tc>
      </w:tr>
      <w:tr>
        <w:trPr>
          <w:trHeight w:val="186"/>
        </w:trPr>
        <w:tc>
          <w:tcPr>
            <w:tcW w:w="4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left="365"/>
              <w:spacing w:after="0"/>
              <w:rPr>
                <w:sz w:val="20"/>
                <w:szCs w:val="20"/>
                <w:color w:val="auto"/>
              </w:rPr>
            </w:pPr>
            <w:r>
              <w:rPr>
                <w:rFonts w:ascii="Times New Roman" w:cs="Times New Roman" w:eastAsia="Times New Roman" w:hAnsi="Times New Roman"/>
                <w:sz w:val="15"/>
                <w:szCs w:val="15"/>
                <w:b w:val="1"/>
                <w:bCs w:val="1"/>
                <w:color w:val="auto"/>
              </w:rPr>
              <w:t>Intangible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Amortization</w:t>
            </w:r>
          </w:p>
        </w:tc>
      </w:tr>
      <w:tr>
        <w:trPr>
          <w:trHeight w:val="174"/>
        </w:trPr>
        <w:tc>
          <w:tcPr>
            <w:tcW w:w="4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140" w:type="dxa"/>
            <w:vAlign w:val="bottom"/>
          </w:tcPr>
          <w:p>
            <w:pPr>
              <w:jc w:val="center"/>
              <w:ind w:left="305"/>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Period</w:t>
            </w:r>
          </w:p>
        </w:tc>
      </w:tr>
      <w:tr>
        <w:trPr>
          <w:trHeight w:val="220"/>
        </w:trPr>
        <w:tc>
          <w:tcPr>
            <w:tcW w:w="44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Cost</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center"/>
              <w:ind w:left="365"/>
              <w:spacing w:after="0"/>
              <w:rPr>
                <w:sz w:val="20"/>
                <w:szCs w:val="20"/>
                <w:color w:val="auto"/>
              </w:rPr>
            </w:pPr>
            <w:r>
              <w:rPr>
                <w:rFonts w:ascii="Times New Roman" w:cs="Times New Roman" w:eastAsia="Times New Roman" w:hAnsi="Times New Roman"/>
                <w:sz w:val="15"/>
                <w:szCs w:val="15"/>
                <w:b w:val="1"/>
                <w:bCs w:val="1"/>
                <w:color w:val="auto"/>
                <w:w w:val="97"/>
              </w:rPr>
              <w:t>Net</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(Years)</w:t>
            </w:r>
          </w:p>
        </w:tc>
      </w:tr>
      <w:tr>
        <w:trPr>
          <w:trHeight w:val="204"/>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Power purchase agreements</w:t>
            </w:r>
          </w:p>
        </w:tc>
        <w:tc>
          <w:tcPr>
            <w:tcW w:w="1040" w:type="dxa"/>
            <w:vAlign w:val="bottom"/>
            <w:tcBorders>
              <w:bottom w:val="single" w:sz="8" w:color="CCEEFF"/>
            </w:tcBorders>
            <w:shd w:val="clear" w:color="auto" w:fill="CCEEFF"/>
          </w:tcPr>
          <w:p>
            <w:pPr>
              <w:jc w:val="right"/>
              <w:ind w:right="86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8,999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(7,436)</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985"/>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1,563</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w:t>
            </w:r>
          </w:p>
        </w:tc>
      </w:tr>
      <w:tr>
        <w:trPr>
          <w:trHeight w:val="193"/>
        </w:trPr>
        <w:tc>
          <w:tcPr>
            <w:tcW w:w="4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Transmission/distribution interconnection</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(945)</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655</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15.1</w:t>
            </w:r>
          </w:p>
        </w:tc>
      </w:tr>
      <w:tr>
        <w:trPr>
          <w:trHeight w:val="31"/>
        </w:trPr>
        <w:tc>
          <w:tcPr>
            <w:tcW w:w="4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4"/>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CNG sales contract</w:t>
            </w:r>
          </w:p>
        </w:tc>
        <w:tc>
          <w:tcPr>
            <w:tcW w:w="1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(779)</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93"/>
        </w:trPr>
        <w:tc>
          <w:tcPr>
            <w:tcW w:w="4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Intellectual property</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31"/>
        </w:trPr>
        <w:tc>
          <w:tcPr>
            <w:tcW w:w="4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38"/>
        </w:trPr>
        <w:tc>
          <w:tcPr>
            <w:tcW w:w="4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intangible assets</w:t>
            </w:r>
          </w:p>
        </w:tc>
        <w:tc>
          <w:tcPr>
            <w:tcW w:w="1040" w:type="dxa"/>
            <w:vAlign w:val="bottom"/>
            <w:tcBorders>
              <w:bottom w:val="single" w:sz="8" w:color="auto"/>
            </w:tcBorders>
            <w:shd w:val="clear" w:color="auto" w:fill="CCEEFF"/>
          </w:tcPr>
          <w:p>
            <w:pPr>
              <w:jc w:val="right"/>
              <w:ind w:right="86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(9,183)</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85"/>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2,266</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r>
        <w:trPr>
          <w:trHeight w:val="862"/>
        </w:trPr>
        <w:tc>
          <w:tcPr>
            <w:tcW w:w="4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3"/>
          </w:tcPr>
          <w:p>
            <w:pPr>
              <w:jc w:val="center"/>
              <w:ind w:left="265"/>
              <w:spacing w:after="0"/>
              <w:rPr>
                <w:sz w:val="20"/>
                <w:szCs w:val="20"/>
                <w:color w:val="auto"/>
              </w:rPr>
            </w:pPr>
            <w:r>
              <w:rPr>
                <w:rFonts w:ascii="Times New Roman" w:cs="Times New Roman" w:eastAsia="Times New Roman" w:hAnsi="Times New Roman"/>
                <w:sz w:val="15"/>
                <w:szCs w:val="15"/>
                <w:b w:val="1"/>
                <w:bCs w:val="1"/>
                <w:color w:val="auto"/>
                <w:w w:val="98"/>
              </w:rPr>
              <w:t>December 31, 2021</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
        </w:trPr>
        <w:tc>
          <w:tcPr>
            <w:tcW w:w="4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75"/>
        </w:trPr>
        <w:tc>
          <w:tcPr>
            <w:tcW w:w="4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w:t>
            </w:r>
          </w:p>
        </w:tc>
      </w:tr>
      <w:tr>
        <w:trPr>
          <w:trHeight w:val="174"/>
        </w:trPr>
        <w:tc>
          <w:tcPr>
            <w:tcW w:w="4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Average</w:t>
            </w:r>
          </w:p>
        </w:tc>
      </w:tr>
      <w:tr>
        <w:trPr>
          <w:trHeight w:val="186"/>
        </w:trPr>
        <w:tc>
          <w:tcPr>
            <w:tcW w:w="4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left="365"/>
              <w:spacing w:after="0"/>
              <w:rPr>
                <w:sz w:val="20"/>
                <w:szCs w:val="20"/>
                <w:color w:val="auto"/>
              </w:rPr>
            </w:pPr>
            <w:r>
              <w:rPr>
                <w:rFonts w:ascii="Times New Roman" w:cs="Times New Roman" w:eastAsia="Times New Roman" w:hAnsi="Times New Roman"/>
                <w:sz w:val="15"/>
                <w:szCs w:val="15"/>
                <w:b w:val="1"/>
                <w:bCs w:val="1"/>
                <w:color w:val="auto"/>
              </w:rPr>
              <w:t>Intangible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Amortization</w:t>
            </w:r>
          </w:p>
        </w:tc>
      </w:tr>
      <w:tr>
        <w:trPr>
          <w:trHeight w:val="174"/>
        </w:trPr>
        <w:tc>
          <w:tcPr>
            <w:tcW w:w="4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140" w:type="dxa"/>
            <w:vAlign w:val="bottom"/>
          </w:tcPr>
          <w:p>
            <w:pPr>
              <w:jc w:val="center"/>
              <w:ind w:left="305"/>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Period</w:t>
            </w:r>
          </w:p>
        </w:tc>
      </w:tr>
      <w:tr>
        <w:trPr>
          <w:trHeight w:val="220"/>
        </w:trPr>
        <w:tc>
          <w:tcPr>
            <w:tcW w:w="44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Cost</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center"/>
              <w:ind w:left="365"/>
              <w:spacing w:after="0"/>
              <w:rPr>
                <w:sz w:val="20"/>
                <w:szCs w:val="20"/>
                <w:color w:val="auto"/>
              </w:rPr>
            </w:pPr>
            <w:r>
              <w:rPr>
                <w:rFonts w:ascii="Times New Roman" w:cs="Times New Roman" w:eastAsia="Times New Roman" w:hAnsi="Times New Roman"/>
                <w:sz w:val="15"/>
                <w:szCs w:val="15"/>
                <w:b w:val="1"/>
                <w:bCs w:val="1"/>
                <w:color w:val="auto"/>
                <w:w w:val="97"/>
              </w:rPr>
              <w:t>Net</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(years)</w:t>
            </w:r>
          </w:p>
        </w:tc>
      </w:tr>
      <w:tr>
        <w:trPr>
          <w:trHeight w:val="204"/>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Power purchase agreements</w:t>
            </w:r>
          </w:p>
        </w:tc>
        <w:tc>
          <w:tcPr>
            <w:tcW w:w="1040" w:type="dxa"/>
            <w:vAlign w:val="bottom"/>
            <w:tcBorders>
              <w:bottom w:val="single" w:sz="8" w:color="CCEEFF"/>
            </w:tcBorders>
            <w:shd w:val="clear" w:color="auto" w:fill="CCEEFF"/>
          </w:tcPr>
          <w:p>
            <w:pPr>
              <w:jc w:val="right"/>
              <w:ind w:right="86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8,999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(6,986)</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985"/>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2,013</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w:t>
            </w:r>
          </w:p>
        </w:tc>
      </w:tr>
      <w:tr>
        <w:trPr>
          <w:trHeight w:val="193"/>
        </w:trPr>
        <w:tc>
          <w:tcPr>
            <w:tcW w:w="4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Transmission/distribution interconnection</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(865)</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735</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15.1</w:t>
            </w:r>
          </w:p>
        </w:tc>
      </w:tr>
      <w:tr>
        <w:trPr>
          <w:trHeight w:val="31"/>
        </w:trPr>
        <w:tc>
          <w:tcPr>
            <w:tcW w:w="4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r>
      <w:tr>
        <w:trPr>
          <w:trHeight w:val="204"/>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CNG sales contract</w:t>
            </w:r>
          </w:p>
        </w:tc>
        <w:tc>
          <w:tcPr>
            <w:tcW w:w="1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93"/>
        </w:trPr>
        <w:tc>
          <w:tcPr>
            <w:tcW w:w="4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Intellectual property</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31"/>
        </w:trPr>
        <w:tc>
          <w:tcPr>
            <w:tcW w:w="4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38"/>
        </w:trPr>
        <w:tc>
          <w:tcPr>
            <w:tcW w:w="4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intangible assets</w:t>
            </w:r>
          </w:p>
        </w:tc>
        <w:tc>
          <w:tcPr>
            <w:tcW w:w="1040" w:type="dxa"/>
            <w:vAlign w:val="bottom"/>
            <w:tcBorders>
              <w:bottom w:val="single" w:sz="8" w:color="auto"/>
            </w:tcBorders>
            <w:shd w:val="clear" w:color="auto" w:fill="CCEEFF"/>
          </w:tcPr>
          <w:p>
            <w:pPr>
              <w:jc w:val="right"/>
              <w:ind w:right="86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(8,588)</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85"/>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2,861</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32" w:lineRule="exact"/>
        <w:rPr>
          <w:sz w:val="20"/>
          <w:szCs w:val="20"/>
          <w:color w:val="auto"/>
        </w:rPr>
      </w:pPr>
    </w:p>
    <w:p>
      <w:pPr>
        <w:jc w:val="both"/>
        <w:ind w:firstLine="298"/>
        <w:spacing w:after="0" w:line="252" w:lineRule="auto"/>
        <w:rPr>
          <w:sz w:val="20"/>
          <w:szCs w:val="20"/>
          <w:color w:val="auto"/>
        </w:rPr>
      </w:pPr>
      <w:r>
        <w:rPr>
          <w:rFonts w:ascii="Times New Roman" w:cs="Times New Roman" w:eastAsia="Times New Roman" w:hAnsi="Times New Roman"/>
          <w:sz w:val="17"/>
          <w:szCs w:val="17"/>
          <w:color w:val="auto"/>
        </w:rPr>
        <w:t xml:space="preserve">The transmission/distribution interconnection represents an interconnector for one of the Company's LFG recovery facilities. The interconnection construction was initially funded by a municipality. The Company is scheduled to repay the costs of this construction through April 1, 2023. The remaining liability of $121 under the Municipality loan is shown as part of current liabilities on its condensed consolidated balance sheet as of September 30, 2022. Please see Note 8. </w:t>
      </w:r>
      <w:r>
        <w:rPr>
          <w:rFonts w:ascii="Times New Roman" w:cs="Times New Roman" w:eastAsia="Times New Roman" w:hAnsi="Times New Roman"/>
          <w:sz w:val="17"/>
          <w:szCs w:val="17"/>
          <w:i w:val="1"/>
          <w:iCs w:val="1"/>
          <w:color w:val="auto"/>
        </w:rPr>
        <w:t>Borrowings,</w:t>
      </w:r>
      <w:r>
        <w:rPr>
          <w:rFonts w:ascii="Times New Roman" w:cs="Times New Roman" w:eastAsia="Times New Roman" w:hAnsi="Times New Roman"/>
          <w:sz w:val="17"/>
          <w:szCs w:val="17"/>
          <w:color w:val="auto"/>
        </w:rPr>
        <w:t xml:space="preserve"> for additional information.</w:t>
      </w:r>
    </w:p>
    <w:p>
      <w:pPr>
        <w:spacing w:after="0" w:line="99" w:lineRule="exact"/>
        <w:rPr>
          <w:sz w:val="20"/>
          <w:szCs w:val="20"/>
          <w:color w:val="auto"/>
        </w:rPr>
      </w:pPr>
    </w:p>
    <w:p>
      <w:pPr>
        <w:ind w:right="720" w:firstLine="298"/>
        <w:spacing w:after="0" w:line="268" w:lineRule="auto"/>
        <w:rPr>
          <w:sz w:val="20"/>
          <w:szCs w:val="20"/>
          <w:color w:val="auto"/>
        </w:rPr>
      </w:pPr>
      <w:r>
        <w:rPr>
          <w:rFonts w:ascii="Times New Roman" w:cs="Times New Roman" w:eastAsia="Times New Roman" w:hAnsi="Times New Roman"/>
          <w:sz w:val="17"/>
          <w:szCs w:val="17"/>
          <w:color w:val="auto"/>
        </w:rPr>
        <w:t>Amortization expense for the nine months ended September 30, 2022 and 2021 was $595 and $346, respectively. At September 30, 2022, estimated future amortization expense for intangible assets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December 31, 2022</w:t>
            </w:r>
          </w:p>
        </w:tc>
        <w:tc>
          <w:tcPr>
            <w:tcW w:w="58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w:t>
            </w:r>
          </w:p>
        </w:tc>
      </w:tr>
      <w:tr>
        <w:trPr>
          <w:trHeight w:val="193"/>
        </w:trPr>
        <w:tc>
          <w:tcPr>
            <w:tcW w:w="9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Fiscal year:</w:t>
            </w: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1"/>
        </w:trPr>
        <w:tc>
          <w:tcPr>
            <w:tcW w:w="9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w:t>
            </w:r>
          </w:p>
        </w:tc>
      </w:tr>
      <w:tr>
        <w:trPr>
          <w:trHeight w:val="193"/>
        </w:trPr>
        <w:tc>
          <w:tcPr>
            <w:tcW w:w="9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w:t>
            </w:r>
          </w:p>
        </w:tc>
      </w:tr>
      <w:tr>
        <w:trPr>
          <w:trHeight w:val="31"/>
        </w:trPr>
        <w:tc>
          <w:tcPr>
            <w:tcW w:w="9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w:t>
            </w:r>
          </w:p>
        </w:tc>
      </w:tr>
      <w:tr>
        <w:trPr>
          <w:trHeight w:val="193"/>
        </w:trPr>
        <w:tc>
          <w:tcPr>
            <w:tcW w:w="9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w:t>
            </w:r>
          </w:p>
        </w:tc>
      </w:tr>
      <w:tr>
        <w:trPr>
          <w:trHeight w:val="31"/>
        </w:trPr>
        <w:tc>
          <w:tcPr>
            <w:tcW w:w="9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824</w:t>
            </w:r>
          </w:p>
        </w:tc>
      </w:tr>
      <w:tr>
        <w:trPr>
          <w:trHeight w:val="186"/>
        </w:trPr>
        <w:tc>
          <w:tcPr>
            <w:tcW w:w="9760" w:type="dxa"/>
            <w:vAlign w:val="bottom"/>
          </w:tcPr>
          <w:p>
            <w:pPr>
              <w:spacing w:after="0"/>
              <w:rPr>
                <w:sz w:val="16"/>
                <w:szCs w:val="16"/>
                <w:color w:val="auto"/>
              </w:rPr>
            </w:pPr>
          </w:p>
        </w:tc>
        <w:tc>
          <w:tcPr>
            <w:tcW w:w="580" w:type="dxa"/>
            <w:vAlign w:val="bottom"/>
            <w:tcBorders>
              <w:top w:val="single" w:sz="8" w:color="auto"/>
            </w:tcBorders>
          </w:tcPr>
          <w:p>
            <w:pPr>
              <w:jc w:val="right"/>
              <w:ind w:right="4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2,266</w:t>
            </w:r>
          </w:p>
        </w:tc>
      </w:tr>
      <w:tr>
        <w:trPr>
          <w:trHeight w:val="31"/>
        </w:trPr>
        <w:tc>
          <w:tcPr>
            <w:tcW w:w="9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9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Goodwill</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summarizes the changes in goodwill, if any, by reporting segment from the beginning of the period to the end of the period:</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25" w:lineRule="exact"/>
        <w:rPr>
          <w:sz w:val="20"/>
          <w:szCs w:val="20"/>
          <w:color w:val="auto"/>
        </w:rPr>
      </w:pPr>
    </w:p>
    <w:tbl>
      <w:tblPr>
        <w:tblLayout w:type="fixed"/>
        <w:tblInd w:w="1" w:type="dxa"/>
        <w:tblCellMar>
          <w:top w:w="0" w:type="dxa"/>
          <w:left w:w="0" w:type="dxa"/>
          <w:bottom w:w="0" w:type="dxa"/>
          <w:right w:w="0" w:type="dxa"/>
        </w:tblCellMar>
      </w:tblPr>
      <w:tr>
        <w:trPr>
          <w:trHeight w:val="197"/>
        </w:trPr>
        <w:tc>
          <w:tcPr>
            <w:tcW w:w="6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RNG Fuel</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Fuel Station Services</w:t>
            </w:r>
          </w:p>
        </w:tc>
        <w:tc>
          <w:tcPr>
            <w:tcW w:w="340" w:type="dxa"/>
            <w:vAlign w:val="bottom"/>
          </w:tcPr>
          <w:p>
            <w:pPr>
              <w:spacing w:after="0"/>
              <w:rPr>
                <w:sz w:val="17"/>
                <w:szCs w:val="17"/>
                <w:color w:val="auto"/>
              </w:rPr>
            </w:pPr>
          </w:p>
        </w:tc>
        <w:tc>
          <w:tcPr>
            <w:tcW w:w="1140" w:type="dxa"/>
            <w:vAlign w:val="bottom"/>
          </w:tcPr>
          <w:p>
            <w:pPr>
              <w:jc w:val="right"/>
              <w:ind w:right="48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31"/>
        </w:trPr>
        <w:tc>
          <w:tcPr>
            <w:tcW w:w="6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2021</w:t>
            </w: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51,155</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0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54,608</w:t>
            </w:r>
          </w:p>
        </w:tc>
      </w:tr>
      <w:tr>
        <w:trPr>
          <w:trHeight w:val="213"/>
        </w:trPr>
        <w:tc>
          <w:tcPr>
            <w:tcW w:w="6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September 30, 2022</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51,155</w:t>
            </w: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0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3,453</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54,608</w:t>
            </w:r>
          </w:p>
        </w:tc>
      </w:tr>
      <w:tr>
        <w:trPr>
          <w:trHeight w:val="20"/>
        </w:trPr>
        <w:tc>
          <w:tcPr>
            <w:tcW w:w="6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8. Borrowings</w:t>
      </w:r>
    </w:p>
    <w:p>
      <w:pPr>
        <w:spacing w:after="0" w:line="144" w:lineRule="exact"/>
        <w:rPr>
          <w:sz w:val="20"/>
          <w:szCs w:val="20"/>
          <w:color w:val="auto"/>
        </w:rPr>
      </w:pPr>
    </w:p>
    <w:p>
      <w:pPr>
        <w:ind w:left="301"/>
        <w:spacing w:after="0"/>
        <w:rPr>
          <w:sz w:val="20"/>
          <w:szCs w:val="20"/>
          <w:color w:val="auto"/>
        </w:rPr>
      </w:pPr>
      <w:r>
        <w:rPr>
          <w:rFonts w:ascii="Times New Roman" w:cs="Times New Roman" w:eastAsia="Times New Roman" w:hAnsi="Times New Roman"/>
          <w:sz w:val="17"/>
          <w:szCs w:val="17"/>
          <w:color w:val="auto"/>
        </w:rPr>
        <w:t>The following table summarizes the borrowings under the various debt facilities as of September 30, 2022 and December 31, 2021:</w:t>
      </w:r>
    </w:p>
    <w:p>
      <w:pPr>
        <w:spacing w:after="0" w:line="240" w:lineRule="exact"/>
        <w:rPr>
          <w:sz w:val="20"/>
          <w:szCs w:val="20"/>
          <w:color w:val="auto"/>
        </w:rPr>
      </w:pPr>
    </w:p>
    <w:tbl>
      <w:tblPr>
        <w:tblLayout w:type="fixed"/>
        <w:tblInd w:w="1" w:type="dxa"/>
        <w:tblCellMar>
          <w:top w:w="0" w:type="dxa"/>
          <w:left w:w="0" w:type="dxa"/>
          <w:bottom w:w="0" w:type="dxa"/>
          <w:right w:w="0" w:type="dxa"/>
        </w:tblCellMar>
      </w:tblPr>
      <w:tr>
        <w:trPr>
          <w:trHeight w:val="197"/>
        </w:trPr>
        <w:tc>
          <w:tcPr>
            <w:tcW w:w="7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31"/>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Senior Secured Credit Facility, term loan</w:t>
            </w:r>
          </w:p>
        </w:tc>
        <w:tc>
          <w:tcPr>
            <w:tcW w:w="300" w:type="dxa"/>
            <w:vAlign w:val="bottom"/>
            <w:tcBorders>
              <w:bottom w:val="single" w:sz="8" w:color="CCEEFF"/>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70,179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73,869</w:t>
            </w: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Less: unamortized debt issuance costs</w:t>
            </w:r>
          </w:p>
        </w:tc>
        <w:tc>
          <w:tcPr>
            <w:tcW w:w="30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(724)</w:t>
            </w:r>
          </w:p>
        </w:tc>
      </w:tr>
      <w:tr>
        <w:trPr>
          <w:trHeight w:val="31"/>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current portion</w:t>
            </w:r>
          </w:p>
        </w:tc>
        <w:tc>
          <w:tcPr>
            <w:tcW w:w="3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(70,179)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(73,145)</w:t>
            </w:r>
          </w:p>
        </w:tc>
      </w:tr>
      <w:tr>
        <w:trPr>
          <w:trHeight w:val="186"/>
        </w:trPr>
        <w:tc>
          <w:tcPr>
            <w:tcW w:w="7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Senior Secured Credit Facility, term loan, net of debt issuance costs</w:t>
            </w: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Senior Secured Credit Facility, working capital facility</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7,500</w:t>
            </w: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Less: current portion</w:t>
            </w:r>
          </w:p>
        </w:tc>
        <w:tc>
          <w:tcPr>
            <w:tcW w:w="3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w:t>
            </w:r>
          </w:p>
        </w:tc>
      </w:tr>
      <w:tr>
        <w:trPr>
          <w:trHeight w:val="31"/>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6"/>
        </w:trPr>
        <w:tc>
          <w:tcPr>
            <w:tcW w:w="7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Senior Secured Credit Facility, working capital facility</w:t>
            </w:r>
          </w:p>
        </w:tc>
        <w:tc>
          <w:tcPr>
            <w:tcW w:w="3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7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OPAL Term Loan</w:t>
            </w: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91,223</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75,000</w:t>
            </w:r>
          </w:p>
        </w:tc>
      </w:tr>
      <w:tr>
        <w:trPr>
          <w:trHeight w:val="31"/>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unamortized debt issuance costs</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(2,485)</w:t>
            </w: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Less: current portion</w:t>
            </w:r>
          </w:p>
        </w:tc>
        <w:tc>
          <w:tcPr>
            <w:tcW w:w="3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(13,425)</w:t>
            </w:r>
          </w:p>
        </w:tc>
      </w:tr>
      <w:tr>
        <w:trPr>
          <w:trHeight w:val="31"/>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6"/>
        </w:trPr>
        <w:tc>
          <w:tcPr>
            <w:tcW w:w="7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OPAL Term Loan, net of debt issuance costs</w:t>
            </w:r>
          </w:p>
        </w:tc>
        <w:tc>
          <w:tcPr>
            <w:tcW w:w="3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60,816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59,090</w:t>
            </w:r>
          </w:p>
        </w:tc>
      </w:tr>
      <w:tr>
        <w:trPr>
          <w:trHeight w:val="186"/>
        </w:trPr>
        <w:tc>
          <w:tcPr>
            <w:tcW w:w="7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Sunoma Loan</w:t>
            </w: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23,000</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17,524</w:t>
            </w:r>
          </w:p>
        </w:tc>
      </w:tr>
      <w:tr>
        <w:trPr>
          <w:trHeight w:val="31"/>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unamortized debt issuance costs</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w:t>
            </w: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Less: current portion</w:t>
            </w:r>
          </w:p>
        </w:tc>
        <w:tc>
          <w:tcPr>
            <w:tcW w:w="30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(756)</w:t>
            </w:r>
          </w:p>
        </w:tc>
      </w:tr>
      <w:tr>
        <w:trPr>
          <w:trHeight w:val="31"/>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6"/>
        </w:trPr>
        <w:tc>
          <w:tcPr>
            <w:tcW w:w="7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Sunoma Loan, net of debt issuance costs</w:t>
            </w:r>
          </w:p>
        </w:tc>
        <w:tc>
          <w:tcPr>
            <w:tcW w:w="3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22,080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16,199</w:t>
            </w:r>
          </w:p>
        </w:tc>
      </w:tr>
      <w:tr>
        <w:trPr>
          <w:trHeight w:val="186"/>
        </w:trPr>
        <w:tc>
          <w:tcPr>
            <w:tcW w:w="7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Convertible Note Payable</w:t>
            </w: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27,964</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58,710</w:t>
            </w:r>
          </w:p>
        </w:tc>
      </w:tr>
      <w:tr>
        <w:trPr>
          <w:trHeight w:val="31"/>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Less: current portion</w:t>
            </w:r>
          </w:p>
        </w:tc>
        <w:tc>
          <w:tcPr>
            <w:tcW w:w="3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(27,964)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7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Convertible Note Payable</w:t>
            </w:r>
          </w:p>
        </w:tc>
        <w:tc>
          <w:tcPr>
            <w:tcW w:w="3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58,710</w:t>
            </w:r>
          </w:p>
        </w:tc>
      </w:tr>
      <w:tr>
        <w:trPr>
          <w:trHeight w:val="31"/>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6"/>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Municipality Loan</w:t>
            </w:r>
          </w:p>
        </w:tc>
        <w:tc>
          <w:tcPr>
            <w:tcW w:w="3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278</w:t>
            </w:r>
          </w:p>
        </w:tc>
      </w:tr>
      <w:tr>
        <w:trPr>
          <w:trHeight w:val="193"/>
        </w:trPr>
        <w:tc>
          <w:tcPr>
            <w:tcW w:w="7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Less: current portion</w:t>
            </w:r>
          </w:p>
        </w:tc>
        <w:tc>
          <w:tcPr>
            <w:tcW w:w="3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w:t>
            </w:r>
          </w:p>
        </w:tc>
      </w:tr>
      <w:tr>
        <w:trPr>
          <w:trHeight w:val="31"/>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6"/>
        </w:trPr>
        <w:tc>
          <w:tcPr>
            <w:tcW w:w="7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Municipality Loan</w:t>
            </w:r>
          </w:p>
        </w:tc>
        <w:tc>
          <w:tcPr>
            <w:tcW w:w="3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84</w:t>
            </w:r>
          </w:p>
        </w:tc>
      </w:tr>
      <w:tr>
        <w:trPr>
          <w:trHeight w:val="213"/>
        </w:trPr>
        <w:tc>
          <w:tcPr>
            <w:tcW w:w="7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Non-current borrowings total</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82,896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134,083</w:t>
            </w: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1" w:right="20" w:firstLine="298"/>
        <w:spacing w:after="0" w:line="268" w:lineRule="auto"/>
        <w:rPr>
          <w:sz w:val="20"/>
          <w:szCs w:val="20"/>
          <w:color w:val="auto"/>
        </w:rPr>
      </w:pPr>
      <w:r>
        <w:rPr>
          <w:rFonts w:ascii="Times New Roman" w:cs="Times New Roman" w:eastAsia="Times New Roman" w:hAnsi="Times New Roman"/>
          <w:sz w:val="17"/>
          <w:szCs w:val="17"/>
          <w:color w:val="auto"/>
        </w:rPr>
        <w:t>As of September 30, 2022, principal maturities of debt are expected as follows, excluding any subsequent refinancing transactions and any undrawn debt facilities as of the date of the condensed consolidated balance sheets:</w:t>
      </w:r>
    </w:p>
    <w:p>
      <w:pPr>
        <w:spacing w:after="0" w:line="173" w:lineRule="exact"/>
        <w:rPr>
          <w:sz w:val="20"/>
          <w:szCs w:val="20"/>
          <w:color w:val="auto"/>
        </w:rPr>
      </w:pPr>
    </w:p>
    <w:tbl>
      <w:tblPr>
        <w:tblLayout w:type="fixed"/>
        <w:tblInd w:w="1" w:type="dxa"/>
        <w:tblCellMar>
          <w:top w:w="0" w:type="dxa"/>
          <w:left w:w="0" w:type="dxa"/>
          <w:bottom w:w="0" w:type="dxa"/>
          <w:right w:w="0" w:type="dxa"/>
        </w:tblCellMar>
      </w:tblPr>
      <w:tr>
        <w:trPr>
          <w:trHeight w:val="174"/>
        </w:trPr>
        <w:tc>
          <w:tcPr>
            <w:tcW w:w="2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Senior</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6"/>
        </w:trPr>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6"/>
              </w:rPr>
              <w:t>Secured</w:t>
            </w: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4"/>
        </w:trPr>
        <w:tc>
          <w:tcPr>
            <w:tcW w:w="2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Credit</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Convertible</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Municipality</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7"/>
        </w:trPr>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Facility</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OPAL Term Loan</w:t>
            </w:r>
          </w:p>
        </w:tc>
        <w:tc>
          <w:tcPr>
            <w:tcW w:w="16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Sunoma Loan</w:t>
            </w:r>
          </w:p>
        </w:tc>
        <w:tc>
          <w:tcPr>
            <w:tcW w:w="12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5"/>
              </w:rPr>
              <w:t xml:space="preserve">Note Payable </w:t>
            </w:r>
            <w:r>
              <w:rPr>
                <w:rFonts w:ascii="Times New Roman" w:cs="Times New Roman" w:eastAsia="Times New Roman" w:hAnsi="Times New Roman"/>
                <w:sz w:val="19"/>
                <w:szCs w:val="19"/>
                <w:b w:val="1"/>
                <w:bCs w:val="1"/>
                <w:color w:val="auto"/>
                <w:w w:val="95"/>
                <w:vertAlign w:val="superscript"/>
              </w:rPr>
              <w:t>(1)</w:t>
            </w:r>
          </w:p>
        </w:tc>
        <w:tc>
          <w:tcPr>
            <w:tcW w:w="16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Loan</w:t>
            </w:r>
          </w:p>
        </w:tc>
        <w:tc>
          <w:tcPr>
            <w:tcW w:w="300" w:type="dxa"/>
            <w:vAlign w:val="bottom"/>
          </w:tcPr>
          <w:p>
            <w:pPr>
              <w:spacing w:after="0"/>
              <w:rPr>
                <w:sz w:val="19"/>
                <w:szCs w:val="19"/>
                <w:color w:val="auto"/>
              </w:rPr>
            </w:pPr>
          </w:p>
        </w:tc>
        <w:tc>
          <w:tcPr>
            <w:tcW w:w="1000" w:type="dxa"/>
            <w:vAlign w:val="bottom"/>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16"/>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ending December 31, 2022</w:t>
            </w:r>
          </w:p>
        </w:tc>
        <w:tc>
          <w:tcPr>
            <w:tcW w:w="24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77,679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27,964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113,331</w:t>
            </w:r>
          </w:p>
        </w:tc>
      </w:tr>
      <w:tr>
        <w:trPr>
          <w:trHeight w:val="193"/>
        </w:trPr>
        <w:tc>
          <w:tcPr>
            <w:tcW w:w="2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Fiscal year:</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1"/>
        </w:trPr>
        <w:tc>
          <w:tcPr>
            <w:tcW w:w="2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4"/>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27,732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28,751</w:t>
            </w:r>
          </w:p>
        </w:tc>
      </w:tr>
      <w:tr>
        <w:trPr>
          <w:trHeight w:val="193"/>
        </w:trPr>
        <w:tc>
          <w:tcPr>
            <w:tcW w:w="2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2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31,544</w:t>
            </w:r>
          </w:p>
        </w:tc>
      </w:tr>
      <w:tr>
        <w:trPr>
          <w:trHeight w:val="31"/>
        </w:trPr>
        <w:tc>
          <w:tcPr>
            <w:tcW w:w="2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4"/>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28,126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31,938</w:t>
            </w:r>
          </w:p>
        </w:tc>
      </w:tr>
      <w:tr>
        <w:trPr>
          <w:trHeight w:val="221"/>
        </w:trPr>
        <w:tc>
          <w:tcPr>
            <w:tcW w:w="28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3,801</w:t>
            </w:r>
          </w:p>
        </w:tc>
      </w:tr>
      <w:tr>
        <w:trPr>
          <w:trHeight w:val="227"/>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10,622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10,622</w:t>
            </w:r>
          </w:p>
        </w:tc>
      </w:tr>
      <w:tr>
        <w:trPr>
          <w:trHeight w:val="186"/>
        </w:trPr>
        <w:tc>
          <w:tcPr>
            <w:tcW w:w="2880" w:type="dxa"/>
            <w:vAlign w:val="bottom"/>
          </w:tcPr>
          <w:p>
            <w:pPr>
              <w:spacing w:after="0"/>
              <w:rPr>
                <w:sz w:val="16"/>
                <w:szCs w:val="16"/>
                <w:color w:val="auto"/>
              </w:rPr>
            </w:pPr>
          </w:p>
        </w:tc>
        <w:tc>
          <w:tcPr>
            <w:tcW w:w="24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77,679</w:t>
            </w:r>
          </w:p>
        </w:tc>
        <w:tc>
          <w:tcPr>
            <w:tcW w:w="100" w:type="dxa"/>
            <w:vAlign w:val="bottom"/>
          </w:tcPr>
          <w:p>
            <w:pPr>
              <w:spacing w:after="0"/>
              <w:rPr>
                <w:sz w:val="16"/>
                <w:szCs w:val="16"/>
                <w:color w:val="auto"/>
              </w:rPr>
            </w:pPr>
          </w:p>
        </w:tc>
        <w:tc>
          <w:tcPr>
            <w:tcW w:w="460" w:type="dxa"/>
            <w:vAlign w:val="bottom"/>
            <w:tcBorders>
              <w:top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91,223</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23,000</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27,964</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121</w:t>
            </w: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219,987</w:t>
            </w:r>
          </w:p>
        </w:tc>
      </w:tr>
      <w:tr>
        <w:trPr>
          <w:trHeight w:val="31"/>
        </w:trPr>
        <w:tc>
          <w:tcPr>
            <w:tcW w:w="2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181" w:hanging="181"/>
        <w:spacing w:after="0"/>
        <w:tabs>
          <w:tab w:leader="none" w:pos="181"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Convertible Note Payable is redeemable on demand at the option of the Company or the lender.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ectPr>
          <w:pgSz w:w="11900" w:h="16838" w:orient="portrait"/>
          <w:cols w:equalWidth="0" w:num="1">
            <w:col w:w="11241"/>
          </w:cols>
          <w:pgMar w:left="319" w:top="1440" w:right="339" w:bottom="1440" w:gutter="0" w:footer="0" w:header="0"/>
        </w:sectPr>
      </w:pPr>
    </w:p>
    <w:bookmarkStart w:id="31" w:name="page32"/>
    <w:bookmarkEnd w:id="31"/>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Secured Credit Facility</w:t>
      </w:r>
    </w:p>
    <w:p>
      <w:pPr>
        <w:spacing w:after="0" w:line="144" w:lineRule="exact"/>
        <w:rPr>
          <w:sz w:val="20"/>
          <w:szCs w:val="20"/>
          <w:color w:val="auto"/>
        </w:rPr>
      </w:pPr>
    </w:p>
    <w:p>
      <w:pPr>
        <w:jc w:val="both"/>
        <w:ind w:firstLine="298"/>
        <w:spacing w:after="0" w:line="250" w:lineRule="auto"/>
        <w:rPr>
          <w:sz w:val="20"/>
          <w:szCs w:val="20"/>
          <w:color w:val="auto"/>
        </w:rPr>
      </w:pPr>
      <w:r>
        <w:rPr>
          <w:rFonts w:ascii="Times New Roman" w:cs="Times New Roman" w:eastAsia="Times New Roman" w:hAnsi="Times New Roman"/>
          <w:sz w:val="17"/>
          <w:szCs w:val="17"/>
          <w:color w:val="auto"/>
        </w:rPr>
        <w:t>On September 21, 2015, FM3, an indirect wholly-owned subsidiary of the Company, entered into a senior secured credit facility (the "Senior Secured Credit Facility") as a borrower and a syndicate of lenders, which provides for an aggregate principal amount of $150,000, consisting of (i) a term loan of $125,000 ( "Term Loan Facility") and a (ii) working capital letter of credit facility (the "Working Capital Facility") of up to $19,000 and a (iii) debt service reserve and liquidity facility of up to $6,000. The Company paid $14,300 to the lenders in connection with the transaction. As of September 30, 2022 and December 31, 2021, $70,179 and $73,869, respectively, was outstanding under the Senior Secured Credit Facility- term loan.</w:t>
      </w:r>
    </w:p>
    <w:p>
      <w:pPr>
        <w:spacing w:after="0" w:line="88" w:lineRule="exact"/>
        <w:rPr>
          <w:sz w:val="20"/>
          <w:szCs w:val="20"/>
          <w:color w:val="auto"/>
        </w:rPr>
      </w:pPr>
    </w:p>
    <w:p>
      <w:pPr>
        <w:jc w:val="both"/>
        <w:ind w:firstLine="298"/>
        <w:spacing w:after="0" w:line="249" w:lineRule="auto"/>
        <w:rPr>
          <w:sz w:val="20"/>
          <w:szCs w:val="20"/>
          <w:color w:val="auto"/>
        </w:rPr>
      </w:pPr>
      <w:r>
        <w:rPr>
          <w:rFonts w:ascii="Times New Roman" w:cs="Times New Roman" w:eastAsia="Times New Roman" w:hAnsi="Times New Roman"/>
          <w:sz w:val="17"/>
          <w:szCs w:val="17"/>
          <w:color w:val="auto"/>
        </w:rPr>
        <w:t>The borrowings under the Senior Secured Credit Facility bear an interest rate of a fixed margin plus LIBOR for the relevant interest period. The fixed margin is 2.75% for the first four years, then 3.0% until October 8, 2021, and 3.25% thereafter. Pursuant to the terms of the facility, FM3 is required to repay 1.0% of the outstanding debt under the Term Loan Facility amounting to $125,000 on a quarterly basis which is then adjusted based on available cash and a target debt balance that declines each quarter. The Working Capital Facility contains a provision whereby the Company is obligated to reduce the amount borrowed to $7,500 or less for a period of ten days consecutive business days annually. As of both September 30, 2022 and December 31, 2021, the total amount outstanding under the Working Capital Facility was $7,500. Additionally, the Company pays commitment fee of 0.75% on the unused portion of the facility.</w:t>
      </w:r>
    </w:p>
    <w:p>
      <w:pPr>
        <w:spacing w:after="0" w:line="76" w:lineRule="exact"/>
        <w:rPr>
          <w:sz w:val="20"/>
          <w:szCs w:val="20"/>
          <w:color w:val="auto"/>
        </w:rPr>
      </w:pPr>
    </w:p>
    <w:p>
      <w:pPr>
        <w:jc w:val="both"/>
        <w:ind w:firstLine="298"/>
        <w:spacing w:after="0" w:line="253" w:lineRule="auto"/>
        <w:rPr>
          <w:sz w:val="20"/>
          <w:szCs w:val="20"/>
          <w:color w:val="auto"/>
        </w:rPr>
      </w:pPr>
      <w:r>
        <w:rPr>
          <w:rFonts w:ascii="Times New Roman" w:cs="Times New Roman" w:eastAsia="Times New Roman" w:hAnsi="Times New Roman"/>
          <w:sz w:val="16"/>
          <w:szCs w:val="16"/>
          <w:color w:val="auto"/>
        </w:rPr>
        <w:t>On October 8, 2021, the Company entered into the Amendment to Second Amended and Restated Credit Agreement (the “Amendment”)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r>
        <w:rPr>
          <w:rFonts w:ascii="Times New Roman" w:cs="Times New Roman" w:eastAsia="Times New Roman" w:hAnsi="Times New Roman"/>
          <w:sz w:val="16"/>
          <w:szCs w:val="16"/>
          <w:b w:val="1"/>
          <w:bCs w:val="1"/>
          <w:color w:val="auto"/>
        </w:rPr>
        <w:t>.</w:t>
      </w:r>
    </w:p>
    <w:p>
      <w:pPr>
        <w:spacing w:after="0" w:line="87"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At September 30, 2022 and December 31, 2021, FM3 had outstanding letters of credit that support obligations of the Company and its subsidiaries of $7,971 and $7,823, respectively. The Senior Secured Credit Facility is collateralized by substantially all the assets of FM3 and assignment of FM3's rights, title, and interests in purchase and sale agreements and LFG rights agreements.</w:t>
      </w:r>
    </w:p>
    <w:p>
      <w:pPr>
        <w:spacing w:after="0" w:line="95"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The Senior Secured Credit Facility contains certain warranties and financial covenants including but not limited to debt service coverage ratio to not be less than 1.0 and restrictions on distributions and additional indebtedness. The lenders only have recourse to the assets of FM3. For the nine months ended September 30, 2022, FM3 was in compliance with all debt covenants.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Patronage dividends</w:t>
      </w:r>
    </w:p>
    <w:p>
      <w:pPr>
        <w:spacing w:after="0" w:line="130" w:lineRule="exact"/>
        <w:rPr>
          <w:sz w:val="20"/>
          <w:szCs w:val="20"/>
          <w:color w:val="auto"/>
        </w:rPr>
      </w:pPr>
    </w:p>
    <w:p>
      <w:pPr>
        <w:jc w:val="both"/>
        <w:ind w:firstLine="298"/>
        <w:spacing w:after="0" w:line="250" w:lineRule="auto"/>
        <w:rPr>
          <w:sz w:val="20"/>
          <w:szCs w:val="20"/>
          <w:color w:val="auto"/>
        </w:rPr>
      </w:pPr>
      <w:r>
        <w:rPr>
          <w:rFonts w:ascii="Times New Roman" w:cs="Times New Roman" w:eastAsia="Times New Roman" w:hAnsi="Times New Roman"/>
          <w:sz w:val="17"/>
          <w:szCs w:val="17"/>
          <w:color w:val="auto"/>
        </w:rPr>
        <w:t>The Company is eligible to receive annual patronage dividends from one of its lenders, Cobank ACB under a profit sharing program made available to the borrowers. For the nine months ended September 30, 2022 and 2021, the Company received cash dividends of $126 and $139, respectively, which were recorded as credits to interest expense in its condensed consolidated statements of operations. Additionally, the Company recorded $489 as a long-term asset on its condensed consolidated balance sheets at September 30, 2022 and December 31, 2021, which represents the Company's equity interest in Cobank SCB which will be redeemed for cash beginning in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OPAL Term Loan</w:t>
      </w:r>
    </w:p>
    <w:p>
      <w:pPr>
        <w:spacing w:after="0" w:line="132" w:lineRule="exact"/>
        <w:rPr>
          <w:sz w:val="20"/>
          <w:szCs w:val="20"/>
          <w:color w:val="auto"/>
        </w:rPr>
      </w:pPr>
    </w:p>
    <w:p>
      <w:pPr>
        <w:jc w:val="both"/>
        <w:ind w:firstLine="298"/>
        <w:spacing w:after="0" w:line="248" w:lineRule="auto"/>
        <w:rPr>
          <w:sz w:val="20"/>
          <w:szCs w:val="20"/>
          <w:color w:val="auto"/>
        </w:rPr>
      </w:pPr>
      <w:r>
        <w:rPr>
          <w:rFonts w:ascii="Times New Roman" w:cs="Times New Roman" w:eastAsia="Times New Roman" w:hAnsi="Times New Roman"/>
          <w:sz w:val="17"/>
          <w:szCs w:val="17"/>
          <w:color w:val="auto"/>
        </w:rPr>
        <w:t>On October 22, 2021, OPAL Fuels Intermediate Holding Company LLC (“OPAL Intermediate Holdco”), an indirect wholly-owned subsidiary of the Company, entered into a $125,000 term loan agreement (the "OPAL Term Loan") with a syndicate of lenders. Of the $125,000, the Company had $90,000 available for borrowing upon closing and the remaining $35,000 to be made available as three more RNG facilities become operational. The OPAL Term Loan is secured by a pledge in the equity interest of Beacon Holdco LLC, OPAL Environmental Credit Marketing LLC, OPAL Fuel Station Services LLC (f/k/a Trustar Energy LLC), and OPAL Fuels Services LLC along with cash bank accounts and a security interest in the Company’s environmental credits. A portion of the proceeds of the OPAL Term Loan were used to pay off the outstanding balance under the TruStar revolver credit facility in October 2021 and the remainder will be used for general corporate purposes, including investments in RNG projects being developed by the Company.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63"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Pursuant to the OPAL Term Loan, the Company borrowed $75,000 in October 2021 and an another $15,000 in February 2022 pursuant to an amendment allowing the Company to drawdown later than the original commitment date.</w:t>
      </w:r>
    </w:p>
    <w:p>
      <w:pPr>
        <w:spacing w:after="0" w:line="85" w:lineRule="exact"/>
        <w:rPr>
          <w:sz w:val="20"/>
          <w:szCs w:val="20"/>
          <w:color w:val="auto"/>
        </w:rPr>
      </w:pPr>
    </w:p>
    <w:p>
      <w:pPr>
        <w:jc w:val="both"/>
        <w:ind w:firstLine="298"/>
        <w:spacing w:after="0" w:line="252" w:lineRule="auto"/>
        <w:rPr>
          <w:sz w:val="20"/>
          <w:szCs w:val="20"/>
          <w:color w:val="auto"/>
        </w:rPr>
      </w:pPr>
      <w:r>
        <w:rPr>
          <w:rFonts w:ascii="Times New Roman" w:cs="Times New Roman" w:eastAsia="Times New Roman" w:hAnsi="Times New Roman"/>
          <w:sz w:val="17"/>
          <w:szCs w:val="17"/>
          <w:color w:val="auto"/>
        </w:rPr>
        <w:t>On September 29, 2022, OPAL Intermediate Holdco entered into Amendment No. 3 to the OPAL Term Loan (“Amendment No. 3”) that (a) extended the availability period from (i) September 30, 2022 to October 31, 2022 for the borrowing under the Term A-2 Commitments of up to an aggregate of $25 million in Term A-2 Loans, and (ii) March 31, 2023 for the borrowing under the Term A-2 Commitments of a single final borrowing of Term A-2 Loans not to exceed $10 million and (b) amended the principal repayment amortization schedule.</w:t>
      </w:r>
    </w:p>
    <w:p>
      <w:pPr>
        <w:spacing w:after="0" w:line="111"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During the third quarter of 2022, one of the RNG projects went operational and the Company borrowed $12,500 under the OPAL Term Loan. In October 2022, the Company borrowed an additional $12,500 with an additional commitment of $10,000 remaining under this debt facility.</w:t>
      </w:r>
    </w:p>
    <w:p>
      <w:pPr>
        <w:spacing w:after="0" w:line="98"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The OPAL Term Loan matures April 22, 2025 and bears interest at 3.0% plus SOFR. In accordance to the terms of the facility, OPAL Intermediate Holdco is required to repay 1.79% or $1,611 per month beginning March 2022 and an additional $700 per month beginning September 2022.</w:t>
      </w:r>
    </w:p>
    <w:p>
      <w:pPr>
        <w:spacing w:after="0" w:line="85" w:lineRule="exact"/>
        <w:rPr>
          <w:sz w:val="20"/>
          <w:szCs w:val="20"/>
          <w:color w:val="auto"/>
        </w:rPr>
      </w:pPr>
    </w:p>
    <w:p>
      <w:pPr>
        <w:jc w:val="both"/>
        <w:ind w:firstLine="298"/>
        <w:spacing w:after="0" w:line="252" w:lineRule="auto"/>
        <w:rPr>
          <w:sz w:val="20"/>
          <w:szCs w:val="20"/>
          <w:color w:val="auto"/>
        </w:rPr>
      </w:pPr>
      <w:r>
        <w:rPr>
          <w:rFonts w:ascii="Times New Roman" w:cs="Times New Roman" w:eastAsia="Times New Roman" w:hAnsi="Times New Roman"/>
          <w:sz w:val="17"/>
          <w:szCs w:val="17"/>
          <w:color w:val="auto"/>
        </w:rPr>
        <w:t>The OPAL Term Loan contains customary warranties and representations and certain financial covenants which require OPAL Intermediate Holdco to maintain (i) minimum liquidity of $15,000 until March 31, 2022 and $10,000 thereafter and (ii) a leverage ratio not to exceed 4:1. As of September 30, 2022, the Company is in compliance with the financial covenants under the OPAL Term Loan. Additionally, the OPAL Term Loan contains restrictions on distributions and additional indebtedness.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Sunoma Loan</w:t>
      </w:r>
    </w:p>
    <w:p>
      <w:pPr>
        <w:spacing w:after="0" w:line="144"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On August 27, 2020, Sunoma, an indirect wholly-owned subsidiary of the Company entered into a debt agreement (the "Sunoma Loan Agreement") with Live Oak Banking Company for an aggregate principal amount of $20,000. Sunoma paid $635 as financing fees. The loan bears interest at the greater of prime rate plus 3.50%, or 7.75%. The amounts outstanding under the Sunoma Loan are secured by the assets of Sunoma.</w:t>
      </w:r>
    </w:p>
    <w:p>
      <w:pPr>
        <w:spacing w:after="0" w:line="108"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The Sunoma Loan Agreement contains certain financial covenants which require Sunoma to maintain (i) maximum debt to net worth ratio not to exceed 5:1 (ii) a minimum current ratio not be less than 1.0 and (iii) minimum debt service coverage ratio of trailing four quarters not be less than 1.25. On July 19, 2022, Sunoma completed the conversion of the construction loan into a permanent loan and increased the commitment from $20,000 to $23,000.</w:t>
      </w:r>
    </w:p>
    <w:p>
      <w:pPr>
        <w:spacing w:after="0" w:line="95"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The borrowings under the Sunoma Loan Agreement bear interest at a rate of 7.68% and have a maturity date of July 19, 2033. The Company is required to pay a quarterly amortization of principal of $954 beginning in October 2023. The Company paid $3,482 into interest and debt reserve accounts. This cash is recorded as Restricted cash under long term assets in the Condensed Consolidated Balance Sheet as of September 30, 2022.</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significant assets of Sunoma are parenthesized in the condensed consolidated balance sheets as September 30, 2022 and December 31, 2021. See Note 13.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Variable Interest Entities </w:t>
      </w:r>
      <w:r>
        <w:rPr>
          <w:rFonts w:ascii="Times New Roman" w:cs="Times New Roman" w:eastAsia="Times New Roman" w:hAnsi="Times New Roman"/>
          <w:sz w:val="17"/>
          <w:szCs w:val="17"/>
          <w:color w:val="auto"/>
        </w:rPr>
        <w:t>for additional information.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Convertible Note Payable</w:t>
      </w:r>
    </w:p>
    <w:p>
      <w:pPr>
        <w:spacing w:after="0" w:line="119"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On May 1, 2021, the Company acquired the remaining ownership interests in Beacon and signed an unsecured, contingently convertible note (the "Convertible Note") with Ares for a total aggregate amount for $50,000 at an interest rate of 8.00% per annum. The Company has the option to pay interest on the Convertible Note in cash on a quarterly basis or payment-in-kind. The Company chose the option of payment-in-kind interest.</w:t>
      </w:r>
    </w:p>
    <w:p>
      <w:pPr>
        <w:spacing w:after="0" w:line="83" w:lineRule="exact"/>
        <w:rPr>
          <w:sz w:val="20"/>
          <w:szCs w:val="20"/>
          <w:color w:val="auto"/>
        </w:rPr>
      </w:pPr>
    </w:p>
    <w:p>
      <w:pPr>
        <w:jc w:val="both"/>
        <w:ind w:firstLine="298"/>
        <w:spacing w:after="0" w:line="250" w:lineRule="auto"/>
        <w:rPr>
          <w:sz w:val="20"/>
          <w:szCs w:val="20"/>
          <w:color w:val="auto"/>
        </w:rPr>
      </w:pPr>
      <w:r>
        <w:rPr>
          <w:rFonts w:ascii="Times New Roman" w:cs="Times New Roman" w:eastAsia="Times New Roman" w:hAnsi="Times New Roman"/>
          <w:sz w:val="17"/>
          <w:szCs w:val="17"/>
          <w:color w:val="auto"/>
        </w:rPr>
        <w:t>The Convertible Note Payable matures earlier of December 31, 2026 or the date on which a change in control occurs as defined in the terms of the Convertible Note. Upon the consummation of the Business Combination, Ares was permitted to choose to convert the total amount outstanding under the Convertible Note to shares of Class A common stock based on a pre-determined conversion formula. Upon completion of the Business Combination in July 2022, Ares elected to convert 50% of the outstanding amount under the Convertible Note to shares of Class A common stock. Therefore the Company issued 3,059,533 shares of Class A common stock and redeemed outstanding debt of $30,595.</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36" w:lineRule="exact"/>
        <w:rPr>
          <w:sz w:val="20"/>
          <w:szCs w:val="20"/>
          <w:color w:val="auto"/>
        </w:rPr>
      </w:pPr>
    </w:p>
    <w:p>
      <w:pPr>
        <w:jc w:val="both"/>
        <w:ind w:firstLine="298"/>
        <w:spacing w:after="0" w:line="250" w:lineRule="auto"/>
        <w:rPr>
          <w:sz w:val="20"/>
          <w:szCs w:val="20"/>
          <w:color w:val="auto"/>
        </w:rPr>
      </w:pPr>
      <w:r>
        <w:rPr>
          <w:rFonts w:ascii="Times New Roman" w:cs="Times New Roman" w:eastAsia="Times New Roman" w:hAnsi="Times New Roman"/>
          <w:sz w:val="17"/>
          <w:szCs w:val="17"/>
          <w:color w:val="auto"/>
        </w:rPr>
        <w:t xml:space="preserve">The Company elected to account for the Convertible Note using the fair value option in accordance with ASC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on May 1, 2021, which was determined to be $55,410. The fair value was subsequently remeasured on each reporting date and the change in fair value recorded as interest expense in the condensed consolidated statement of operations for each reporting period. At September 30, 2022, the Convertible Note was classified as a current liability in the condensed consolidated balance sheet at a fair value of 27,964 as it is redeemable on demand by the Company or Ares. At December 31,2021, the Convertible Note was classified as a non-current liability in the condensed consolidated balance sheet at a fair value of $58,710.</w:t>
      </w:r>
    </w:p>
    <w:p>
      <w:pPr>
        <w:spacing w:after="0" w:line="103" w:lineRule="exact"/>
        <w:rPr>
          <w:sz w:val="20"/>
          <w:szCs w:val="20"/>
          <w:color w:val="auto"/>
        </w:rPr>
      </w:pPr>
    </w:p>
    <w:p>
      <w:pPr>
        <w:jc w:val="both"/>
        <w:ind w:firstLine="298"/>
        <w:spacing w:after="0" w:line="252" w:lineRule="auto"/>
        <w:rPr>
          <w:sz w:val="20"/>
          <w:szCs w:val="20"/>
          <w:color w:val="auto"/>
        </w:rPr>
      </w:pPr>
      <w:r>
        <w:rPr>
          <w:rFonts w:ascii="Times New Roman" w:cs="Times New Roman" w:eastAsia="Times New Roman" w:hAnsi="Times New Roman"/>
          <w:sz w:val="17"/>
          <w:szCs w:val="17"/>
          <w:color w:val="auto"/>
        </w:rPr>
        <w:t>The Company recorded $(2,261) and $(151) as change in fair value of Convertible Note for the three and nine months ended September 30, 2022, respectively as interest and financing expense, net. Upon completion of the Business Combination, the Convertible Note no longer provided for the 10% prepayment penalty. Therefore, the change in fair value for the three months ended September 30, 2022 was ($2,906). The Company recorded $1,362 and $2,250 as payment-in-kind interest expense in the condensed consolidated statement of operations for the three and nine months ended September 30, 2021,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Municipality loan</w:t>
      </w:r>
    </w:p>
    <w:p>
      <w:pPr>
        <w:spacing w:after="0" w:line="132"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FM3, an indirect wholly-owned subsidiary of the Company, entered into a loan agreement for the construction of an interconnection that was initially funded by the municipality. The Company is scheduled to make payments to a municipality in the amount of $1,600 plus interest at a fixed annual rate of 3.00% through April 1, 2023. At September 30, 2022 and December 31, 2021, $121 and $278, respectively, were outstanding on the loan.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OPAL Term Loan II</w:t>
      </w:r>
    </w:p>
    <w:p>
      <w:pPr>
        <w:spacing w:after="0" w:line="132" w:lineRule="exact"/>
        <w:rPr>
          <w:sz w:val="20"/>
          <w:szCs w:val="20"/>
          <w:color w:val="auto"/>
        </w:rPr>
      </w:pPr>
    </w:p>
    <w:p>
      <w:pPr>
        <w:jc w:val="both"/>
        <w:ind w:firstLine="298"/>
        <w:spacing w:after="0" w:line="247" w:lineRule="auto"/>
        <w:rPr>
          <w:sz w:val="20"/>
          <w:szCs w:val="20"/>
          <w:color w:val="auto"/>
        </w:rPr>
      </w:pPr>
      <w:r>
        <w:rPr>
          <w:rFonts w:ascii="Times New Roman" w:cs="Times New Roman" w:eastAsia="Times New Roman" w:hAnsi="Times New Roman"/>
          <w:sz w:val="17"/>
          <w:szCs w:val="17"/>
          <w:color w:val="auto"/>
        </w:rPr>
        <w:t>On August 4, 2022, OPAL Fuels Intermediate Holdco 2 LLC ("OPAL Intermediate Holdco 2"), an indirect wholly-owned subsidiary the Company, entered into a new Senior Secured Credit Facility (the "OPAL Term Loan II") with a syndicate of lenders. The indebtedness is guaranteed by certain of the direct and indirect subsidiaries of OPAL Intermediate Holdco 2. The OPAL Term Loan II provides for an approximately two year delayed term loan facility (the "DDTL Facility") of up to a maximum aggregate principal amount of $100,000 and debt service reserve facility (the "DSR Facility") of up to a maximum aggregate principal amount of $5,000.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$2,200 as financing fees to the lenders and incurred $1,322 as third party fees. The transaction costs have been recorded as Deferred financing costs on the condensed consolidated balance sheet as of September 30, 2022.</w:t>
      </w:r>
    </w:p>
    <w:p>
      <w:pPr>
        <w:spacing w:after="0" w:line="93" w:lineRule="exact"/>
        <w:rPr>
          <w:sz w:val="20"/>
          <w:szCs w:val="20"/>
          <w:color w:val="auto"/>
        </w:rPr>
      </w:pPr>
    </w:p>
    <w:p>
      <w:pPr>
        <w:jc w:val="both"/>
        <w:ind w:firstLine="298"/>
        <w:spacing w:after="0" w:line="249" w:lineRule="auto"/>
        <w:rPr>
          <w:sz w:val="20"/>
          <w:szCs w:val="20"/>
          <w:color w:val="auto"/>
        </w:rPr>
      </w:pPr>
      <w:r>
        <w:rPr>
          <w:rFonts w:ascii="Times New Roman" w:cs="Times New Roman" w:eastAsia="Times New Roman" w:hAnsi="Times New Roman"/>
          <w:sz w:val="17"/>
          <w:szCs w:val="17"/>
          <w:color w:val="auto"/>
        </w:rPr>
        <w:t>The borrowings under the OPAL Term Loan II will bear interest at the benchmark rate of adjusted Term SOFR plus (i) for the period from closing to the earlier of the date of conversion of the construction loan to a term loan (the "Conversion Date")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OPAL Term Loan II matures on August 4, 2027.</w:t>
      </w:r>
    </w:p>
    <w:p>
      <w:pPr>
        <w:spacing w:after="0" w:line="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 September 30, 2022, there was no principal amount outstanding under the OPAL Term Loan II.</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TruStar revolver credit facility</w:t>
      </w:r>
    </w:p>
    <w:p>
      <w:pPr>
        <w:spacing w:after="0" w:line="144" w:lineRule="exact"/>
        <w:rPr>
          <w:sz w:val="20"/>
          <w:szCs w:val="20"/>
          <w:color w:val="auto"/>
        </w:rPr>
      </w:pPr>
    </w:p>
    <w:p>
      <w:pPr>
        <w:jc w:val="both"/>
        <w:ind w:firstLine="298"/>
        <w:spacing w:after="0" w:line="280" w:lineRule="auto"/>
        <w:rPr>
          <w:sz w:val="20"/>
          <w:szCs w:val="20"/>
          <w:color w:val="auto"/>
        </w:rPr>
      </w:pPr>
      <w:r>
        <w:rPr>
          <w:rFonts w:ascii="Times New Roman" w:cs="Times New Roman" w:eastAsia="Times New Roman" w:hAnsi="Times New Roman"/>
          <w:sz w:val="16"/>
          <w:szCs w:val="16"/>
          <w:color w:val="auto"/>
        </w:rPr>
        <w:t>On September 27, 2021, TruStar, an indirect wholly-owned subsidiary of the Company, renewed its existing revolving credit arrangement (the "TruStar revolver credit facility") with JP Morgan Chase Bank, N.A., for an aggregate amount of $10,000. The amounts outstanding under this credit facility had an interest rate of 1.00% plus one month LIBOR. In the fourth quarter of 2021, the outstanding balance under this credit facility was fully repaid and the revolving credit facility was cancelled.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ectPr>
          <w:pgSz w:w="11900" w:h="16838" w:orient="portrait"/>
          <w:cols w:equalWidth="0" w:num="1">
            <w:col w:w="11240"/>
          </w:cols>
          <w:pgMar w:left="320" w:top="1440" w:right="339" w:bottom="1440" w:gutter="0" w:footer="0" w:header="0"/>
        </w:sectPr>
      </w:pPr>
    </w:p>
    <w:bookmarkStart w:id="34" w:name="page35"/>
    <w:bookmarkEnd w:id="34"/>
    <w:p>
      <w:pPr>
        <w:spacing w:after="0" w:line="22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i w:val="1"/>
          <w:iCs w:val="1"/>
          <w:color w:val="auto"/>
        </w:rPr>
        <w:t>2022</w:t>
      </w:r>
    </w:p>
    <w:p>
      <w:pPr>
        <w:spacing w:after="0" w:line="142" w:lineRule="exact"/>
        <w:rPr>
          <w:sz w:val="20"/>
          <w:szCs w:val="20"/>
          <w:color w:val="auto"/>
        </w:rPr>
      </w:pPr>
    </w:p>
    <w:p>
      <w:pPr>
        <w:ind w:left="1" w:firstLine="298"/>
        <w:spacing w:after="0" w:line="268" w:lineRule="auto"/>
        <w:rPr>
          <w:sz w:val="20"/>
          <w:szCs w:val="20"/>
          <w:color w:val="auto"/>
        </w:rPr>
      </w:pPr>
      <w:r>
        <w:rPr>
          <w:rFonts w:ascii="Times New Roman" w:cs="Times New Roman" w:eastAsia="Times New Roman" w:hAnsi="Times New Roman"/>
          <w:sz w:val="17"/>
          <w:szCs w:val="17"/>
          <w:color w:val="auto"/>
        </w:rPr>
        <w:t>For the three and nine months ended September 30, 2022, the weighted average effective interest rate including amortization of debt issuance costs on Senior Secured Credit Facility was 6.8% and 5.40% including a margin plus LIBOR.</w:t>
      </w:r>
    </w:p>
    <w:p>
      <w:pPr>
        <w:spacing w:after="0" w:line="85" w:lineRule="exact"/>
        <w:rPr>
          <w:sz w:val="20"/>
          <w:szCs w:val="20"/>
          <w:color w:val="auto"/>
        </w:rPr>
      </w:pPr>
    </w:p>
    <w:p>
      <w:pPr>
        <w:ind w:left="1" w:firstLine="298"/>
        <w:spacing w:after="0" w:line="268" w:lineRule="auto"/>
        <w:rPr>
          <w:sz w:val="20"/>
          <w:szCs w:val="20"/>
          <w:color w:val="auto"/>
        </w:rPr>
      </w:pPr>
      <w:r>
        <w:rPr>
          <w:rFonts w:ascii="Times New Roman" w:cs="Times New Roman" w:eastAsia="Times New Roman" w:hAnsi="Times New Roman"/>
          <w:sz w:val="17"/>
          <w:szCs w:val="17"/>
          <w:color w:val="auto"/>
        </w:rPr>
        <w:t>For the three and nine months ended September 30, 2022, the weighted average effective interest rate including amortization of debt issuance costs on OPAL Term Loan was 6.4% and 5.20%.</w:t>
      </w:r>
    </w:p>
    <w:p>
      <w:pPr>
        <w:spacing w:after="0" w:line="98" w:lineRule="exact"/>
        <w:rPr>
          <w:sz w:val="20"/>
          <w:szCs w:val="20"/>
          <w:color w:val="auto"/>
        </w:rPr>
      </w:pPr>
    </w:p>
    <w:p>
      <w:pPr>
        <w:ind w:left="301"/>
        <w:spacing w:after="0"/>
        <w:rPr>
          <w:sz w:val="20"/>
          <w:szCs w:val="20"/>
          <w:color w:val="auto"/>
        </w:rPr>
      </w:pPr>
      <w:r>
        <w:rPr>
          <w:rFonts w:ascii="Times New Roman" w:cs="Times New Roman" w:eastAsia="Times New Roman" w:hAnsi="Times New Roman"/>
          <w:sz w:val="17"/>
          <w:szCs w:val="17"/>
          <w:color w:val="auto"/>
        </w:rPr>
        <w:t>For the three and nine months ended September 30, 2022, the interest rate on Sunoma Loan was 7.81% and 9.00%.</w:t>
      </w:r>
    </w:p>
    <w:p>
      <w:pPr>
        <w:spacing w:after="0" w:line="140" w:lineRule="exact"/>
        <w:rPr>
          <w:sz w:val="20"/>
          <w:szCs w:val="20"/>
          <w:color w:val="auto"/>
        </w:rPr>
      </w:pPr>
    </w:p>
    <w:p>
      <w:pPr>
        <w:ind w:left="301"/>
        <w:spacing w:after="0"/>
        <w:rPr>
          <w:sz w:val="20"/>
          <w:szCs w:val="20"/>
          <w:color w:val="auto"/>
        </w:rPr>
      </w:pPr>
      <w:r>
        <w:rPr>
          <w:rFonts w:ascii="Times New Roman" w:cs="Times New Roman" w:eastAsia="Times New Roman" w:hAnsi="Times New Roman"/>
          <w:sz w:val="17"/>
          <w:szCs w:val="17"/>
          <w:color w:val="auto"/>
        </w:rPr>
        <w:t>For the three and nine months ended September 30, 2022, the payment-in-kind interest rate on Convertible Note Payable was 8.00%.</w:t>
      </w:r>
    </w:p>
    <w:p>
      <w:pPr>
        <w:spacing w:after="0" w:line="128" w:lineRule="exact"/>
        <w:rPr>
          <w:sz w:val="20"/>
          <w:szCs w:val="20"/>
          <w:color w:val="auto"/>
        </w:rPr>
      </w:pPr>
    </w:p>
    <w:p>
      <w:pPr>
        <w:ind w:left="301"/>
        <w:spacing w:after="0"/>
        <w:rPr>
          <w:sz w:val="20"/>
          <w:szCs w:val="20"/>
          <w:color w:val="auto"/>
        </w:rPr>
      </w:pPr>
      <w:r>
        <w:rPr>
          <w:rFonts w:ascii="Times New Roman" w:cs="Times New Roman" w:eastAsia="Times New Roman" w:hAnsi="Times New Roman"/>
          <w:sz w:val="17"/>
          <w:szCs w:val="17"/>
          <w:color w:val="auto"/>
        </w:rPr>
        <w:t>For the three and nine months ended September 30, 2022, the weighted average interest rate on Municipality loan was 3.00%.</w:t>
      </w:r>
    </w:p>
    <w:p>
      <w:pPr>
        <w:spacing w:after="0" w:line="20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i w:val="1"/>
          <w:iCs w:val="1"/>
          <w:color w:val="auto"/>
        </w:rPr>
        <w:t>2021</w:t>
      </w:r>
    </w:p>
    <w:p>
      <w:pPr>
        <w:spacing w:after="0" w:line="200" w:lineRule="exact"/>
        <w:rPr>
          <w:sz w:val="20"/>
          <w:szCs w:val="20"/>
          <w:color w:val="auto"/>
        </w:rPr>
      </w:pPr>
    </w:p>
    <w:p>
      <w:pPr>
        <w:spacing w:after="0" w:line="216" w:lineRule="exact"/>
        <w:rPr>
          <w:sz w:val="20"/>
          <w:szCs w:val="20"/>
          <w:color w:val="auto"/>
        </w:rPr>
      </w:pPr>
    </w:p>
    <w:p>
      <w:pPr>
        <w:ind w:left="1" w:firstLine="298"/>
        <w:spacing w:after="0" w:line="239" w:lineRule="auto"/>
        <w:rPr>
          <w:sz w:val="20"/>
          <w:szCs w:val="20"/>
          <w:color w:val="auto"/>
        </w:rPr>
      </w:pPr>
      <w:r>
        <w:rPr>
          <w:rFonts w:ascii="Times New Roman" w:cs="Times New Roman" w:eastAsia="Times New Roman" w:hAnsi="Times New Roman"/>
          <w:sz w:val="17"/>
          <w:szCs w:val="17"/>
          <w:color w:val="auto"/>
        </w:rPr>
        <w:t>For the three and nine months ended September 30, 2021, the interest rate on Senior Secured Credit Facility ranged between 3.14% and 3.26% including a margin plus LIBOR and commitment fees of 0.75% on unused portion of the Working capital facility.</w:t>
      </w:r>
    </w:p>
    <w:p>
      <w:pPr>
        <w:spacing w:after="0" w:line="182" w:lineRule="exact"/>
        <w:rPr>
          <w:sz w:val="20"/>
          <w:szCs w:val="20"/>
          <w:color w:val="auto"/>
        </w:rPr>
      </w:pPr>
    </w:p>
    <w:p>
      <w:pPr>
        <w:ind w:left="301"/>
        <w:spacing w:after="0"/>
        <w:rPr>
          <w:sz w:val="20"/>
          <w:szCs w:val="20"/>
          <w:color w:val="auto"/>
        </w:rPr>
      </w:pPr>
      <w:r>
        <w:rPr>
          <w:rFonts w:ascii="Times New Roman" w:cs="Times New Roman" w:eastAsia="Times New Roman" w:hAnsi="Times New Roman"/>
          <w:sz w:val="17"/>
          <w:szCs w:val="17"/>
          <w:color w:val="auto"/>
        </w:rPr>
        <w:t>For the nine months ended September 30, 2021, the interest rate on TruStar revolver credit facility was 1.52%.</w:t>
      </w:r>
    </w:p>
    <w:p>
      <w:pPr>
        <w:spacing w:after="0" w:line="202" w:lineRule="exact"/>
        <w:rPr>
          <w:sz w:val="20"/>
          <w:szCs w:val="20"/>
          <w:color w:val="auto"/>
        </w:rPr>
      </w:pPr>
    </w:p>
    <w:p>
      <w:pPr>
        <w:ind w:left="1" w:firstLine="298"/>
        <w:spacing w:after="0" w:line="239" w:lineRule="auto"/>
        <w:rPr>
          <w:sz w:val="20"/>
          <w:szCs w:val="20"/>
          <w:color w:val="auto"/>
        </w:rPr>
      </w:pPr>
      <w:r>
        <w:rPr>
          <w:rFonts w:ascii="Times New Roman" w:cs="Times New Roman" w:eastAsia="Times New Roman" w:hAnsi="Times New Roman"/>
          <w:sz w:val="17"/>
          <w:szCs w:val="17"/>
          <w:color w:val="auto"/>
        </w:rPr>
        <w:t>For the three and nine months ended September 30, 2021, the payment-in-kind interest rate on Convertible Note Payable was 8.0%. The change in fair value of the Note recorded as interest expense between May 1, 2021 and September 30, 2021 was $2,250.</w:t>
      </w:r>
    </w:p>
    <w:p>
      <w:pPr>
        <w:spacing w:after="0" w:line="182" w:lineRule="exact"/>
        <w:rPr>
          <w:sz w:val="20"/>
          <w:szCs w:val="20"/>
          <w:color w:val="auto"/>
        </w:rPr>
      </w:pPr>
    </w:p>
    <w:p>
      <w:pPr>
        <w:ind w:left="301"/>
        <w:spacing w:after="0"/>
        <w:rPr>
          <w:sz w:val="20"/>
          <w:szCs w:val="20"/>
          <w:color w:val="auto"/>
        </w:rPr>
      </w:pPr>
      <w:r>
        <w:rPr>
          <w:rFonts w:ascii="Times New Roman" w:cs="Times New Roman" w:eastAsia="Times New Roman" w:hAnsi="Times New Roman"/>
          <w:sz w:val="17"/>
          <w:szCs w:val="17"/>
          <w:color w:val="auto"/>
        </w:rPr>
        <w:t>For the three and nine months ended September 30, 2021, the weighted average interest rate on Municipality loan was 3.0%.</w:t>
      </w:r>
    </w:p>
    <w:p>
      <w:pPr>
        <w:spacing w:after="0" w:line="128" w:lineRule="exact"/>
        <w:rPr>
          <w:sz w:val="20"/>
          <w:szCs w:val="20"/>
          <w:color w:val="auto"/>
        </w:rPr>
      </w:pPr>
    </w:p>
    <w:p>
      <w:pPr>
        <w:ind w:left="301"/>
        <w:spacing w:after="0"/>
        <w:rPr>
          <w:sz w:val="20"/>
          <w:szCs w:val="20"/>
          <w:color w:val="auto"/>
        </w:rPr>
      </w:pPr>
      <w:r>
        <w:rPr>
          <w:rFonts w:ascii="Times New Roman" w:cs="Times New Roman" w:eastAsia="Times New Roman" w:hAnsi="Times New Roman"/>
          <w:sz w:val="17"/>
          <w:szCs w:val="17"/>
          <w:color w:val="auto"/>
        </w:rPr>
        <w:t>The following table summarizes the Company's total interest expense for the three and nine months ended September 30, 2022 and 2021:</w:t>
      </w:r>
    </w:p>
    <w:p>
      <w:pPr>
        <w:spacing w:after="0" w:line="206" w:lineRule="exact"/>
        <w:rPr>
          <w:sz w:val="20"/>
          <w:szCs w:val="20"/>
          <w:color w:val="auto"/>
        </w:rPr>
      </w:pPr>
    </w:p>
    <w:tbl>
      <w:tblPr>
        <w:tblLayout w:type="fixed"/>
        <w:tblInd w:w="1" w:type="dxa"/>
        <w:tblCellMar>
          <w:top w:w="0" w:type="dxa"/>
          <w:left w:w="0" w:type="dxa"/>
          <w:bottom w:w="0" w:type="dxa"/>
          <w:right w:w="0" w:type="dxa"/>
        </w:tblCellMar>
      </w:tblPr>
      <w:tr>
        <w:trPr>
          <w:trHeight w:val="203"/>
        </w:trPr>
        <w:tc>
          <w:tcPr>
            <w:tcW w:w="4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8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Three Months Ended September</w:t>
            </w:r>
          </w:p>
        </w:tc>
        <w:tc>
          <w:tcPr>
            <w:tcW w:w="280" w:type="dxa"/>
            <w:vAlign w:val="bottom"/>
            <w:shd w:val="clear" w:color="auto" w:fill="CCEEFF"/>
          </w:tcPr>
          <w:p>
            <w:pPr>
              <w:spacing w:after="0"/>
              <w:rPr>
                <w:sz w:val="17"/>
                <w:szCs w:val="17"/>
                <w:color w:val="auto"/>
              </w:rPr>
            </w:pPr>
          </w:p>
        </w:tc>
        <w:tc>
          <w:tcPr>
            <w:tcW w:w="2300" w:type="dxa"/>
            <w:vAlign w:val="bottom"/>
            <w:gridSpan w:val="4"/>
            <w:shd w:val="clear" w:color="auto" w:fill="CCEEFF"/>
          </w:tcPr>
          <w:p>
            <w:pPr>
              <w:jc w:val="right"/>
              <w:ind w:right="497"/>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44"/>
        </w:trPr>
        <w:tc>
          <w:tcPr>
            <w:tcW w:w="4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30,</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780" w:type="dxa"/>
            <w:vAlign w:val="bottom"/>
            <w:tcBorders>
              <w:bottom w:val="single" w:sz="8" w:color="CCEEFF"/>
            </w:tcBorders>
            <w:shd w:val="clear" w:color="auto" w:fill="CCEEFF"/>
          </w:tcPr>
          <w:p>
            <w:pPr>
              <w:spacing w:after="0"/>
              <w:rPr>
                <w:sz w:val="21"/>
                <w:szCs w:val="21"/>
                <w:color w:val="auto"/>
              </w:rPr>
            </w:pPr>
          </w:p>
        </w:tc>
      </w:tr>
      <w:tr>
        <w:trPr>
          <w:trHeight w:val="223"/>
        </w:trPr>
        <w:tc>
          <w:tcPr>
            <w:tcW w:w="4720" w:type="dxa"/>
            <w:vAlign w:val="bottom"/>
            <w:tcBorders>
              <w:bottom w:val="single" w:sz="8" w:color="CCEEFF"/>
            </w:tcBorders>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w w:val="93"/>
              </w:rPr>
              <w:t>2021</w:t>
            </w:r>
          </w:p>
        </w:tc>
      </w:tr>
      <w:tr>
        <w:trPr>
          <w:trHeight w:val="23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Secured Credit Facility</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w:t>
            </w:r>
          </w:p>
        </w:tc>
      </w:tr>
      <w:tr>
        <w:trPr>
          <w:trHeight w:val="236"/>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Municipality loan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TruStar revolver credit facility</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r>
      <w:tr>
        <w:trPr>
          <w:trHeight w:val="236"/>
        </w:trPr>
        <w:tc>
          <w:tcPr>
            <w:tcW w:w="4720" w:type="dxa"/>
            <w:vAlign w:val="bottom"/>
          </w:tcPr>
          <w:p>
            <w:pPr>
              <w:ind w:left="20"/>
              <w:spacing w:after="0" w:line="236" w:lineRule="exact"/>
              <w:rPr>
                <w:sz w:val="20"/>
                <w:szCs w:val="20"/>
                <w:color w:val="auto"/>
              </w:rPr>
            </w:pPr>
            <w:r>
              <w:rPr>
                <w:rFonts w:ascii="Times New Roman" w:cs="Times New Roman" w:eastAsia="Times New Roman" w:hAnsi="Times New Roman"/>
                <w:sz w:val="17"/>
                <w:szCs w:val="17"/>
                <w:color w:val="auto"/>
              </w:rPr>
              <w:t xml:space="preserve">Convertible Note Payable mark-to-market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w:t>
            </w:r>
          </w:p>
        </w:tc>
      </w:tr>
      <w:tr>
        <w:trPr>
          <w:trHeight w:val="236"/>
        </w:trPr>
        <w:tc>
          <w:tcPr>
            <w:tcW w:w="472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7"/>
                <w:szCs w:val="17"/>
                <w:color w:val="auto"/>
              </w:rPr>
              <w:t>Sunoma Loan</w:t>
            </w:r>
            <w:r>
              <w:rPr>
                <w:rFonts w:ascii="Times New Roman" w:cs="Times New Roman" w:eastAsia="Times New Roman" w:hAnsi="Times New Roman"/>
                <w:sz w:val="21"/>
                <w:szCs w:val="21"/>
                <w:color w:val="auto"/>
                <w:vertAlign w:val="superscript"/>
              </w:rPr>
              <w:t>(2)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OPAL Term Loan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 fees and other finance fees</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36"/>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deferred financing cost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w:t>
            </w:r>
          </w:p>
        </w:tc>
      </w:tr>
      <w:tr>
        <w:trPr>
          <w:trHeight w:val="23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 on loan receivable</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interest expense</w:t>
            </w:r>
          </w:p>
        </w:tc>
        <w:tc>
          <w:tcPr>
            <w:tcW w:w="36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2,354</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7,184</w:t>
            </w:r>
          </w:p>
        </w:tc>
        <w:tc>
          <w:tcPr>
            <w:tcW w:w="120" w:type="dxa"/>
            <w:vAlign w:val="bottom"/>
          </w:tcPr>
          <w:p>
            <w:pPr>
              <w:spacing w:after="0"/>
              <w:rPr>
                <w:sz w:val="19"/>
                <w:szCs w:val="19"/>
                <w:color w:val="auto"/>
              </w:rPr>
            </w:pPr>
          </w:p>
        </w:tc>
        <w:tc>
          <w:tcPr>
            <w:tcW w:w="42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5,659</w:t>
            </w: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left="1" w:hanging="1"/>
        <w:spacing w:after="0"/>
        <w:tabs>
          <w:tab w:leader="none" w:pos="196"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mark-to-market on the Convertible Note Payable is negative for the three and nine months ended September 30, 2022 as the prepayment penalty is no longer applicable upon completion of the Business Combination. The change in fair value of the Convertible Note Payable recorded for the three months ended September 30, 2022 was $2,906.</w:t>
      </w:r>
    </w:p>
    <w:p>
      <w:pPr>
        <w:spacing w:after="0" w:line="299" w:lineRule="exact"/>
        <w:rPr>
          <w:rFonts w:ascii="Times New Roman" w:cs="Times New Roman" w:eastAsia="Times New Roman" w:hAnsi="Times New Roman"/>
          <w:sz w:val="25"/>
          <w:szCs w:val="25"/>
          <w:color w:val="auto"/>
          <w:vertAlign w:val="superscript"/>
        </w:rPr>
      </w:pPr>
    </w:p>
    <w:p>
      <w:pPr>
        <w:ind w:left="1" w:hanging="1"/>
        <w:spacing w:after="0"/>
        <w:tabs>
          <w:tab w:leader="none" w:pos="165"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interest on Sunoma Loan was capitalized during the construction phase of the RNG facility. Sunoma became operational in December 2021. Therefore, the interest for the three and nine months ended September 30, 2022 has been expensed.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ectPr>
          <w:pgSz w:w="11900" w:h="16838" w:orient="portrait"/>
          <w:cols w:equalWidth="0" w:num="1">
            <w:col w:w="11241"/>
          </w:cols>
          <w:pgMar w:left="319" w:top="1440" w:right="339" w:bottom="1440" w:gutter="0" w:footer="0" w:header="0"/>
        </w:sectPr>
      </w:pPr>
    </w:p>
    <w:bookmarkStart w:id="35" w:name="page36"/>
    <w:bookmarkEnd w:id="35"/>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Leases</w:t>
      </w:r>
    </w:p>
    <w:p>
      <w:pPr>
        <w:spacing w:after="0" w:line="13" w:lineRule="exact"/>
        <w:rPr>
          <w:sz w:val="20"/>
          <w:szCs w:val="20"/>
          <w:color w:val="auto"/>
        </w:rPr>
      </w:pPr>
    </w:p>
    <w:p>
      <w:pPr>
        <w:jc w:val="both"/>
        <w:ind w:firstLine="298"/>
        <w:spacing w:after="0" w:line="232" w:lineRule="auto"/>
        <w:rPr>
          <w:sz w:val="20"/>
          <w:szCs w:val="20"/>
          <w:color w:val="auto"/>
        </w:rPr>
      </w:pPr>
      <w:r>
        <w:rPr>
          <w:rFonts w:ascii="Times New Roman" w:cs="Times New Roman" w:eastAsia="Times New Roman" w:hAnsi="Times New Roman"/>
          <w:sz w:val="17"/>
          <w:szCs w:val="17"/>
          <w:color w:val="auto"/>
        </w:rPr>
        <w:t>During 2018, the Company renewed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In addition, the Company maintains a fleet of vehicles under lease with terms ranging from 48 to 60 months and with lease expiration dates ranging from April 2021 to June 2026.</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Future minimum lease payments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ending December 31, 2022</w:t>
            </w:r>
          </w:p>
        </w:tc>
        <w:tc>
          <w:tcPr>
            <w:tcW w:w="58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w:t>
            </w:r>
          </w:p>
        </w:tc>
      </w:tr>
      <w:tr>
        <w:trPr>
          <w:trHeight w:val="193"/>
        </w:trPr>
        <w:tc>
          <w:tcPr>
            <w:tcW w:w="9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Fiscal year:</w:t>
            </w: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1"/>
        </w:trPr>
        <w:tc>
          <w:tcPr>
            <w:tcW w:w="9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987</w:t>
            </w:r>
          </w:p>
        </w:tc>
      </w:tr>
      <w:tr>
        <w:trPr>
          <w:trHeight w:val="193"/>
        </w:trPr>
        <w:tc>
          <w:tcPr>
            <w:tcW w:w="9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937</w:t>
            </w:r>
          </w:p>
        </w:tc>
      </w:tr>
      <w:tr>
        <w:trPr>
          <w:trHeight w:val="31"/>
        </w:trPr>
        <w:tc>
          <w:tcPr>
            <w:tcW w:w="9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852</w:t>
            </w:r>
          </w:p>
        </w:tc>
      </w:tr>
      <w:tr>
        <w:trPr>
          <w:trHeight w:val="193"/>
        </w:trPr>
        <w:tc>
          <w:tcPr>
            <w:tcW w:w="9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w:t>
            </w:r>
          </w:p>
        </w:tc>
      </w:tr>
      <w:tr>
        <w:trPr>
          <w:trHeight w:val="31"/>
        </w:trPr>
        <w:tc>
          <w:tcPr>
            <w:tcW w:w="97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1"/>
        </w:trPr>
        <w:tc>
          <w:tcPr>
            <w:tcW w:w="97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The Company incurred rent expense of $359 and $1,050 for the three and nine months ended September 30, 2022, respectively. The Company incurred rent expense of $201 and $604 for the three and nine months ended September 30, 2021,respectively.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Derivative Financial Instruments and Fair Value Measurements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swaps</w:t>
      </w:r>
    </w:p>
    <w:p>
      <w:pPr>
        <w:spacing w:after="0" w:line="107" w:lineRule="exact"/>
        <w:rPr>
          <w:sz w:val="20"/>
          <w:szCs w:val="20"/>
          <w:color w:val="auto"/>
        </w:rPr>
      </w:pPr>
    </w:p>
    <w:p>
      <w:pPr>
        <w:jc w:val="both"/>
        <w:ind w:firstLine="298"/>
        <w:spacing w:after="0" w:line="273" w:lineRule="auto"/>
        <w:rPr>
          <w:sz w:val="20"/>
          <w:szCs w:val="20"/>
          <w:color w:val="auto"/>
        </w:rPr>
      </w:pPr>
      <w:r>
        <w:rPr>
          <w:rFonts w:ascii="Times New Roman" w:cs="Times New Roman" w:eastAsia="Times New Roman" w:hAnsi="Times New Roman"/>
          <w:sz w:val="16"/>
          <w:szCs w:val="16"/>
          <w:color w:val="auto"/>
        </w:rPr>
        <w:t>In connection with our entry into the Senior Secured Credit Facility, the Company entered into certain interest rate swap agreements. These transactions involved the exchange of fixed and floating rate interest payment obligations without the exchange of the underlying principal amounts. The average annual fixed rate ranged from 2.38% in 2020 to 2.50% in 2022. The Company has accounted for these instruments as economic hedges and has included changes in their fair market value in the condensed consolidated statements of operations. The swaps expired in September 2022 as the facility is scheduled to be repaid in December 2022.</w:t>
      </w:r>
    </w:p>
    <w:p>
      <w:pPr>
        <w:spacing w:after="0" w:line="58" w:lineRule="exact"/>
        <w:rPr>
          <w:sz w:val="20"/>
          <w:szCs w:val="20"/>
          <w:color w:val="auto"/>
        </w:rPr>
      </w:pPr>
    </w:p>
    <w:p>
      <w:pPr>
        <w:jc w:val="both"/>
        <w:ind w:firstLine="298"/>
        <w:spacing w:after="0" w:line="252" w:lineRule="auto"/>
        <w:rPr>
          <w:sz w:val="20"/>
          <w:szCs w:val="20"/>
          <w:color w:val="auto"/>
        </w:rPr>
      </w:pPr>
      <w:r>
        <w:rPr>
          <w:rFonts w:ascii="Times New Roman" w:cs="Times New Roman" w:eastAsia="Times New Roman" w:hAnsi="Times New Roman"/>
          <w:sz w:val="17"/>
          <w:szCs w:val="17"/>
          <w:color w:val="auto"/>
        </w:rPr>
        <w:t>During August 2022, the Company entered into two interest rate swaps for the notional amount of $61,926 of OPAL Term Loan II at a fixed interest rate of 2.47% to hedge the SOFR-based floating interest rate. On August 16, 2022, the Company entered into a swaption for a notional amount of $13,074 with fixed rate of 2.32% with a maturity date of December 30, 2022. The Company accounted for the swaption as an economic hedge and included the change in the fair market value in the condensed consolidated statement of operations.</w:t>
      </w:r>
    </w:p>
    <w:p>
      <w:pPr>
        <w:spacing w:after="0" w:line="74" w:lineRule="exact"/>
        <w:rPr>
          <w:sz w:val="20"/>
          <w:szCs w:val="20"/>
          <w:color w:val="auto"/>
        </w:rPr>
      </w:pPr>
    </w:p>
    <w:p>
      <w:pPr>
        <w:jc w:val="both"/>
        <w:ind w:firstLine="298"/>
        <w:spacing w:after="0" w:line="248" w:lineRule="auto"/>
        <w:rPr>
          <w:sz w:val="20"/>
          <w:szCs w:val="20"/>
          <w:color w:val="auto"/>
        </w:rPr>
      </w:pPr>
      <w:r>
        <w:rPr>
          <w:rFonts w:ascii="Times New Roman" w:cs="Times New Roman" w:eastAsia="Times New Roman" w:hAnsi="Times New Roman"/>
          <w:sz w:val="17"/>
          <w:szCs w:val="17"/>
          <w:color w:val="auto"/>
        </w:rPr>
        <w:t>The two interest rate swaps were designated and qualified as cash flow hedges. The Company uses interest rate swaps for the management of interest rate risk exposure, as an interest rate swap effectively converts a portion of the Company’s debt from a floating to a fixed rate. The interest rate swap is an agreement between the Company and counterparties to pay, in the future, a fixed-rate payment in exchange for the counterparties paying the Company a variable payment. The amount of the net payment obligation is based on the notional amount of the interest rate swap and the prevailing market interest rates. The Company may terminate the interest rate swaps prior to their expiration dates, at which point a realized gain or loss may be recognized, or may be amortized over the original life of the interest rate swap if the hedged debt remains outstanding. The value of the Company’s commitment would increase or decrease based primarily on the extent to which interest rates move against the rate fixed for each swap.</w:t>
      </w:r>
    </w:p>
    <w:p>
      <w:pPr>
        <w:spacing w:after="0" w:line="78"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The Company records the fair value of the interest rate swap as an asset or liability on its balance sheet. The effective portion of the swap is recorded in Accumulated other comprehensive income. No portion of the cash flow hedges were ineffective during the three and nine months ended September 30, 2022.</w:t>
      </w:r>
    </w:p>
    <w:p>
      <w:pPr>
        <w:spacing w:after="0" w:line="3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summarizes the interest rate swaps in place as of September 30, 2022 and December 31, 2021:</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224"/>
        </w:trPr>
        <w:tc>
          <w:tcPr>
            <w:tcW w:w="1780" w:type="dxa"/>
            <w:vAlign w:val="bottom"/>
            <w:tcBorders>
              <w:top w:val="single" w:sz="8" w:color="auto"/>
              <w:bottom w:val="single" w:sz="8" w:color="auto"/>
            </w:tcBorders>
            <w:shd w:val="clear" w:color="auto" w:fill="CCEEFF"/>
          </w:tcPr>
          <w:p>
            <w:pPr>
              <w:spacing w:after="0"/>
              <w:rPr>
                <w:sz w:val="19"/>
                <w:szCs w:val="19"/>
                <w:color w:val="auto"/>
              </w:rPr>
            </w:pPr>
          </w:p>
        </w:tc>
        <w:tc>
          <w:tcPr>
            <w:tcW w:w="320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b w:val="1"/>
                <w:bCs w:val="1"/>
                <w:color w:val="auto"/>
              </w:rPr>
              <w:t>Interest rate swap detail</w:t>
            </w:r>
          </w:p>
        </w:tc>
        <w:tc>
          <w:tcPr>
            <w:tcW w:w="15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040" w:type="dxa"/>
            <w:vAlign w:val="bottom"/>
            <w:tcBorders>
              <w:top w:val="single" w:sz="8" w:color="auto"/>
              <w:bottom w:val="single" w:sz="8" w:color="auto"/>
            </w:tcBorders>
            <w:gridSpan w:val="4"/>
            <w:shd w:val="clear" w:color="auto" w:fill="CCEEFF"/>
          </w:tcPr>
          <w:p>
            <w:pPr>
              <w:ind w:left="1300"/>
              <w:spacing w:after="0"/>
              <w:rPr>
                <w:sz w:val="20"/>
                <w:szCs w:val="20"/>
                <w:color w:val="auto"/>
              </w:rPr>
            </w:pPr>
            <w:r>
              <w:rPr>
                <w:rFonts w:ascii="Times New Roman" w:cs="Times New Roman" w:eastAsia="Times New Roman" w:hAnsi="Times New Roman"/>
                <w:sz w:val="17"/>
                <w:szCs w:val="17"/>
                <w:b w:val="1"/>
                <w:bCs w:val="1"/>
                <w:color w:val="auto"/>
              </w:rPr>
              <w:t>Notional Amount</w:t>
            </w:r>
          </w:p>
        </w:tc>
      </w:tr>
      <w:tr>
        <w:trPr>
          <w:trHeight w:val="204"/>
        </w:trPr>
        <w:tc>
          <w:tcPr>
            <w:tcW w:w="178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rPr>
              <w:t>Trade date</w:t>
            </w:r>
          </w:p>
        </w:tc>
        <w:tc>
          <w:tcPr>
            <w:tcW w:w="1660" w:type="dxa"/>
            <w:vAlign w:val="bottom"/>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Fixed rate</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Start date</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End date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260" w:type="dxa"/>
            <w:vAlign w:val="bottom"/>
          </w:tcPr>
          <w:p>
            <w:pPr>
              <w:spacing w:after="0"/>
              <w:rPr>
                <w:sz w:val="17"/>
                <w:szCs w:val="17"/>
                <w:color w:val="auto"/>
              </w:rPr>
            </w:pPr>
          </w:p>
        </w:tc>
        <w:tc>
          <w:tcPr>
            <w:tcW w:w="188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29"/>
        </w:trPr>
        <w:tc>
          <w:tcPr>
            <w:tcW w:w="178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r>
      <w:tr>
        <w:trPr>
          <w:trHeight w:val="211"/>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15, 2022</w:t>
            </w:r>
          </w:p>
        </w:tc>
        <w:tc>
          <w:tcPr>
            <w:tcW w:w="16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2.47 %</w:t>
            </w:r>
          </w:p>
        </w:tc>
        <w:tc>
          <w:tcPr>
            <w:tcW w:w="1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June 28, 2024</w:t>
            </w:r>
          </w:p>
        </w:tc>
        <w:tc>
          <w:tcPr>
            <w:tcW w:w="15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August 4, 2027</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41,284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August 15, 2022</w:t>
            </w:r>
          </w:p>
        </w:tc>
        <w:tc>
          <w:tcPr>
            <w:tcW w:w="16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2.47 %</w:t>
            </w:r>
          </w:p>
        </w:tc>
        <w:tc>
          <w:tcPr>
            <w:tcW w:w="1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June 28, 2024</w:t>
            </w:r>
          </w:p>
        </w:tc>
        <w:tc>
          <w:tcPr>
            <w:tcW w:w="1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August 4, 2027</w:t>
            </w:r>
          </w:p>
        </w:tc>
        <w:tc>
          <w:tcPr>
            <w:tcW w:w="2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20,642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1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7"/>
                <w:szCs w:val="17"/>
                <w:color w:val="auto"/>
              </w:rPr>
              <w:t>61,926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location and amounts of derivatives fair values in the condensed consolidated balance sheets are:</w:t>
      </w:r>
    </w:p>
    <w:p>
      <w:pPr>
        <w:spacing w:after="0" w:line="149" w:lineRule="exact"/>
        <w:rPr>
          <w:sz w:val="20"/>
          <w:szCs w:val="20"/>
          <w:color w:val="auto"/>
        </w:rPr>
      </w:pPr>
    </w:p>
    <w:tbl>
      <w:tblPr>
        <w:tblLayout w:type="fixed"/>
        <w:tblInd w:w="300" w:type="dxa"/>
        <w:tblCellMar>
          <w:top w:w="0" w:type="dxa"/>
          <w:left w:w="0" w:type="dxa"/>
          <w:bottom w:w="0" w:type="dxa"/>
          <w:right w:w="0" w:type="dxa"/>
        </w:tblCellMar>
      </w:tblPr>
      <w:tr>
        <w:trPr>
          <w:trHeight w:val="219"/>
        </w:trPr>
        <w:tc>
          <w:tcPr>
            <w:tcW w:w="4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0" w:type="dxa"/>
            <w:vAlign w:val="bottom"/>
          </w:tcPr>
          <w:p>
            <w:pPr>
              <w:spacing w:after="0"/>
              <w:rPr>
                <w:sz w:val="19"/>
                <w:szCs w:val="19"/>
                <w:color w:val="auto"/>
              </w:rPr>
            </w:pPr>
          </w:p>
        </w:tc>
        <w:tc>
          <w:tcPr>
            <w:tcW w:w="1320" w:type="dxa"/>
            <w:vAlign w:val="bottom"/>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19"/>
                <w:szCs w:val="19"/>
                <w:color w:val="auto"/>
              </w:rPr>
            </w:pPr>
          </w:p>
        </w:tc>
        <w:tc>
          <w:tcPr>
            <w:tcW w:w="32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w w:val="95"/>
              </w:rPr>
              <w:t>Location of Fair Value Recognized in Balanc</w:t>
            </w:r>
          </w:p>
        </w:tc>
      </w:tr>
      <w:tr>
        <w:trPr>
          <w:trHeight w:val="222"/>
        </w:trPr>
        <w:tc>
          <w:tcPr>
            <w:tcW w:w="4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4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7"/>
                <w:szCs w:val="17"/>
                <w:b w:val="1"/>
                <w:bCs w:val="1"/>
                <w:color w:val="auto"/>
              </w:rPr>
              <w:t>Sheet</w:t>
            </w:r>
          </w:p>
        </w:tc>
      </w:tr>
      <w:tr>
        <w:trPr>
          <w:trHeight w:val="21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designated as economic hedges:</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portion of swaption</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financial assets, current portion</w:t>
            </w:r>
          </w:p>
        </w:tc>
      </w:tr>
      <w:tr>
        <w:trPr>
          <w:trHeight w:val="24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 of interest swaps</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100" w:type="dxa"/>
            <w:vAlign w:val="bottom"/>
            <w:shd w:val="clear" w:color="auto" w:fill="CCEEFF"/>
          </w:tcPr>
          <w:p>
            <w:pPr>
              <w:spacing w:after="0"/>
              <w:rPr>
                <w:sz w:val="21"/>
                <w:szCs w:val="21"/>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financial liability, current portion</w:t>
            </w: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Derivatives designated as cash flow hedges:</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23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 of the interest rate swaps</w:t>
            </w:r>
          </w:p>
        </w:tc>
        <w:tc>
          <w:tcPr>
            <w:tcW w:w="2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financial assets, current portion</w:t>
            </w:r>
          </w:p>
        </w:tc>
      </w:tr>
      <w:tr>
        <w:trPr>
          <w:trHeight w:val="229"/>
        </w:trPr>
        <w:tc>
          <w:tcPr>
            <w:tcW w:w="4240" w:type="dxa"/>
            <w:vAlign w:val="bottom"/>
          </w:tcPr>
          <w:p>
            <w:pPr>
              <w:spacing w:after="0"/>
              <w:rPr>
                <w:sz w:val="19"/>
                <w:szCs w:val="19"/>
                <w:color w:val="auto"/>
              </w:rPr>
            </w:pP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10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Pr>
          <w:p>
            <w:pPr>
              <w:spacing w:after="0"/>
              <w:rPr>
                <w:sz w:val="2"/>
                <w:szCs w:val="2"/>
                <w:color w:val="auto"/>
              </w:rPr>
            </w:pPr>
          </w:p>
        </w:tc>
      </w:tr>
    </w:tbl>
    <w:p>
      <w:pPr>
        <w:spacing w:after="0" w:line="200" w:lineRule="exact"/>
        <w:rPr>
          <w:sz w:val="20"/>
          <w:szCs w:val="20"/>
          <w:color w:val="auto"/>
        </w:rPr>
      </w:pPr>
    </w:p>
    <w:p>
      <w:pPr>
        <w:spacing w:after="0" w:line="3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effect of derivative instruments on the condensed consolidated statement of operations were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Pr>
          <w:p>
            <w:pPr>
              <w:spacing w:after="0"/>
              <w:rPr>
                <w:sz w:val="15"/>
                <w:szCs w:val="15"/>
                <w:color w:val="auto"/>
              </w:rPr>
            </w:pPr>
          </w:p>
        </w:tc>
        <w:tc>
          <w:tcPr>
            <w:tcW w:w="3040" w:type="dxa"/>
            <w:vAlign w:val="bottom"/>
            <w:gridSpan w:val="5"/>
            <w:vMerge w:val="restart"/>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40" w:type="dxa"/>
            <w:vAlign w:val="bottom"/>
          </w:tcPr>
          <w:p>
            <w:pPr>
              <w:spacing w:after="0"/>
              <w:rPr>
                <w:sz w:val="15"/>
                <w:szCs w:val="15"/>
                <w:color w:val="auto"/>
              </w:rPr>
            </w:pPr>
          </w:p>
        </w:tc>
        <w:tc>
          <w:tcPr>
            <w:tcW w:w="2200" w:type="dxa"/>
            <w:vAlign w:val="bottom"/>
            <w:gridSpan w:val="3"/>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500" w:type="dxa"/>
            <w:vAlign w:val="bottom"/>
          </w:tcPr>
          <w:p>
            <w:pPr>
              <w:spacing w:after="0"/>
              <w:rPr>
                <w:sz w:val="17"/>
                <w:szCs w:val="17"/>
                <w:color w:val="auto"/>
              </w:rPr>
            </w:pPr>
          </w:p>
        </w:tc>
        <w:tc>
          <w:tcPr>
            <w:tcW w:w="3040" w:type="dxa"/>
            <w:vAlign w:val="bottom"/>
            <w:tcBorders>
              <w:bottom w:val="single" w:sz="8" w:color="auto"/>
            </w:tcBorders>
            <w:gridSpan w:val="5"/>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485"/>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Location of (Loss) Gain Recognized in Operations</w:t>
            </w:r>
          </w:p>
        </w:tc>
        <w:tc>
          <w:tcPr>
            <w:tcW w:w="0" w:type="dxa"/>
            <w:vAlign w:val="bottom"/>
          </w:tcPr>
          <w:p>
            <w:pPr>
              <w:spacing w:after="0"/>
              <w:rPr>
                <w:sz w:val="1"/>
                <w:szCs w:val="1"/>
                <w:color w:val="auto"/>
              </w:rPr>
            </w:pPr>
          </w:p>
        </w:tc>
      </w:tr>
      <w:tr>
        <w:trPr>
          <w:trHeight w:val="216"/>
        </w:trPr>
        <w:tc>
          <w:tcPr>
            <w:tcW w:w="15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rPr>
              <w:t>2021</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from Derivatives</w:t>
            </w:r>
          </w:p>
        </w:tc>
        <w:tc>
          <w:tcPr>
            <w:tcW w:w="0" w:type="dxa"/>
            <w:vAlign w:val="bottom"/>
          </w:tcPr>
          <w:p>
            <w:pPr>
              <w:spacing w:after="0"/>
              <w:rPr>
                <w:sz w:val="1"/>
                <w:szCs w:val="1"/>
                <w:color w:val="auto"/>
              </w:rPr>
            </w:pPr>
          </w:p>
        </w:tc>
      </w:tr>
      <w:tr>
        <w:trPr>
          <w:trHeight w:val="197"/>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rate swaps</w:t>
            </w:r>
          </w:p>
        </w:tc>
        <w:tc>
          <w:tcPr>
            <w:tcW w:w="940" w:type="dxa"/>
            <w:vAlign w:val="bottom"/>
            <w:tcBorders>
              <w:bottom w:val="single" w:sz="8" w:color="CCEEFF"/>
            </w:tcBorders>
            <w:shd w:val="clear" w:color="auto" w:fill="CCEEFF"/>
          </w:tcPr>
          <w:p>
            <w:pPr>
              <w:jc w:val="right"/>
              <w:ind w:right="76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1,580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2,122</w:t>
            </w:r>
          </w:p>
        </w:tc>
        <w:tc>
          <w:tcPr>
            <w:tcW w:w="340" w:type="dxa"/>
            <w:vAlign w:val="bottom"/>
            <w:tcBorders>
              <w:bottom w:val="single" w:sz="8" w:color="CCEEFF"/>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center"/>
              <w:ind w:left="705"/>
              <w:spacing w:after="0"/>
              <w:rPr>
                <w:sz w:val="20"/>
                <w:szCs w:val="20"/>
                <w:color w:val="auto"/>
              </w:rPr>
            </w:pPr>
            <w:r>
              <w:rPr>
                <w:rFonts w:ascii="Times New Roman" w:cs="Times New Roman" w:eastAsia="Times New Roman" w:hAnsi="Times New Roman"/>
                <w:sz w:val="15"/>
                <w:szCs w:val="15"/>
                <w:color w:val="auto"/>
              </w:rPr>
              <w:t>954</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85"/>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1,269</w:t>
            </w:r>
          </w:p>
        </w:tc>
        <w:tc>
          <w:tcPr>
            <w:tcW w:w="1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Swaption</w:t>
            </w:r>
          </w:p>
        </w:tc>
        <w:tc>
          <w:tcPr>
            <w:tcW w:w="940" w:type="dxa"/>
            <w:vAlign w:val="bottom"/>
          </w:tcPr>
          <w:p>
            <w:pPr>
              <w:spacing w:after="0"/>
              <w:rPr>
                <w:sz w:val="16"/>
                <w:szCs w:val="16"/>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246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140" w:type="dxa"/>
            <w:vAlign w:val="bottom"/>
          </w:tcPr>
          <w:p>
            <w:pPr>
              <w:jc w:val="center"/>
              <w:ind w:left="705"/>
              <w:spacing w:after="0"/>
              <w:rPr>
                <w:sz w:val="20"/>
                <w:szCs w:val="20"/>
                <w:color w:val="auto"/>
              </w:rPr>
            </w:pPr>
            <w:r>
              <w:rPr>
                <w:rFonts w:ascii="Times New Roman" w:cs="Times New Roman" w:eastAsia="Times New Roman" w:hAnsi="Times New Roman"/>
                <w:sz w:val="15"/>
                <w:szCs w:val="15"/>
                <w:color w:val="auto"/>
              </w:rPr>
              <w:t>246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periodic settlements</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(2,149)</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center"/>
              <w:ind w:left="685"/>
              <w:spacing w:after="0"/>
              <w:rPr>
                <w:sz w:val="20"/>
                <w:szCs w:val="20"/>
                <w:color w:val="auto"/>
              </w:rPr>
            </w:pPr>
            <w:r>
              <w:rPr>
                <w:rFonts w:ascii="Times New Roman" w:cs="Times New Roman" w:eastAsia="Times New Roman" w:hAnsi="Times New Roman"/>
                <w:sz w:val="15"/>
                <w:szCs w:val="15"/>
                <w:color w:val="auto"/>
              </w:rPr>
              <w:t>(677)</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(1,279)</w:t>
            </w:r>
          </w:p>
        </w:tc>
        <w:tc>
          <w:tcPr>
            <w:tcW w:w="12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5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6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195</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center"/>
              <w:ind w:left="705"/>
              <w:spacing w:after="0"/>
              <w:rPr>
                <w:sz w:val="20"/>
                <w:szCs w:val="20"/>
                <w:color w:val="auto"/>
              </w:rPr>
            </w:pPr>
            <w:r>
              <w:rPr>
                <w:rFonts w:ascii="Times New Roman" w:cs="Times New Roman" w:eastAsia="Times New Roman" w:hAnsi="Times New Roman"/>
                <w:sz w:val="15"/>
                <w:szCs w:val="15"/>
                <w:color w:val="auto"/>
              </w:rPr>
              <w:t>523</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85"/>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Change in fair value of derivative instruments, net</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ind w:right="100" w:firstLine="298"/>
        <w:spacing w:after="0" w:line="250" w:lineRule="auto"/>
        <w:rPr>
          <w:sz w:val="20"/>
          <w:szCs w:val="20"/>
          <w:color w:val="auto"/>
        </w:rPr>
      </w:pPr>
      <w:r>
        <w:rPr>
          <w:rFonts w:ascii="Times New Roman" w:cs="Times New Roman" w:eastAsia="Times New Roman" w:hAnsi="Times New Roman"/>
          <w:sz w:val="17"/>
          <w:szCs w:val="17"/>
          <w:color w:val="auto"/>
        </w:rPr>
        <w:t>The 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enters into these arrangements with large financial institutions. The necessary credit adjustments have been reflected in the fair value of financial derivative instruments. There are no credit-risk-related contingent features that could be triggered in derivative financial instruments that are in a liability position.</w:t>
      </w:r>
    </w:p>
    <w:p>
      <w:pPr>
        <w:spacing w:after="0" w:line="76" w:lineRule="exact"/>
        <w:rPr>
          <w:sz w:val="20"/>
          <w:szCs w:val="20"/>
          <w:color w:val="auto"/>
        </w:rPr>
      </w:pPr>
    </w:p>
    <w:p>
      <w:pPr>
        <w:jc w:val="both"/>
        <w:ind w:right="100" w:firstLine="298"/>
        <w:spacing w:after="0" w:line="268" w:lineRule="auto"/>
        <w:rPr>
          <w:sz w:val="20"/>
          <w:szCs w:val="20"/>
          <w:color w:val="auto"/>
        </w:rPr>
      </w:pPr>
      <w:r>
        <w:rPr>
          <w:rFonts w:ascii="Times New Roman" w:cs="Times New Roman" w:eastAsia="Times New Roman" w:hAnsi="Times New Roman"/>
          <w:sz w:val="17"/>
          <w:szCs w:val="17"/>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condensed consolidated balance sheets.</w:t>
      </w:r>
    </w:p>
    <w:p>
      <w:pPr>
        <w:spacing w:after="0" w:line="61" w:lineRule="exact"/>
        <w:rPr>
          <w:sz w:val="20"/>
          <w:szCs w:val="20"/>
          <w:color w:val="auto"/>
        </w:rPr>
      </w:pPr>
    </w:p>
    <w:p>
      <w:pPr>
        <w:ind w:right="820" w:firstLine="298"/>
        <w:spacing w:after="0" w:line="268" w:lineRule="auto"/>
        <w:rPr>
          <w:sz w:val="20"/>
          <w:szCs w:val="20"/>
          <w:color w:val="auto"/>
        </w:rPr>
      </w:pPr>
      <w:r>
        <w:rPr>
          <w:rFonts w:ascii="Times New Roman" w:cs="Times New Roman" w:eastAsia="Times New Roman" w:hAnsi="Times New Roman"/>
          <w:sz w:val="17"/>
          <w:szCs w:val="17"/>
          <w:color w:val="auto"/>
        </w:rPr>
        <w:t>The following table summarizes the fair value of derivative instruments on the Company's condensed consolidated balance sheets and the effect of netting arrangements and collateral on its financial position:</w:t>
      </w:r>
    </w:p>
    <w:p>
      <w:pPr>
        <w:spacing w:after="0" w:line="2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F-31</w:t>
      </w:r>
    </w:p>
    <w:p>
      <w:pPr>
        <w:sectPr>
          <w:pgSz w:w="11900" w:h="16838" w:orient="portrait"/>
          <w:cols w:equalWidth="0" w:num="1">
            <w:col w:w="11340"/>
          </w:cols>
          <w:pgMar w:left="320" w:top="1440" w:right="239" w:bottom="1440" w:gutter="0" w:footer="0" w:header="0"/>
        </w:sectPr>
      </w:pPr>
    </w:p>
    <w:bookmarkStart w:id="37" w:name="page38"/>
    <w:bookmarkEnd w:id="37"/>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Gross Amounts</w:t>
            </w:r>
          </w:p>
        </w:tc>
        <w:tc>
          <w:tcPr>
            <w:tcW w:w="280" w:type="dxa"/>
            <w:vAlign w:val="bottom"/>
          </w:tcPr>
          <w:p>
            <w:pPr>
              <w:spacing w:after="0"/>
              <w:rPr>
                <w:sz w:val="15"/>
                <w:szCs w:val="15"/>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8"/>
              </w:rPr>
              <w:t>Gross Amounts</w:t>
            </w:r>
          </w:p>
        </w:tc>
        <w:tc>
          <w:tcPr>
            <w:tcW w:w="120" w:type="dxa"/>
            <w:vAlign w:val="bottom"/>
          </w:tcPr>
          <w:p>
            <w:pPr>
              <w:spacing w:after="0"/>
              <w:rPr>
                <w:sz w:val="15"/>
                <w:szCs w:val="15"/>
                <w:color w:val="auto"/>
              </w:rPr>
            </w:pPr>
          </w:p>
        </w:tc>
        <w:tc>
          <w:tcPr>
            <w:tcW w:w="1780" w:type="dxa"/>
            <w:vAlign w:val="bottom"/>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9"/>
              </w:rPr>
              <w:t>Net Amounts of</w:t>
            </w:r>
          </w:p>
        </w:tc>
      </w:tr>
      <w:tr>
        <w:trPr>
          <w:trHeight w:val="186"/>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of Recognized</w:t>
            </w:r>
          </w:p>
        </w:tc>
        <w:tc>
          <w:tcPr>
            <w:tcW w:w="280" w:type="dxa"/>
            <w:vAlign w:val="bottom"/>
          </w:tcPr>
          <w:p>
            <w:pPr>
              <w:spacing w:after="0"/>
              <w:rPr>
                <w:sz w:val="16"/>
                <w:szCs w:val="16"/>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8"/>
              </w:rPr>
              <w:t>Offset in the</w:t>
            </w:r>
          </w:p>
        </w:tc>
        <w:tc>
          <w:tcPr>
            <w:tcW w:w="120" w:type="dxa"/>
            <w:vAlign w:val="bottom"/>
          </w:tcPr>
          <w:p>
            <w:pPr>
              <w:spacing w:after="0"/>
              <w:rPr>
                <w:sz w:val="16"/>
                <w:szCs w:val="16"/>
                <w:color w:val="auto"/>
              </w:rPr>
            </w:pPr>
          </w:p>
        </w:tc>
        <w:tc>
          <w:tcPr>
            <w:tcW w:w="1780" w:type="dxa"/>
            <w:vAlign w:val="bottom"/>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w w:val="99"/>
              </w:rPr>
              <w:t>Assets/(Liabilities) in the</w:t>
            </w:r>
          </w:p>
        </w:tc>
      </w:tr>
      <w:tr>
        <w:trPr>
          <w:trHeight w:val="207"/>
        </w:trPr>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Assets/(Liabilities)</w:t>
            </w:r>
          </w:p>
        </w:tc>
        <w:tc>
          <w:tcPr>
            <w:tcW w:w="28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Balance Sheet</w:t>
            </w:r>
          </w:p>
        </w:tc>
        <w:tc>
          <w:tcPr>
            <w:tcW w:w="120" w:type="dxa"/>
            <w:vAlign w:val="bottom"/>
          </w:tcPr>
          <w:p>
            <w:pPr>
              <w:spacing w:after="0"/>
              <w:rPr>
                <w:sz w:val="18"/>
                <w:szCs w:val="18"/>
                <w:color w:val="auto"/>
              </w:rPr>
            </w:pPr>
          </w:p>
        </w:tc>
        <w:tc>
          <w:tcPr>
            <w:tcW w:w="1780" w:type="dxa"/>
            <w:vAlign w:val="bottom"/>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rPr>
              <w:t>Balance Sheet</w:t>
            </w:r>
          </w:p>
        </w:tc>
      </w:tr>
      <w:tr>
        <w:trPr>
          <w:trHeight w:val="191"/>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September 30, 2022:</w:t>
            </w: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6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6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7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93"/>
        </w:trPr>
        <w:tc>
          <w:tcPr>
            <w:tcW w:w="5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rate swap asset</w:t>
            </w:r>
          </w:p>
        </w:tc>
        <w:tc>
          <w:tcPr>
            <w:tcW w:w="2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1,189</w:t>
            </w:r>
          </w:p>
        </w:tc>
        <w:tc>
          <w:tcPr>
            <w:tcW w:w="100" w:type="dxa"/>
            <w:vAlign w:val="bottom"/>
          </w:tcPr>
          <w:p>
            <w:pPr>
              <w:spacing w:after="0"/>
              <w:rPr>
                <w:sz w:val="16"/>
                <w:szCs w:val="16"/>
                <w:color w:val="auto"/>
              </w:rPr>
            </w:pPr>
          </w:p>
        </w:tc>
        <w:tc>
          <w:tcPr>
            <w:tcW w:w="28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1,189</w:t>
            </w:r>
          </w:p>
        </w:tc>
      </w:tr>
      <w:tr>
        <w:trPr>
          <w:trHeight w:val="31"/>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1"/>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Swaption asset</w:t>
            </w: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w:t>
            </w:r>
          </w:p>
        </w:tc>
      </w:tr>
      <w:tr>
        <w:trPr>
          <w:trHeight w:val="191"/>
        </w:trPr>
        <w:tc>
          <w:tcPr>
            <w:tcW w:w="534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1,435</w:t>
            </w:r>
          </w:p>
        </w:tc>
        <w:tc>
          <w:tcPr>
            <w:tcW w:w="100" w:type="dxa"/>
            <w:vAlign w:val="bottom"/>
          </w:tcPr>
          <w:p>
            <w:pPr>
              <w:spacing w:after="0"/>
              <w:rPr>
                <w:sz w:val="16"/>
                <w:szCs w:val="16"/>
                <w:color w:val="auto"/>
              </w:rPr>
            </w:pPr>
          </w:p>
        </w:tc>
        <w:tc>
          <w:tcPr>
            <w:tcW w:w="28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1,435</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171"/>
        </w:trPr>
        <w:tc>
          <w:tcPr>
            <w:tcW w:w="5340" w:type="dxa"/>
            <w:vAlign w:val="bottom"/>
            <w:tcBorders>
              <w:bottom w:val="single" w:sz="8" w:color="CCEEFF"/>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b w:val="1"/>
                <w:bCs w:val="1"/>
                <w:color w:val="auto"/>
              </w:rPr>
              <w:t>Balance, December 31, 2021:</w:t>
            </w:r>
          </w:p>
        </w:tc>
        <w:tc>
          <w:tcPr>
            <w:tcW w:w="220" w:type="dxa"/>
            <w:vAlign w:val="bottom"/>
            <w:tcBorders>
              <w:bottom w:val="single" w:sz="8" w:color="CCEEFF"/>
            </w:tcBorders>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780" w:type="dxa"/>
            <w:vAlign w:val="bottom"/>
            <w:tcBorders>
              <w:bottom w:val="single" w:sz="8" w:color="CCEEFF"/>
            </w:tcBorders>
            <w:shd w:val="clear" w:color="auto" w:fill="CCEEFF"/>
          </w:tcPr>
          <w:p>
            <w:pPr>
              <w:spacing w:after="0"/>
              <w:rPr>
                <w:sz w:val="14"/>
                <w:szCs w:val="14"/>
                <w:color w:val="auto"/>
              </w:rPr>
            </w:pPr>
          </w:p>
        </w:tc>
      </w:tr>
      <w:tr>
        <w:trPr>
          <w:trHeight w:val="193"/>
        </w:trPr>
        <w:tc>
          <w:tcPr>
            <w:tcW w:w="5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rate swap liability</w:t>
            </w:r>
          </w:p>
        </w:tc>
        <w:tc>
          <w:tcPr>
            <w:tcW w:w="2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(992)</w:t>
            </w:r>
          </w:p>
        </w:tc>
        <w:tc>
          <w:tcPr>
            <w:tcW w:w="100" w:type="dxa"/>
            <w:vAlign w:val="bottom"/>
          </w:tcPr>
          <w:p>
            <w:pPr>
              <w:spacing w:after="0"/>
              <w:rPr>
                <w:sz w:val="16"/>
                <w:szCs w:val="16"/>
                <w:color w:val="auto"/>
              </w:rPr>
            </w:pPr>
          </w:p>
        </w:tc>
        <w:tc>
          <w:tcPr>
            <w:tcW w:w="28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(992)</w:t>
            </w:r>
          </w:p>
        </w:tc>
      </w:tr>
    </w:tbl>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There were no collateral balances with counterparties outstanding as of the period-end dates.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Commodity swap contracts</w:t>
      </w:r>
    </w:p>
    <w:p>
      <w:pPr>
        <w:spacing w:after="0" w:line="144" w:lineRule="exact"/>
        <w:rPr>
          <w:sz w:val="20"/>
          <w:szCs w:val="20"/>
          <w:color w:val="auto"/>
        </w:rPr>
      </w:pPr>
    </w:p>
    <w:p>
      <w:pPr>
        <w:jc w:val="both"/>
        <w:ind w:firstLine="298"/>
        <w:spacing w:after="0" w:line="247" w:lineRule="auto"/>
        <w:rPr>
          <w:sz w:val="20"/>
          <w:szCs w:val="20"/>
          <w:color w:val="auto"/>
        </w:rPr>
      </w:pPr>
      <w:r>
        <w:rPr>
          <w:rFonts w:ascii="Times New Roman" w:cs="Times New Roman" w:eastAsia="Times New Roman" w:hAnsi="Times New Roman"/>
          <w:sz w:val="17"/>
          <w:szCs w:val="17"/>
          <w:color w:val="auto"/>
        </w:rPr>
        <w:t>The Company utilizes commodity swap contracts to hedge against the unfavorable price fluctuations in market prices of electricity. The Company does not apply hedge accounting to these contracts. As such, unrealized and realized gain (loss) is recognized as a component of Renewable Power revenues in the condensed consolidated statement of operations and Derivative financial asset — current and non-current in the condensed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spacing w:after="0" w:line="104" w:lineRule="exact"/>
        <w:rPr>
          <w:sz w:val="20"/>
          <w:szCs w:val="20"/>
          <w:color w:val="auto"/>
        </w:rPr>
      </w:pPr>
    </w:p>
    <w:p>
      <w:pPr>
        <w:jc w:val="both"/>
        <w:ind w:firstLine="298"/>
        <w:spacing w:after="0" w:line="250" w:lineRule="auto"/>
        <w:rPr>
          <w:sz w:val="20"/>
          <w:szCs w:val="20"/>
          <w:color w:val="auto"/>
        </w:rPr>
      </w:pPr>
      <w:r>
        <w:rPr>
          <w:rFonts w:ascii="Times New Roman" w:cs="Times New Roman" w:eastAsia="Times New Roman" w:hAnsi="Times New Roman"/>
          <w:sz w:val="17"/>
          <w:szCs w:val="17"/>
          <w:color w:val="auto"/>
        </w:rPr>
        <w:t>In December 2018, the Company signed an amendment that converted an existing PPA into a commodity swap contract to allow the Company flexibility to sell the capacity separately and schedule the sale of electricity to independent third parties. Following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counterparty in November 2019. Pursuant to the agreement, the Company entered into swaps with contract prices ranging between $35.75 and $51.25 per MWh.</w:t>
      </w:r>
    </w:p>
    <w:p>
      <w:pPr>
        <w:spacing w:after="0" w:line="113" w:lineRule="exact"/>
        <w:rPr>
          <w:sz w:val="20"/>
          <w:szCs w:val="20"/>
          <w:color w:val="auto"/>
        </w:rPr>
      </w:pPr>
    </w:p>
    <w:p>
      <w:pPr>
        <w:ind w:right="220" w:firstLine="298"/>
        <w:spacing w:after="0" w:line="268" w:lineRule="auto"/>
        <w:rPr>
          <w:sz w:val="20"/>
          <w:szCs w:val="20"/>
          <w:color w:val="auto"/>
        </w:rPr>
      </w:pPr>
      <w:r>
        <w:rPr>
          <w:rFonts w:ascii="Times New Roman" w:cs="Times New Roman" w:eastAsia="Times New Roman" w:hAnsi="Times New Roman"/>
          <w:sz w:val="17"/>
          <w:szCs w:val="17"/>
          <w:color w:val="auto"/>
        </w:rPr>
        <w:t>The following table summarizes the commodity swaps in place as of September 30, 2022 and December 31, 2021. There were no new commodity swap contracts entered during the nine months ended September 30, 2022.</w:t>
      </w: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220" w:type="dxa"/>
            <w:vAlign w:val="bottom"/>
            <w:vMerge w:val="restart"/>
          </w:tcPr>
          <w:p>
            <w:pPr>
              <w:ind w:left="740"/>
              <w:spacing w:after="0"/>
              <w:rPr>
                <w:sz w:val="20"/>
                <w:szCs w:val="20"/>
                <w:color w:val="auto"/>
              </w:rPr>
            </w:pPr>
            <w:r>
              <w:rPr>
                <w:rFonts w:ascii="Times New Roman" w:cs="Times New Roman" w:eastAsia="Times New Roman" w:hAnsi="Times New Roman"/>
                <w:sz w:val="15"/>
                <w:szCs w:val="15"/>
                <w:b w:val="1"/>
                <w:bCs w:val="1"/>
                <w:color w:val="auto"/>
              </w:rPr>
              <w:t>Trade Date</w:t>
            </w:r>
          </w:p>
        </w:tc>
        <w:tc>
          <w:tcPr>
            <w:tcW w:w="80" w:type="dxa"/>
            <w:vAlign w:val="bottom"/>
            <w:vMerge w:val="restart"/>
          </w:tcPr>
          <w:p>
            <w:pPr>
              <w:spacing w:after="0"/>
              <w:rPr>
                <w:sz w:val="16"/>
                <w:szCs w:val="16"/>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Period From</w:t>
            </w:r>
          </w:p>
        </w:tc>
        <w:tc>
          <w:tcPr>
            <w:tcW w:w="120" w:type="dxa"/>
            <w:vAlign w:val="bottom"/>
            <w:vMerge w:val="restart"/>
          </w:tcPr>
          <w:p>
            <w:pPr>
              <w:spacing w:after="0"/>
              <w:rPr>
                <w:sz w:val="16"/>
                <w:szCs w:val="16"/>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Period To</w:t>
            </w:r>
          </w:p>
        </w:tc>
        <w:tc>
          <w:tcPr>
            <w:tcW w:w="100" w:type="dxa"/>
            <w:vAlign w:val="bottom"/>
            <w:vMerge w:val="restart"/>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Notional Quantity per</w:t>
            </w:r>
          </w:p>
        </w:tc>
        <w:tc>
          <w:tcPr>
            <w:tcW w:w="100" w:type="dxa"/>
            <w:vAlign w:val="bottom"/>
          </w:tcPr>
          <w:p>
            <w:pPr>
              <w:spacing w:after="0"/>
              <w:rPr>
                <w:sz w:val="16"/>
                <w:szCs w:val="16"/>
                <w:color w:val="auto"/>
              </w:rPr>
            </w:pPr>
          </w:p>
        </w:tc>
        <w:tc>
          <w:tcPr>
            <w:tcW w:w="1940" w:type="dxa"/>
            <w:vAlign w:val="bottom"/>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w w:val="98"/>
              </w:rPr>
              <w:t>Average Contract Price (per</w:t>
            </w:r>
          </w:p>
        </w:tc>
        <w:tc>
          <w:tcPr>
            <w:tcW w:w="0" w:type="dxa"/>
            <w:vAlign w:val="bottom"/>
          </w:tcPr>
          <w:p>
            <w:pPr>
              <w:spacing w:after="0"/>
              <w:rPr>
                <w:sz w:val="1"/>
                <w:szCs w:val="1"/>
                <w:color w:val="auto"/>
              </w:rPr>
            </w:pPr>
          </w:p>
        </w:tc>
      </w:tr>
      <w:tr>
        <w:trPr>
          <w:trHeight w:val="198"/>
        </w:trPr>
        <w:tc>
          <w:tcPr>
            <w:tcW w:w="22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8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1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58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Year (“MWh”)</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5"/>
                <w:szCs w:val="15"/>
                <w:b w:val="1"/>
                <w:bCs w:val="1"/>
                <w:color w:val="auto"/>
              </w:rPr>
              <w:t>MWh)</w:t>
            </w:r>
          </w:p>
        </w:tc>
        <w:tc>
          <w:tcPr>
            <w:tcW w:w="0" w:type="dxa"/>
            <w:vAlign w:val="bottom"/>
          </w:tcPr>
          <w:p>
            <w:pPr>
              <w:spacing w:after="0"/>
              <w:rPr>
                <w:sz w:val="1"/>
                <w:szCs w:val="1"/>
                <w:color w:val="auto"/>
              </w:rPr>
            </w:pPr>
          </w:p>
        </w:tc>
      </w:tr>
      <w:tr>
        <w:trPr>
          <w:trHeight w:val="205"/>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 14, 2018</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January 1, 2019</w:t>
            </w:r>
          </w:p>
        </w:tc>
        <w:tc>
          <w:tcPr>
            <w:tcW w:w="2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9"/>
              </w:rPr>
              <w:t>September 30, 2022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66.12</w:t>
            </w:r>
          </w:p>
        </w:tc>
        <w:tc>
          <w:tcPr>
            <w:tcW w:w="0" w:type="dxa"/>
            <w:vAlign w:val="bottom"/>
          </w:tcPr>
          <w:p>
            <w:pPr>
              <w:spacing w:after="0"/>
              <w:rPr>
                <w:sz w:val="1"/>
                <w:szCs w:val="1"/>
                <w:color w:val="auto"/>
              </w:rPr>
            </w:pPr>
          </w:p>
        </w:tc>
      </w:tr>
      <w:tr>
        <w:trPr>
          <w:trHeight w:val="202"/>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October 28, 2021</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9"/>
              </w:rPr>
              <w:t>November 1, 2021</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December 31, 2022</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30,660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48.75</w:t>
            </w:r>
          </w:p>
        </w:tc>
        <w:tc>
          <w:tcPr>
            <w:tcW w:w="0" w:type="dxa"/>
            <w:vAlign w:val="bottom"/>
          </w:tcPr>
          <w:p>
            <w:pPr>
              <w:spacing w:after="0"/>
              <w:rPr>
                <w:sz w:val="1"/>
                <w:szCs w:val="1"/>
                <w:color w:val="auto"/>
              </w:rPr>
            </w:pPr>
          </w:p>
        </w:tc>
      </w:tr>
      <w:tr>
        <w:trPr>
          <w:trHeight w:val="220"/>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 27, 2021</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January 1, 2022</w:t>
            </w:r>
          </w:p>
        </w:tc>
        <w:tc>
          <w:tcPr>
            <w:tcW w:w="2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December 31, 2022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26,280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50.75</w:t>
            </w:r>
          </w:p>
        </w:tc>
        <w:tc>
          <w:tcPr>
            <w:tcW w:w="0" w:type="dxa"/>
            <w:vAlign w:val="bottom"/>
          </w:tcPr>
          <w:p>
            <w:pPr>
              <w:spacing w:after="0"/>
              <w:rPr>
                <w:sz w:val="1"/>
                <w:szCs w:val="1"/>
                <w:color w:val="auto"/>
              </w:rPr>
            </w:pPr>
          </w:p>
        </w:tc>
      </w:tr>
    </w:tbl>
    <w:p>
      <w:pPr>
        <w:spacing w:after="0" w:line="3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summarizes the effect of commodity swaps on the condensed consolidated statements of operations for the three and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2022 and 2021:</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ectPr>
          <w:pgSz w:w="11900" w:h="16838" w:orient="portrait"/>
          <w:cols w:equalWidth="0" w:num="1">
            <w:col w:w="11240"/>
          </w:cols>
          <w:pgMar w:left="320" w:top="1440" w:right="339" w:bottom="1440" w:gutter="0" w:footer="0" w:header="0"/>
        </w:sectPr>
      </w:pPr>
    </w:p>
    <w:bookmarkStart w:id="38" w:name="page39"/>
    <w:bookmarkEnd w:id="38"/>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200"/>
        </w:trPr>
        <w:tc>
          <w:tcPr>
            <w:tcW w:w="3320" w:type="dxa"/>
            <w:vAlign w:val="bottom"/>
          </w:tcPr>
          <w:p>
            <w:pPr>
              <w:spacing w:after="0"/>
              <w:rPr>
                <w:sz w:val="17"/>
                <w:szCs w:val="17"/>
                <w:color w:val="auto"/>
              </w:rPr>
            </w:pPr>
          </w:p>
        </w:tc>
        <w:tc>
          <w:tcPr>
            <w:tcW w:w="1720" w:type="dxa"/>
            <w:vAlign w:val="bottom"/>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Location of (loss) gain</w:t>
            </w:r>
          </w:p>
        </w:tc>
        <w:tc>
          <w:tcPr>
            <w:tcW w:w="120" w:type="dxa"/>
            <w:vAlign w:val="bottom"/>
          </w:tcPr>
          <w:p>
            <w:pPr>
              <w:spacing w:after="0"/>
              <w:rPr>
                <w:sz w:val="17"/>
                <w:szCs w:val="17"/>
                <w:color w:val="auto"/>
              </w:rPr>
            </w:pPr>
          </w:p>
        </w:tc>
        <w:tc>
          <w:tcPr>
            <w:tcW w:w="2540" w:type="dxa"/>
            <w:vAlign w:val="bottom"/>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300" w:type="dxa"/>
            <w:vAlign w:val="bottom"/>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not designated as hedging instruments</w:t>
            </w:r>
          </w:p>
        </w:tc>
        <w:tc>
          <w:tcPr>
            <w:tcW w:w="1720" w:type="dxa"/>
            <w:vAlign w:val="bottom"/>
            <w:vMerge w:val="continue"/>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vMerge w:val="restart"/>
          </w:tcPr>
          <w:p>
            <w:pPr>
              <w:jc w:val="right"/>
              <w:ind w:right="425"/>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vMerge w:val="restart"/>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vMerge w:val="restart"/>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vMerge w:val="restart"/>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line="20" w:lineRule="exact"/>
              <w:rPr>
                <w:sz w:val="1"/>
                <w:szCs w:val="1"/>
                <w:color w:val="auto"/>
              </w:rPr>
            </w:pPr>
          </w:p>
        </w:tc>
      </w:tr>
      <w:tr>
        <w:trPr>
          <w:trHeight w:val="198"/>
        </w:trPr>
        <w:tc>
          <w:tcPr>
            <w:tcW w:w="332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recognized</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Commodity swaps - realized loss</w:t>
            </w:r>
          </w:p>
        </w:tc>
        <w:tc>
          <w:tcPr>
            <w:tcW w:w="1720" w:type="dxa"/>
            <w:vAlign w:val="bottom"/>
            <w:shd w:val="clear" w:color="auto" w:fill="CCEEFF"/>
          </w:tcPr>
          <w:p>
            <w:pPr>
              <w:ind w:left="120"/>
              <w:spacing w:after="0" w:line="143" w:lineRule="exact"/>
              <w:rPr>
                <w:sz w:val="20"/>
                <w:szCs w:val="20"/>
                <w:color w:val="auto"/>
              </w:rPr>
            </w:pPr>
            <w:r>
              <w:rPr>
                <w:rFonts w:ascii="Times New Roman" w:cs="Times New Roman" w:eastAsia="Times New Roman" w:hAnsi="Times New Roman"/>
                <w:sz w:val="15"/>
                <w:szCs w:val="15"/>
                <w:color w:val="auto"/>
              </w:rPr>
              <w:t>Revenues - Renewable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shd w:val="clear" w:color="auto" w:fill="CCEEFF"/>
          </w:tcPr>
          <w:p>
            <w:pPr>
              <w:jc w:val="center"/>
              <w:ind w:left="685"/>
              <w:spacing w:after="0"/>
              <w:rPr>
                <w:sz w:val="20"/>
                <w:szCs w:val="20"/>
                <w:color w:val="auto"/>
              </w:rPr>
            </w:pPr>
            <w:r>
              <w:rPr>
                <w:rFonts w:ascii="Times New Roman" w:cs="Times New Roman" w:eastAsia="Times New Roman" w:hAnsi="Times New Roman"/>
                <w:sz w:val="15"/>
                <w:szCs w:val="15"/>
                <w:color w:val="auto"/>
                <w:w w:val="98"/>
              </w:rPr>
              <w:t>(744)</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(931)</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169</w:t>
            </w:r>
          </w:p>
        </w:tc>
        <w:tc>
          <w:tcPr>
            <w:tcW w:w="0" w:type="dxa"/>
            <w:vAlign w:val="bottom"/>
          </w:tcPr>
          <w:p>
            <w:pPr>
              <w:spacing w:after="0"/>
              <w:rPr>
                <w:sz w:val="1"/>
                <w:szCs w:val="1"/>
                <w:color w:val="auto"/>
              </w:rPr>
            </w:pPr>
          </w:p>
        </w:tc>
      </w:tr>
      <w:tr>
        <w:trPr>
          <w:trHeight w:val="199"/>
        </w:trPr>
        <w:tc>
          <w:tcPr>
            <w:tcW w:w="3320" w:type="dxa"/>
            <w:vAlign w:val="bottom"/>
            <w:vMerge w:val="continue"/>
            <w:shd w:val="clear" w:color="auto" w:fill="CCEEFF"/>
          </w:tcPr>
          <w:p>
            <w:pPr>
              <w:spacing w:after="0"/>
              <w:rPr>
                <w:sz w:val="17"/>
                <w:szCs w:val="17"/>
                <w:color w:val="auto"/>
              </w:rPr>
            </w:pP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power</w:t>
            </w:r>
          </w:p>
        </w:tc>
        <w:tc>
          <w:tcPr>
            <w:tcW w:w="12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Commodity swaps - unrealized gain (loss)</w:t>
            </w:r>
          </w:p>
        </w:tc>
        <w:tc>
          <w:tcPr>
            <w:tcW w:w="1720" w:type="dxa"/>
            <w:vAlign w:val="bottom"/>
          </w:tcPr>
          <w:p>
            <w:pPr>
              <w:ind w:left="120"/>
              <w:spacing w:after="0" w:line="149" w:lineRule="exact"/>
              <w:rPr>
                <w:sz w:val="20"/>
                <w:szCs w:val="20"/>
                <w:color w:val="auto"/>
              </w:rPr>
            </w:pPr>
            <w:r>
              <w:rPr>
                <w:rFonts w:ascii="Times New Roman" w:cs="Times New Roman" w:eastAsia="Times New Roman" w:hAnsi="Times New Roman"/>
                <w:sz w:val="15"/>
                <w:szCs w:val="15"/>
                <w:color w:val="auto"/>
              </w:rPr>
              <w:t>Revenues - Renewable</w:t>
            </w:r>
          </w:p>
        </w:tc>
        <w:tc>
          <w:tcPr>
            <w:tcW w:w="120" w:type="dxa"/>
            <w:vAlign w:val="bottom"/>
          </w:tcPr>
          <w:p>
            <w:pPr>
              <w:spacing w:after="0"/>
              <w:rPr>
                <w:sz w:val="12"/>
                <w:szCs w:val="12"/>
                <w:color w:val="auto"/>
              </w:rPr>
            </w:pPr>
          </w:p>
        </w:tc>
        <w:tc>
          <w:tcPr>
            <w:tcW w:w="1160" w:type="dxa"/>
            <w:vAlign w:val="bottom"/>
            <w:vMerge w:val="restart"/>
          </w:tcPr>
          <w:p>
            <w:pPr>
              <w:jc w:val="center"/>
              <w:ind w:left="725"/>
              <w:spacing w:after="0"/>
              <w:rPr>
                <w:sz w:val="20"/>
                <w:szCs w:val="20"/>
                <w:color w:val="auto"/>
              </w:rPr>
            </w:pPr>
            <w:r>
              <w:rPr>
                <w:rFonts w:ascii="Times New Roman" w:cs="Times New Roman" w:eastAsia="Times New Roman" w:hAnsi="Times New Roman"/>
                <w:sz w:val="15"/>
                <w:szCs w:val="15"/>
                <w:color w:val="auto"/>
              </w:rPr>
              <w:t>161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(895)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(775)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(2,824)</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CCEEFF"/>
            </w:tcBorders>
            <w:vMerge w:val="continue"/>
          </w:tcPr>
          <w:p>
            <w:pPr>
              <w:spacing w:after="0"/>
              <w:rPr>
                <w:sz w:val="17"/>
                <w:szCs w:val="17"/>
                <w:color w:val="auto"/>
              </w:rPr>
            </w:pPr>
          </w:p>
        </w:tc>
        <w:tc>
          <w:tcPr>
            <w:tcW w:w="1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power</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realized and unrealized gain (loss)</w:t>
            </w:r>
          </w:p>
        </w:tc>
        <w:tc>
          <w:tcPr>
            <w:tcW w:w="172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5"/>
                <w:szCs w:val="15"/>
                <w:color w:val="auto"/>
              </w:rPr>
              <w:t>Revenues - Renewable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shd w:val="clear" w:color="auto" w:fill="CCEEFF"/>
          </w:tcPr>
          <w:p>
            <w:pPr>
              <w:jc w:val="center"/>
              <w:ind w:left="685"/>
              <w:spacing w:after="0"/>
              <w:rPr>
                <w:sz w:val="20"/>
                <w:szCs w:val="20"/>
                <w:color w:val="auto"/>
              </w:rPr>
            </w:pPr>
            <w:r>
              <w:rPr>
                <w:rFonts w:ascii="Times New Roman" w:cs="Times New Roman" w:eastAsia="Times New Roman" w:hAnsi="Times New Roman"/>
                <w:sz w:val="15"/>
                <w:szCs w:val="15"/>
                <w:color w:val="auto"/>
                <w:w w:val="98"/>
              </w:rPr>
              <w:t>(583)</w:t>
            </w:r>
          </w:p>
        </w:tc>
        <w:tc>
          <w:tcPr>
            <w:tcW w:w="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(1,223)</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(1,706)</w:t>
            </w:r>
          </w:p>
        </w:tc>
        <w:tc>
          <w:tcPr>
            <w:tcW w:w="8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(2,655)</w:t>
            </w:r>
          </w:p>
        </w:tc>
        <w:tc>
          <w:tcPr>
            <w:tcW w:w="0" w:type="dxa"/>
            <w:vAlign w:val="bottom"/>
          </w:tcPr>
          <w:p>
            <w:pPr>
              <w:spacing w:after="0"/>
              <w:rPr>
                <w:sz w:val="1"/>
                <w:szCs w:val="1"/>
                <w:color w:val="auto"/>
              </w:rPr>
            </w:pPr>
          </w:p>
        </w:tc>
      </w:tr>
      <w:tr>
        <w:trPr>
          <w:trHeight w:val="194"/>
        </w:trPr>
        <w:tc>
          <w:tcPr>
            <w:tcW w:w="3320" w:type="dxa"/>
            <w:vAlign w:val="bottom"/>
            <w:tcBorders>
              <w:bottom w:val="single" w:sz="8" w:color="CCEEFF"/>
            </w:tcBorders>
            <w:vMerge w:val="continue"/>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power</w:t>
            </w: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summarizes the derivative assets and liabilities related to commodity swaps as of September 30, 2022 and December 31, 2021</w:t>
      </w:r>
    </w:p>
    <w:p>
      <w:pPr>
        <w:spacing w:after="0" w:line="200" w:lineRule="exact"/>
        <w:rPr>
          <w:sz w:val="20"/>
          <w:szCs w:val="20"/>
          <w:color w:val="auto"/>
        </w:rPr>
      </w:pPr>
    </w:p>
    <w:p>
      <w:pPr>
        <w:spacing w:after="0" w:line="309" w:lineRule="exact"/>
        <w:rPr>
          <w:sz w:val="20"/>
          <w:szCs w:val="20"/>
          <w:color w:val="auto"/>
        </w:rPr>
      </w:pPr>
    </w:p>
    <w:tbl>
      <w:tblPr>
        <w:tblLayout w:type="fixed"/>
        <w:tblInd w:w="300" w:type="dxa"/>
        <w:tblCellMar>
          <w:top w:w="0" w:type="dxa"/>
          <w:left w:w="0" w:type="dxa"/>
          <w:bottom w:w="0" w:type="dxa"/>
          <w:right w:w="0" w:type="dxa"/>
        </w:tblCellMar>
      </w:tblPr>
      <w:tr>
        <w:trPr>
          <w:trHeight w:val="219"/>
        </w:trPr>
        <w:tc>
          <w:tcPr>
            <w:tcW w:w="3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Location of Fair value recognized in</w:t>
            </w: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340" w:type="dxa"/>
            <w:vAlign w:val="bottom"/>
          </w:tcPr>
          <w:p>
            <w:pPr>
              <w:spacing w:after="0"/>
              <w:rPr>
                <w:sz w:val="18"/>
                <w:szCs w:val="18"/>
                <w:color w:val="auto"/>
              </w:rPr>
            </w:pPr>
          </w:p>
        </w:tc>
        <w:tc>
          <w:tcPr>
            <w:tcW w:w="1720" w:type="dxa"/>
            <w:vAlign w:val="bottom"/>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w w:val="97"/>
              </w:rPr>
              <w:t>December 31, 2021</w:t>
            </w:r>
          </w:p>
        </w:tc>
        <w:tc>
          <w:tcPr>
            <w:tcW w:w="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Sheet</w:t>
            </w:r>
          </w:p>
        </w:tc>
      </w:tr>
      <w:tr>
        <w:trPr>
          <w:trHeight w:val="191"/>
        </w:trPr>
        <w:tc>
          <w:tcPr>
            <w:tcW w:w="3840" w:type="dxa"/>
            <w:vAlign w:val="bottom"/>
            <w:tcBorders>
              <w:top w:val="single" w:sz="8" w:color="CCEEFF"/>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Derivatives designated as economic hedges</w:t>
            </w:r>
          </w:p>
        </w:tc>
        <w:tc>
          <w:tcPr>
            <w:tcW w:w="220" w:type="dxa"/>
            <w:vAlign w:val="bottom"/>
            <w:tcBorders>
              <w:top w:val="single" w:sz="8" w:color="auto"/>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920" w:type="dxa"/>
            <w:vAlign w:val="bottom"/>
            <w:tcBorders>
              <w:top w:val="single" w:sz="8" w:color="auto"/>
            </w:tcBorders>
            <w:shd w:val="clear" w:color="auto" w:fill="CCEEFF"/>
          </w:tcPr>
          <w:p>
            <w:pPr>
              <w:spacing w:after="0"/>
              <w:rPr>
                <w:sz w:val="16"/>
                <w:szCs w:val="16"/>
                <w:color w:val="auto"/>
              </w:rPr>
            </w:pPr>
          </w:p>
        </w:tc>
      </w:tr>
      <w:tr>
        <w:trPr>
          <w:trHeight w:val="211"/>
        </w:trPr>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Current portion of unrealized gain on commodity swaps</w:t>
            </w: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gridSpan w:val="2"/>
          </w:tcPr>
          <w:p>
            <w:pPr>
              <w:ind w:left="16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financial asset, current portion</w:t>
            </w:r>
          </w:p>
        </w:tc>
      </w:tr>
      <w:tr>
        <w:trPr>
          <w:trHeight w:val="21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 of unrealized loss on commodity swaps</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7"/>
              </w:rPr>
              <w:t>Derivative financial liability, current portio</w:t>
            </w:r>
          </w:p>
        </w:tc>
      </w:tr>
    </w:tbl>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derivative liabilities</w:t>
      </w:r>
    </w:p>
    <w:p>
      <w:pPr>
        <w:spacing w:after="0" w:line="107" w:lineRule="exact"/>
        <w:rPr>
          <w:sz w:val="20"/>
          <w:szCs w:val="20"/>
          <w:color w:val="auto"/>
        </w:rPr>
      </w:pPr>
    </w:p>
    <w:p>
      <w:pPr>
        <w:jc w:val="both"/>
        <w:ind w:right="100" w:firstLine="597"/>
        <w:spacing w:after="0" w:line="252" w:lineRule="auto"/>
        <w:rPr>
          <w:sz w:val="20"/>
          <w:szCs w:val="20"/>
          <w:color w:val="auto"/>
        </w:rPr>
      </w:pPr>
      <w:r>
        <w:rPr>
          <w:rFonts w:ascii="Times New Roman" w:cs="Times New Roman" w:eastAsia="Times New Roman" w:hAnsi="Times New Roman"/>
          <w:sz w:val="17"/>
          <w:szCs w:val="17"/>
          <w:color w:val="auto"/>
        </w:rPr>
        <w:t xml:space="preserve">On July 21, 2022, the Company recorded derivative liabilities for the outstanding Public Warrants and Private Warrants, put option to Meteora, the Sponsor Earnout Awards and the OPAL Earnout Awards. Please see Note 3,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xml:space="preserve"> for additional information. The change in fair value on these derivative instruments in recorded as change in fair value of derivative instruments, net in the condensed consolidated statement of operations for the three and nine months ended September 30, 2022.</w:t>
      </w:r>
    </w:p>
    <w:p>
      <w:pPr>
        <w:spacing w:after="0" w:line="74" w:lineRule="exact"/>
        <w:rPr>
          <w:sz w:val="20"/>
          <w:szCs w:val="20"/>
          <w:color w:val="auto"/>
        </w:rPr>
      </w:pPr>
    </w:p>
    <w:p>
      <w:pPr>
        <w:jc w:val="both"/>
        <w:ind w:right="100" w:firstLine="597"/>
        <w:spacing w:after="0" w:line="268" w:lineRule="auto"/>
        <w:rPr>
          <w:sz w:val="20"/>
          <w:szCs w:val="20"/>
          <w:color w:val="auto"/>
        </w:rPr>
      </w:pPr>
      <w:r>
        <w:rPr>
          <w:rFonts w:ascii="Times New Roman" w:cs="Times New Roman" w:eastAsia="Times New Roman" w:hAnsi="Times New Roman"/>
          <w:sz w:val="17"/>
          <w:szCs w:val="17"/>
          <w:color w:val="auto"/>
        </w:rPr>
        <w:t>The following table summarizes the effect of change in fair value of other derivative liabilities on the condensed consolidated statements of operations for the three and nine months ended September 30, 2022 and 2021:</w:t>
      </w:r>
    </w:p>
    <w:p>
      <w:pPr>
        <w:spacing w:after="0" w:line="82" w:lineRule="exact"/>
        <w:rPr>
          <w:sz w:val="20"/>
          <w:szCs w:val="20"/>
          <w:color w:val="auto"/>
        </w:rPr>
      </w:pPr>
    </w:p>
    <w:tbl>
      <w:tblPr>
        <w:tblLayout w:type="fixed"/>
        <w:tblInd w:w="600" w:type="dxa"/>
        <w:tblCellMar>
          <w:top w:w="0" w:type="dxa"/>
          <w:left w:w="0" w:type="dxa"/>
          <w:bottom w:w="0" w:type="dxa"/>
          <w:right w:w="0" w:type="dxa"/>
        </w:tblCellMar>
      </w:tblPr>
      <w:tr>
        <w:trPr>
          <w:trHeight w:val="398"/>
        </w:trPr>
        <w:tc>
          <w:tcPr>
            <w:tcW w:w="15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Derivative liability</w:t>
            </w:r>
          </w:p>
        </w:tc>
        <w:tc>
          <w:tcPr>
            <w:tcW w:w="100" w:type="dxa"/>
            <w:vAlign w:val="bottom"/>
            <w:tcBorders>
              <w:top w:val="single" w:sz="8" w:color="CCEEFF"/>
            </w:tcBorders>
            <w:shd w:val="clear" w:color="auto" w:fill="CCEEFF"/>
          </w:tcPr>
          <w:p>
            <w:pPr>
              <w:spacing w:after="0"/>
              <w:rPr>
                <w:sz w:val="24"/>
                <w:szCs w:val="24"/>
                <w:color w:val="auto"/>
              </w:rPr>
            </w:pPr>
          </w:p>
        </w:tc>
        <w:tc>
          <w:tcPr>
            <w:tcW w:w="2660" w:type="dxa"/>
            <w:vAlign w:val="bottom"/>
            <w:tcBorders>
              <w:top w:val="single" w:sz="8" w:color="auto"/>
              <w:bottom w:val="single" w:sz="8" w:color="auto"/>
            </w:tcBorders>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w w:val="98"/>
              </w:rPr>
              <w:t>Three Months Ended September 30,</w:t>
            </w:r>
          </w:p>
        </w:tc>
        <w:tc>
          <w:tcPr>
            <w:tcW w:w="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2580" w:type="dxa"/>
            <w:vAlign w:val="bottom"/>
            <w:tcBorders>
              <w:top w:val="single" w:sz="8" w:color="auto"/>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80" w:type="dxa"/>
            <w:vAlign w:val="bottom"/>
            <w:tcBorders>
              <w:top w:val="single" w:sz="8" w:color="CCEEFF"/>
            </w:tcBorders>
            <w:shd w:val="clear" w:color="auto" w:fill="CCEEFF"/>
          </w:tcPr>
          <w:p>
            <w:pPr>
              <w:spacing w:after="0"/>
              <w:rPr>
                <w:sz w:val="24"/>
                <w:szCs w:val="24"/>
                <w:color w:val="auto"/>
              </w:rPr>
            </w:pPr>
          </w:p>
        </w:tc>
        <w:tc>
          <w:tcPr>
            <w:tcW w:w="33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Location of (Loss) Gain Recognized in Operations</w:t>
            </w:r>
          </w:p>
        </w:tc>
      </w:tr>
      <w:tr>
        <w:trPr>
          <w:trHeight w:val="216"/>
        </w:trPr>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b w:val="1"/>
                <w:bCs w:val="1"/>
                <w:color w:val="auto"/>
              </w:rPr>
              <w:t>from Derivatives</w:t>
            </w:r>
          </w:p>
        </w:tc>
      </w:tr>
      <w:tr>
        <w:trPr>
          <w:trHeight w:val="229"/>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360" w:type="dxa"/>
            <w:vAlign w:val="bottom"/>
            <w:shd w:val="clear" w:color="auto" w:fill="CCEEFF"/>
          </w:tcPr>
          <w:p>
            <w:pPr>
              <w:spacing w:after="0"/>
              <w:rPr>
                <w:sz w:val="19"/>
                <w:szCs w:val="19"/>
                <w:color w:val="auto"/>
              </w:rPr>
            </w:pPr>
          </w:p>
        </w:tc>
      </w:tr>
      <w:tr>
        <w:trPr>
          <w:trHeight w:val="211"/>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Put option to Meteora</w:t>
            </w: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8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80" w:type="dxa"/>
            <w:vAlign w:val="bottom"/>
          </w:tcPr>
          <w:p>
            <w:pPr>
              <w:spacing w:after="0"/>
              <w:rPr>
                <w:sz w:val="18"/>
                <w:szCs w:val="18"/>
                <w:color w:val="auto"/>
              </w:rPr>
            </w:pPr>
          </w:p>
        </w:tc>
        <w:tc>
          <w:tcPr>
            <w:tcW w:w="780" w:type="dxa"/>
            <w:vAlign w:val="bottom"/>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360" w:type="dxa"/>
            <w:vAlign w:val="bottom"/>
          </w:tcPr>
          <w:p>
            <w:pPr>
              <w:spacing w:after="0"/>
              <w:rPr>
                <w:sz w:val="18"/>
                <w:szCs w:val="18"/>
                <w:color w:val="auto"/>
              </w:rPr>
            </w:pPr>
          </w:p>
        </w:tc>
      </w:tr>
      <w:tr>
        <w:trPr>
          <w:trHeight w:val="170"/>
        </w:trPr>
        <w:tc>
          <w:tcPr>
            <w:tcW w:w="162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Sponsor Earnout</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r>
      <w:tr>
        <w:trPr>
          <w:trHeight w:val="215"/>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Awards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360" w:type="dxa"/>
            <w:vAlign w:val="bottom"/>
            <w:shd w:val="clear" w:color="auto" w:fill="CCEEFF"/>
          </w:tcPr>
          <w:p>
            <w:pPr>
              <w:spacing w:after="0"/>
              <w:rPr>
                <w:sz w:val="18"/>
                <w:szCs w:val="18"/>
                <w:color w:val="auto"/>
              </w:rPr>
            </w:pPr>
          </w:p>
        </w:tc>
      </w:tr>
      <w:tr>
        <w:trPr>
          <w:trHeight w:val="170"/>
        </w:trPr>
        <w:tc>
          <w:tcPr>
            <w:tcW w:w="162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7"/>
                <w:szCs w:val="17"/>
                <w:color w:val="auto"/>
              </w:rPr>
              <w:t>OPAL Earnout</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215"/>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Awards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5,300</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360" w:type="dxa"/>
            <w:vAlign w:val="bottom"/>
          </w:tcPr>
          <w:p>
            <w:pPr>
              <w:spacing w:after="0"/>
              <w:rPr>
                <w:sz w:val="18"/>
                <w:szCs w:val="18"/>
                <w:color w:val="auto"/>
              </w:rPr>
            </w:pPr>
          </w:p>
        </w:tc>
      </w:tr>
      <w:tr>
        <w:trPr>
          <w:trHeight w:val="211"/>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Public Warrants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360" w:type="dxa"/>
            <w:vAlign w:val="bottom"/>
            <w:shd w:val="clear" w:color="auto" w:fill="CCEEFF"/>
          </w:tcPr>
          <w:p>
            <w:pPr>
              <w:spacing w:after="0"/>
              <w:rPr>
                <w:sz w:val="18"/>
                <w:szCs w:val="18"/>
                <w:color w:val="auto"/>
              </w:rPr>
            </w:pPr>
          </w:p>
        </w:tc>
      </w:tr>
      <w:tr>
        <w:trPr>
          <w:trHeight w:val="211"/>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Private Warrants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(5,309)</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360" w:type="dxa"/>
            <w:vAlign w:val="bottom"/>
          </w:tcPr>
          <w:p>
            <w:pPr>
              <w:spacing w:after="0"/>
              <w:rPr>
                <w:sz w:val="18"/>
                <w:szCs w:val="18"/>
                <w:color w:val="auto"/>
              </w:rPr>
            </w:pPr>
          </w:p>
        </w:tc>
      </w:tr>
      <w:tr>
        <w:trPr>
          <w:trHeight w:val="229"/>
        </w:trPr>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440" w:type="dxa"/>
            <w:vAlign w:val="bottom"/>
            <w:tcBorders>
              <w:top w:val="single" w:sz="8" w:color="CCEEFF"/>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Change in fair value of derivative instruments, net</w:t>
            </w: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F-33</w:t>
      </w:r>
    </w:p>
    <w:p>
      <w:pPr>
        <w:sectPr>
          <w:pgSz w:w="11900" w:h="16838" w:orient="portrait"/>
          <w:cols w:equalWidth="0" w:num="1">
            <w:col w:w="11340"/>
          </w:cols>
          <w:pgMar w:left="320" w:top="1440" w:right="239" w:bottom="1440" w:gutter="0" w:footer="0" w:header="0"/>
        </w:sectPr>
      </w:pPr>
    </w:p>
    <w:bookmarkStart w:id="39" w:name="page40"/>
    <w:bookmarkEnd w:id="39"/>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07"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71"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The carrying value of the Company's long-term debt of $82,896 and $134,083 as of September 30, 2022 and December 31, 2021, respectively, represents the total amount to be repaid if the debt has to be discharged in full and therefore approximates its fair value.</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The Company follows ASC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regarding fair value measurements which establishes a three-tier fair value hierarchy and prioritizes the inputs used in valuation techniques that measure fair value. These tiers include:</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Level 1 — defined as observable inputs such as quoted prices for identical instruments in active markets;</w:t>
      </w:r>
    </w:p>
    <w:p>
      <w:pPr>
        <w:spacing w:after="0" w:line="140" w:lineRule="exact"/>
        <w:rPr>
          <w:sz w:val="20"/>
          <w:szCs w:val="20"/>
          <w:color w:val="auto"/>
        </w:rPr>
      </w:pPr>
    </w:p>
    <w:p>
      <w:pPr>
        <w:ind w:left="300"/>
        <w:spacing w:after="0" w:line="268" w:lineRule="auto"/>
        <w:rPr>
          <w:sz w:val="20"/>
          <w:szCs w:val="20"/>
          <w:color w:val="auto"/>
        </w:rPr>
      </w:pPr>
      <w:r>
        <w:rPr>
          <w:rFonts w:ascii="Times New Roman" w:cs="Times New Roman" w:eastAsia="Times New Roman" w:hAnsi="Times New Roman"/>
          <w:sz w:val="17"/>
          <w:szCs w:val="17"/>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Level 3 — defined as unobservable inputs in which little or no market data exists, therefore requiring an entity to develop its own assumptions.</w:t>
      </w:r>
    </w:p>
    <w:p>
      <w:pPr>
        <w:spacing w:after="0" w:line="103"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71" w:lineRule="exact"/>
        <w:rPr>
          <w:sz w:val="20"/>
          <w:szCs w:val="20"/>
          <w:color w:val="auto"/>
        </w:rPr>
      </w:pPr>
    </w:p>
    <w:p>
      <w:pPr>
        <w:jc w:val="both"/>
        <w:ind w:firstLine="298"/>
        <w:spacing w:after="0" w:line="269" w:lineRule="auto"/>
        <w:rPr>
          <w:sz w:val="20"/>
          <w:szCs w:val="20"/>
          <w:color w:val="auto"/>
        </w:rPr>
      </w:pPr>
      <w:r>
        <w:rPr>
          <w:rFonts w:ascii="Times New Roman" w:cs="Times New Roman" w:eastAsia="Times New Roman" w:hAnsi="Times New Roman"/>
          <w:sz w:val="16"/>
          <w:szCs w:val="16"/>
          <w:color w:val="auto"/>
        </w:rPr>
        <w:t>The Company's interest rate swap contracts are valued with pricing models commonly used by the financial services industry using discounted cash flows of forecast future swap settlements based on projected three-month SOFR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assets.</w:t>
      </w:r>
    </w:p>
    <w:p>
      <w:pPr>
        <w:spacing w:after="0" w:line="50" w:lineRule="exact"/>
        <w:rPr>
          <w:sz w:val="20"/>
          <w:szCs w:val="20"/>
          <w:color w:val="auto"/>
        </w:rPr>
      </w:pPr>
    </w:p>
    <w:p>
      <w:pPr>
        <w:jc w:val="both"/>
        <w:ind w:firstLine="298"/>
        <w:spacing w:after="0" w:line="237" w:lineRule="auto"/>
        <w:rPr>
          <w:sz w:val="20"/>
          <w:szCs w:val="20"/>
          <w:color w:val="auto"/>
        </w:rPr>
      </w:pPr>
      <w:r>
        <w:rPr>
          <w:rFonts w:ascii="Times New Roman" w:cs="Times New Roman" w:eastAsia="Times New Roman" w:hAnsi="Times New Roman"/>
          <w:sz w:val="17"/>
          <w:szCs w:val="17"/>
          <w:color w:val="auto"/>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86" w:lineRule="exact"/>
        <w:rPr>
          <w:sz w:val="20"/>
          <w:szCs w:val="20"/>
          <w:color w:val="auto"/>
        </w:rPr>
      </w:pPr>
    </w:p>
    <w:p>
      <w:pPr>
        <w:jc w:val="both"/>
        <w:ind w:firstLine="298"/>
        <w:spacing w:after="0" w:line="264" w:lineRule="auto"/>
        <w:rPr>
          <w:sz w:val="20"/>
          <w:szCs w:val="20"/>
          <w:color w:val="auto"/>
        </w:rPr>
      </w:pPr>
      <w:r>
        <w:rPr>
          <w:rFonts w:ascii="Times New Roman" w:cs="Times New Roman" w:eastAsia="Times New Roman" w:hAnsi="Times New Roman"/>
          <w:sz w:val="16"/>
          <w:szCs w:val="16"/>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68"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The Company's Convertible Note Payable is valued with a discounted cash flow analysis to estimate the present value of the cash outflows associated with the arrangement. A synthetic credit rating model is utilized to estimate the Company's credit rating based on the Company's financial condition and the Company's forecasts and plans with respect to debt service, which is then used as input to perform a comparable yield analysis with similarly rated companies to obtain an</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appropriate discount rate. Other significant inputs include the principal amount, the stated coupon rate, the maturity date of the note and the conversion multiple, all of which are directly observable from the contract. This estimate also requires assumptions and judgements regarding the probability and the timing of the event occurring that would lead to automatic conversion. Certain significant assumptions used to determine the fair value of the convertible note represent Level 3 inputs and can regularly change. As such, the fair value measurement of the convertible note is subject to changes in these unobservable inputs as of the measurement date. A significant increase (decrease) in the discount rate in isolation could result in a significantly lower (higher) fair value measurement. The Company estimated the fair value of the Convertible Note Payable based on discount rates ranging from 7.0% to 7.5%.</w:t>
      </w:r>
    </w:p>
    <w:p>
      <w:pPr>
        <w:spacing w:after="0" w:line="76" w:lineRule="exact"/>
        <w:rPr>
          <w:sz w:val="20"/>
          <w:szCs w:val="20"/>
          <w:color w:val="auto"/>
        </w:rPr>
      </w:pPr>
    </w:p>
    <w:p>
      <w:pPr>
        <w:jc w:val="both"/>
        <w:ind w:firstLine="298"/>
        <w:spacing w:after="0" w:line="252" w:lineRule="auto"/>
        <w:rPr>
          <w:sz w:val="20"/>
          <w:szCs w:val="20"/>
          <w:color w:val="auto"/>
        </w:rPr>
      </w:pPr>
      <w:r>
        <w:rPr>
          <w:rFonts w:ascii="Times New Roman" w:cs="Times New Roman" w:eastAsia="Times New Roman" w:hAnsi="Times New Roman"/>
          <w:sz w:val="17"/>
          <w:szCs w:val="17"/>
          <w:color w:val="auto"/>
        </w:rPr>
        <w:t>The Company accounted for its outstanding warrants by recording its fair value of a liability on the Closing Date of the Business Combination and recording the change in the fair value at the balance sheet date in the condensed consolidated statement of operations. The Company has the option to redeem the warrants at a conversion price of $0.10 per Warrant if the share price exceeds $10 per share and is less than $18 per share. The fair value of the Public Warrants and Private Warrants was based on a 20 day volume weighted average closing price of $9.68.</w:t>
      </w:r>
    </w:p>
    <w:p>
      <w:pPr>
        <w:spacing w:after="0" w:line="74"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The fair value of the Sponsor Earnout Awards as of September 30, 2022 was determined using a Monte Carlo valuation model with a distribution of potential outcomes on a daily basis over the five year post-close period. Assumptions used in the valuation are as follows:</w:t>
      </w:r>
    </w:p>
    <w:p>
      <w:pPr>
        <w:spacing w:after="0" w:line="185" w:lineRule="exact"/>
        <w:rPr>
          <w:sz w:val="20"/>
          <w:szCs w:val="20"/>
          <w:color w:val="auto"/>
        </w:rPr>
      </w:pPr>
    </w:p>
    <w:p>
      <w:pPr>
        <w:ind w:left="640" w:hanging="342"/>
        <w:spacing w:after="0"/>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stock price — The Company's closing stock price of $8.28 as of September 30, 2022;</w:t>
      </w:r>
    </w:p>
    <w:p>
      <w:pPr>
        <w:spacing w:after="0" w:line="8" w:lineRule="exact"/>
        <w:rPr>
          <w:rFonts w:ascii="Times New Roman" w:cs="Times New Roman" w:eastAsia="Times New Roman" w:hAnsi="Times New Roman"/>
          <w:sz w:val="17"/>
          <w:szCs w:val="17"/>
          <w:color w:val="auto"/>
        </w:rPr>
      </w:pPr>
    </w:p>
    <w:p>
      <w:pPr>
        <w:ind w:left="600" w:right="120" w:hanging="302"/>
        <w:spacing w:after="0" w:line="236" w:lineRule="auto"/>
        <w:tabs>
          <w:tab w:leader="none" w:pos="59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volatility —65% based on historical and implied volatilities of selected industry peers deemed to be comparable to our business corresponding to the expected term of the awards;</w:t>
      </w:r>
    </w:p>
    <w:p>
      <w:pPr>
        <w:ind w:left="600" w:right="360" w:hanging="302"/>
        <w:spacing w:after="0" w:line="235" w:lineRule="auto"/>
        <w:tabs>
          <w:tab w:leader="none" w:pos="637"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Risk-free interest rate — 4.1% based on the U.S. Treasury yield curve in effect at the time of issuance for zero-coupon U.S. Treasury notes with maturities corresponding to the expected 4.8 year term of the earnout period;</w:t>
      </w:r>
    </w:p>
    <w:p>
      <w:pPr>
        <w:spacing w:after="0" w:line="1" w:lineRule="exact"/>
        <w:rPr>
          <w:rFonts w:ascii="Times New Roman" w:cs="Times New Roman" w:eastAsia="Times New Roman" w:hAnsi="Times New Roman"/>
          <w:sz w:val="17"/>
          <w:szCs w:val="17"/>
          <w:color w:val="auto"/>
        </w:rPr>
      </w:pPr>
    </w:p>
    <w:p>
      <w:pPr>
        <w:ind w:left="600" w:hanging="302"/>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 yield - zero.</w:t>
      </w:r>
    </w:p>
    <w:p>
      <w:pPr>
        <w:spacing w:after="0" w:line="297"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The fair value of the OPAL Earnout Awards as of September 30, 2022 was determined using a Monte Carlo valuation model with a distribution of potential outcomes for stock price and EBITDA over the 2-year period commencing on January 1, 2023 and ending on December 31, 2024. Assumptions used in the valuation are as follows:</w:t>
      </w:r>
    </w:p>
    <w:p>
      <w:pPr>
        <w:spacing w:after="0" w:line="195" w:lineRule="exact"/>
        <w:rPr>
          <w:sz w:val="20"/>
          <w:szCs w:val="20"/>
          <w:color w:val="auto"/>
        </w:rPr>
      </w:pPr>
    </w:p>
    <w:p>
      <w:pPr>
        <w:ind w:left="640" w:hanging="342"/>
        <w:spacing w:after="0"/>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stock price — The Company's closing stock price of $8.28 as of September 30, 2022;</w:t>
      </w:r>
    </w:p>
    <w:p>
      <w:pPr>
        <w:spacing w:after="0" w:line="8" w:lineRule="exact"/>
        <w:rPr>
          <w:rFonts w:ascii="Times New Roman" w:cs="Times New Roman" w:eastAsia="Times New Roman" w:hAnsi="Times New Roman"/>
          <w:sz w:val="17"/>
          <w:szCs w:val="17"/>
          <w:color w:val="auto"/>
        </w:rPr>
      </w:pPr>
    </w:p>
    <w:p>
      <w:pPr>
        <w:ind w:left="600" w:hanging="302"/>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Weighted average cost of capital - 16% based on an average of historical volatilities of selected industry peers deemed to be comparable to our business.</w:t>
      </w:r>
    </w:p>
    <w:p>
      <w:pPr>
        <w:spacing w:after="0" w:line="2" w:lineRule="exact"/>
        <w:rPr>
          <w:rFonts w:ascii="Times New Roman" w:cs="Times New Roman" w:eastAsia="Times New Roman" w:hAnsi="Times New Roman"/>
          <w:sz w:val="17"/>
          <w:szCs w:val="17"/>
          <w:color w:val="auto"/>
        </w:rPr>
      </w:pPr>
    </w:p>
    <w:p>
      <w:pPr>
        <w:ind w:left="600" w:right="120" w:hanging="302"/>
        <w:spacing w:after="0" w:line="229" w:lineRule="auto"/>
        <w:tabs>
          <w:tab w:leader="none" w:pos="59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volatility —60% based on historical and implied volatilities of selected industry peers deemed to be comparable to our business corresponding to the expected term of the awards;</w:t>
      </w:r>
    </w:p>
    <w:p>
      <w:pPr>
        <w:spacing w:after="0" w:line="1" w:lineRule="exact"/>
        <w:rPr>
          <w:rFonts w:ascii="Times New Roman" w:cs="Times New Roman" w:eastAsia="Times New Roman" w:hAnsi="Times New Roman"/>
          <w:sz w:val="17"/>
          <w:szCs w:val="17"/>
          <w:color w:val="auto"/>
        </w:rPr>
      </w:pPr>
    </w:p>
    <w:p>
      <w:pPr>
        <w:ind w:left="600" w:right="360" w:hanging="302"/>
        <w:spacing w:after="0" w:line="236" w:lineRule="auto"/>
        <w:tabs>
          <w:tab w:leader="none" w:pos="63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Risk-free interest rate — 4.2% based on the U.S. Treasury yield curve in effect at the time of issuance for zero-coupon U.S. Treasury notes with maturities corresponding to the expected 2.2 year term of the earnout period;</w:t>
      </w:r>
    </w:p>
    <w:p>
      <w:pPr>
        <w:ind w:left="600" w:hanging="302"/>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 yield - zero.</w:t>
      </w:r>
    </w:p>
    <w:p>
      <w:pPr>
        <w:spacing w:after="0" w:line="19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The fair value of the Company's put option with Meteora as of September 30, 2022 was determined using a Monte Carlo valuation model with a distribution of potential outcomes on a daily basis over the 6 month post-close period. Assumptions used in the valuation are as follows:</w:t>
      </w:r>
    </w:p>
    <w:p>
      <w:pPr>
        <w:spacing w:after="0" w:line="172" w:lineRule="exact"/>
        <w:rPr>
          <w:sz w:val="20"/>
          <w:szCs w:val="20"/>
          <w:color w:val="auto"/>
        </w:rPr>
      </w:pPr>
    </w:p>
    <w:p>
      <w:pPr>
        <w:ind w:left="640" w:hanging="342"/>
        <w:spacing w:after="0"/>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stock price — The Company's closing stock price of $8.28 as of September 30, 2022;</w:t>
      </w:r>
    </w:p>
    <w:p>
      <w:pPr>
        <w:spacing w:after="0" w:line="8" w:lineRule="exact"/>
        <w:rPr>
          <w:rFonts w:ascii="Times New Roman" w:cs="Times New Roman" w:eastAsia="Times New Roman" w:hAnsi="Times New Roman"/>
          <w:sz w:val="17"/>
          <w:szCs w:val="17"/>
          <w:color w:val="auto"/>
        </w:rPr>
      </w:pPr>
    </w:p>
    <w:p>
      <w:pPr>
        <w:ind w:left="600" w:right="120" w:hanging="302"/>
        <w:spacing w:after="0" w:line="236" w:lineRule="auto"/>
        <w:tabs>
          <w:tab w:leader="none" w:pos="59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volatility —80% based on historical and implied volatilities of selected industry peers deemed to be comparable to our business corresponding to the expected term of the awards;</w:t>
      </w:r>
    </w:p>
    <w:p>
      <w:pPr>
        <w:ind w:left="600" w:right="360" w:hanging="302"/>
        <w:spacing w:after="0" w:line="235" w:lineRule="auto"/>
        <w:tabs>
          <w:tab w:leader="none" w:pos="63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Risk-free interest rate — 3.5% based on the U.S. Treasury yield curve in effect at the time of issuance for zero-coupon U.S. Treasury notes with maturities corresponding to the expected 0.3 year term of the Forward Purchase Agreement ;</w:t>
      </w:r>
    </w:p>
    <w:p>
      <w:pPr>
        <w:spacing w:after="0" w:line="1" w:lineRule="exact"/>
        <w:rPr>
          <w:rFonts w:ascii="Times New Roman" w:cs="Times New Roman" w:eastAsia="Times New Roman" w:hAnsi="Times New Roman"/>
          <w:sz w:val="17"/>
          <w:szCs w:val="17"/>
          <w:color w:val="auto"/>
        </w:rPr>
      </w:pPr>
    </w:p>
    <w:p>
      <w:pPr>
        <w:ind w:left="600" w:hanging="302"/>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 yield - zero.</w:t>
      </w:r>
    </w:p>
    <w:p>
      <w:pPr>
        <w:spacing w:after="0" w:line="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There were no transfers of assets between Level 1, Level 2, or Level 3 of the fair value hierarchy as of September 30, 2022 or December 31, 2021.</w:t>
      </w:r>
    </w:p>
    <w:p>
      <w:pPr>
        <w:spacing w:after="0" w:line="103" w:lineRule="exact"/>
        <w:rPr>
          <w:sz w:val="20"/>
          <w:szCs w:val="20"/>
          <w:color w:val="auto"/>
        </w:rPr>
      </w:pPr>
    </w:p>
    <w:p>
      <w:pPr>
        <w:ind w:right="80" w:firstLine="298"/>
        <w:spacing w:after="0" w:line="268" w:lineRule="auto"/>
        <w:rPr>
          <w:sz w:val="20"/>
          <w:szCs w:val="20"/>
          <w:color w:val="auto"/>
        </w:rPr>
      </w:pPr>
      <w:r>
        <w:rPr>
          <w:rFonts w:ascii="Times New Roman" w:cs="Times New Roman" w:eastAsia="Times New Roman" w:hAnsi="Times New Roman"/>
          <w:sz w:val="17"/>
          <w:szCs w:val="17"/>
          <w:color w:val="auto"/>
        </w:rPr>
        <w:t>The Company's assets and liabilities that are measured at fair value on a recurring basis include the following as of September 30, 2022 and December 31, 2021, set forth by level, within the fair value hierarchy: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gridSpan w:val="6"/>
          </w:tcPr>
          <w:p>
            <w:pPr>
              <w:ind w:left="400"/>
              <w:spacing w:after="0"/>
              <w:rPr>
                <w:sz w:val="20"/>
                <w:szCs w:val="20"/>
                <w:color w:val="auto"/>
              </w:rPr>
            </w:pPr>
            <w:r>
              <w:rPr>
                <w:rFonts w:ascii="Times New Roman" w:cs="Times New Roman" w:eastAsia="Times New Roman" w:hAnsi="Times New Roman"/>
                <w:sz w:val="15"/>
                <w:szCs w:val="15"/>
                <w:b w:val="1"/>
                <w:bCs w:val="1"/>
                <w:color w:val="auto"/>
              </w:rPr>
              <w:t>Fair value as of September 30, 2022</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1"/>
        </w:trPr>
        <w:tc>
          <w:tcPr>
            <w:tcW w:w="50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5000" w:type="dxa"/>
            <w:vAlign w:val="bottom"/>
          </w:tcPr>
          <w:p>
            <w:pPr>
              <w:spacing w:after="0"/>
              <w:rPr>
                <w:sz w:val="16"/>
                <w:szCs w:val="16"/>
                <w:color w:val="auto"/>
              </w:rPr>
            </w:pPr>
          </w:p>
        </w:tc>
        <w:tc>
          <w:tcPr>
            <w:tcW w:w="1120" w:type="dxa"/>
            <w:vAlign w:val="bottom"/>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8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7"/>
        </w:trPr>
        <w:tc>
          <w:tcPr>
            <w:tcW w:w="50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3"/>
        </w:trPr>
        <w:tc>
          <w:tcPr>
            <w:tcW w:w="5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Asset retirement obligation</w:t>
            </w:r>
          </w:p>
        </w:tc>
        <w:tc>
          <w:tcPr>
            <w:tcW w:w="1120" w:type="dxa"/>
            <w:vAlign w:val="bottom"/>
          </w:tcPr>
          <w:p>
            <w:pPr>
              <w:jc w:val="right"/>
              <w:ind w:right="965"/>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86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5,968</w:t>
            </w:r>
          </w:p>
        </w:tc>
        <w:tc>
          <w:tcPr>
            <w:tcW w:w="100" w:type="dxa"/>
            <w:vAlign w:val="bottom"/>
          </w:tcPr>
          <w:p>
            <w:pPr>
              <w:spacing w:after="0"/>
              <w:rPr>
                <w:sz w:val="16"/>
                <w:szCs w:val="16"/>
                <w:color w:val="auto"/>
              </w:rPr>
            </w:pPr>
          </w:p>
        </w:tc>
        <w:tc>
          <w:tcPr>
            <w:tcW w:w="34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5,968</w:t>
            </w:r>
          </w:p>
        </w:tc>
      </w:tr>
      <w:tr>
        <w:trPr>
          <w:trHeight w:val="31"/>
        </w:trPr>
        <w:tc>
          <w:tcPr>
            <w:tcW w:w="5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4"/>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Convertible Note Payable</w:t>
            </w:r>
          </w:p>
        </w:tc>
        <w:tc>
          <w:tcPr>
            <w:tcW w:w="1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27,964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27,964</w:t>
            </w:r>
          </w:p>
        </w:tc>
      </w:tr>
      <w:tr>
        <w:trPr>
          <w:trHeight w:val="193"/>
        </w:trPr>
        <w:tc>
          <w:tcPr>
            <w:tcW w:w="5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Put option with Meteora</w:t>
            </w:r>
          </w:p>
        </w:tc>
        <w:tc>
          <w:tcPr>
            <w:tcW w:w="1120" w:type="dxa"/>
            <w:vAlign w:val="bottom"/>
          </w:tcPr>
          <w:p>
            <w:pPr>
              <w:spacing w:after="0"/>
              <w:rPr>
                <w:sz w:val="16"/>
                <w:szCs w:val="16"/>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4,216</w:t>
            </w:r>
          </w:p>
        </w:tc>
      </w:tr>
      <w:tr>
        <w:trPr>
          <w:trHeight w:val="31"/>
        </w:trPr>
        <w:tc>
          <w:tcPr>
            <w:tcW w:w="5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4"/>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swaps</w:t>
            </w:r>
          </w:p>
        </w:tc>
        <w:tc>
          <w:tcPr>
            <w:tcW w:w="1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93"/>
        </w:trPr>
        <w:tc>
          <w:tcPr>
            <w:tcW w:w="5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Commodity swap contracts</w:t>
            </w:r>
          </w:p>
        </w:tc>
        <w:tc>
          <w:tcPr>
            <w:tcW w:w="1120" w:type="dxa"/>
            <w:vAlign w:val="bottom"/>
          </w:tcPr>
          <w:p>
            <w:pPr>
              <w:spacing w:after="0"/>
              <w:rPr>
                <w:sz w:val="16"/>
                <w:szCs w:val="16"/>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w:t>
            </w:r>
          </w:p>
        </w:tc>
      </w:tr>
      <w:tr>
        <w:trPr>
          <w:trHeight w:val="31"/>
        </w:trPr>
        <w:tc>
          <w:tcPr>
            <w:tcW w:w="5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4"/>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Derivative warrant liabilities</w:t>
            </w:r>
          </w:p>
        </w:tc>
        <w:tc>
          <w:tcPr>
            <w:tcW w:w="1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22,410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22,410</w:t>
            </w:r>
          </w:p>
        </w:tc>
      </w:tr>
      <w:tr>
        <w:trPr>
          <w:trHeight w:val="193"/>
        </w:trPr>
        <w:tc>
          <w:tcPr>
            <w:tcW w:w="5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Earnout liabilities</w:t>
            </w:r>
          </w:p>
        </w:tc>
        <w:tc>
          <w:tcPr>
            <w:tcW w:w="1120" w:type="dxa"/>
            <w:vAlign w:val="bottom"/>
          </w:tcPr>
          <w:p>
            <w:pPr>
              <w:spacing w:after="0"/>
              <w:rPr>
                <w:sz w:val="16"/>
                <w:szCs w:val="16"/>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39,500</w:t>
            </w:r>
          </w:p>
        </w:tc>
      </w:tr>
      <w:tr>
        <w:trPr>
          <w:trHeight w:val="31"/>
        </w:trPr>
        <w:tc>
          <w:tcPr>
            <w:tcW w:w="5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4"/>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Assets:</w:t>
            </w:r>
          </w:p>
        </w:tc>
        <w:tc>
          <w:tcPr>
            <w:tcW w:w="1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3"/>
        </w:trPr>
        <w:tc>
          <w:tcPr>
            <w:tcW w:w="5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Swaption</w:t>
            </w:r>
          </w:p>
        </w:tc>
        <w:tc>
          <w:tcPr>
            <w:tcW w:w="1120" w:type="dxa"/>
            <w:vAlign w:val="bottom"/>
          </w:tcPr>
          <w:p>
            <w:pPr>
              <w:spacing w:after="0"/>
              <w:rPr>
                <w:sz w:val="16"/>
                <w:szCs w:val="16"/>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r>
      <w:tr>
        <w:trPr>
          <w:trHeight w:val="31"/>
        </w:trPr>
        <w:tc>
          <w:tcPr>
            <w:tcW w:w="5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swaps</w:t>
            </w:r>
          </w:p>
        </w:tc>
        <w:tc>
          <w:tcPr>
            <w:tcW w:w="1120" w:type="dxa"/>
            <w:vAlign w:val="bottom"/>
            <w:shd w:val="clear" w:color="auto" w:fill="CCEEFF"/>
          </w:tcPr>
          <w:p>
            <w:pPr>
              <w:jc w:val="right"/>
              <w:ind w:right="965"/>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1,189</w:t>
            </w:r>
          </w:p>
        </w:tc>
      </w:tr>
      <w:tr>
        <w:trPr>
          <w:trHeight w:val="31"/>
        </w:trPr>
        <w:tc>
          <w:tcPr>
            <w:tcW w:w="50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gridSpan w:val="6"/>
          </w:tcPr>
          <w:p>
            <w:pPr>
              <w:ind w:left="440"/>
              <w:spacing w:after="0"/>
              <w:rPr>
                <w:sz w:val="20"/>
                <w:szCs w:val="20"/>
                <w:color w:val="auto"/>
              </w:rPr>
            </w:pPr>
            <w:r>
              <w:rPr>
                <w:rFonts w:ascii="Times New Roman" w:cs="Times New Roman" w:eastAsia="Times New Roman" w:hAnsi="Times New Roman"/>
                <w:sz w:val="15"/>
                <w:szCs w:val="15"/>
                <w:b w:val="1"/>
                <w:bCs w:val="1"/>
                <w:color w:val="auto"/>
              </w:rPr>
              <w:t>Fair value as of December 31, 2021</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1"/>
        </w:trPr>
        <w:tc>
          <w:tcPr>
            <w:tcW w:w="50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5000" w:type="dxa"/>
            <w:vAlign w:val="bottom"/>
          </w:tcPr>
          <w:p>
            <w:pPr>
              <w:spacing w:after="0"/>
              <w:rPr>
                <w:sz w:val="16"/>
                <w:szCs w:val="16"/>
                <w:color w:val="auto"/>
              </w:rPr>
            </w:pPr>
          </w:p>
        </w:tc>
        <w:tc>
          <w:tcPr>
            <w:tcW w:w="1120" w:type="dxa"/>
            <w:vAlign w:val="bottom"/>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ind w:left="52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8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7"/>
        </w:trPr>
        <w:tc>
          <w:tcPr>
            <w:tcW w:w="50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3"/>
        </w:trPr>
        <w:tc>
          <w:tcPr>
            <w:tcW w:w="5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Asset retirement obligation</w:t>
            </w:r>
          </w:p>
        </w:tc>
        <w:tc>
          <w:tcPr>
            <w:tcW w:w="1120" w:type="dxa"/>
            <w:vAlign w:val="bottom"/>
          </w:tcPr>
          <w:p>
            <w:pPr>
              <w:jc w:val="right"/>
              <w:ind w:right="965"/>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   $</w:t>
            </w:r>
          </w:p>
        </w:tc>
        <w:tc>
          <w:tcPr>
            <w:tcW w:w="82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5,738</w:t>
            </w:r>
          </w:p>
        </w:tc>
        <w:tc>
          <w:tcPr>
            <w:tcW w:w="100" w:type="dxa"/>
            <w:vAlign w:val="bottom"/>
          </w:tcPr>
          <w:p>
            <w:pPr>
              <w:spacing w:after="0"/>
              <w:rPr>
                <w:sz w:val="16"/>
                <w:szCs w:val="16"/>
                <w:color w:val="auto"/>
              </w:rPr>
            </w:pPr>
          </w:p>
        </w:tc>
        <w:tc>
          <w:tcPr>
            <w:tcW w:w="34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5,738</w:t>
            </w:r>
          </w:p>
        </w:tc>
      </w:tr>
      <w:tr>
        <w:trPr>
          <w:trHeight w:val="31"/>
        </w:trPr>
        <w:tc>
          <w:tcPr>
            <w:tcW w:w="5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4"/>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Contingent consideration on acquisition of non-controlling interest</w:t>
            </w:r>
          </w:p>
        </w:tc>
        <w:tc>
          <w:tcPr>
            <w:tcW w:w="11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4,456</w:t>
            </w:r>
          </w:p>
        </w:tc>
      </w:tr>
      <w:tr>
        <w:trPr>
          <w:trHeight w:val="193"/>
        </w:trPr>
        <w:tc>
          <w:tcPr>
            <w:tcW w:w="5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Convertible Note Payable</w:t>
            </w:r>
          </w:p>
        </w:tc>
        <w:tc>
          <w:tcPr>
            <w:tcW w:w="1120" w:type="dxa"/>
            <w:vAlign w:val="bottom"/>
          </w:tcPr>
          <w:p>
            <w:pPr>
              <w:spacing w:after="0"/>
              <w:rPr>
                <w:sz w:val="16"/>
                <w:szCs w:val="16"/>
                <w:color w:val="auto"/>
              </w:rPr>
            </w:pPr>
          </w:p>
        </w:tc>
        <w:tc>
          <w:tcPr>
            <w:tcW w:w="154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58,710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58,710</w:t>
            </w:r>
          </w:p>
        </w:tc>
      </w:tr>
      <w:tr>
        <w:trPr>
          <w:trHeight w:val="31"/>
        </w:trPr>
        <w:tc>
          <w:tcPr>
            <w:tcW w:w="5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4"/>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swap</w:t>
            </w:r>
          </w:p>
        </w:tc>
        <w:tc>
          <w:tcPr>
            <w:tcW w:w="11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992</w:t>
            </w:r>
          </w:p>
        </w:tc>
      </w:tr>
      <w:tr>
        <w:trPr>
          <w:trHeight w:val="193"/>
        </w:trPr>
        <w:tc>
          <w:tcPr>
            <w:tcW w:w="5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1"/>
        </w:trPr>
        <w:tc>
          <w:tcPr>
            <w:tcW w:w="5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Commodity swap contracts</w:t>
            </w:r>
          </w:p>
        </w:tc>
        <w:tc>
          <w:tcPr>
            <w:tcW w:w="112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w:t>
            </w:r>
          </w:p>
        </w:tc>
      </w:tr>
      <w:tr>
        <w:trPr>
          <w:trHeight w:val="31"/>
        </w:trPr>
        <w:tc>
          <w:tcPr>
            <w:tcW w:w="50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A summary of changes in the fair values of the Company’s Level 3 instruments, attributable to asset retirement obligations, for the three and nine months ended September 30, 2022 is included in Note 2,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Related Parties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Related parties are represented by the Ultimate Parent and other affiliates, subsidiaries and other entities under common control with the Ultimate Parent.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Capital contributions and distribution from and to members</w:t>
      </w:r>
    </w:p>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During the nine months ended September 30, 2022 and 2021, the Company received contributions from its Ultimate Parent of $0 and $7,919, respectively.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Additionally, the Company made distributions to its Ultimate Parent of $0 and $3,695 for the nine months ended September 30, 2022 and 2021,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 of non-controlling interests to Related Parties</w:t>
      </w:r>
    </w:p>
    <w:p>
      <w:pPr>
        <w:spacing w:after="0" w:line="142" w:lineRule="exact"/>
        <w:rPr>
          <w:sz w:val="20"/>
          <w:szCs w:val="20"/>
          <w:color w:val="auto"/>
        </w:rPr>
      </w:pPr>
    </w:p>
    <w:p>
      <w:pPr>
        <w:jc w:val="both"/>
        <w:ind w:firstLine="298"/>
        <w:spacing w:after="0" w:line="250" w:lineRule="auto"/>
        <w:rPr>
          <w:sz w:val="20"/>
          <w:szCs w:val="20"/>
          <w:color w:val="auto"/>
        </w:rPr>
      </w:pPr>
      <w:r>
        <w:rPr>
          <w:rFonts w:ascii="Times New Roman" w:cs="Times New Roman" w:eastAsia="Times New Roman" w:hAnsi="Times New Roman"/>
          <w:sz w:val="17"/>
          <w:szCs w:val="17"/>
          <w:color w:val="auto"/>
        </w:rPr>
        <w:t xml:space="preserve">On November 29, 2021, as part of an exchange agreement, OPAL Fuels issued 14 newly authorized common units and 300,000 Series A-1 preferred units to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paid-in-kind preferred dividend of $2,658 and $5,093 for the three and nine months ended September 30, 2022. Please see Note 13, </w:t>
      </w:r>
      <w:r>
        <w:rPr>
          <w:rFonts w:ascii="Times New Roman" w:cs="Times New Roman" w:eastAsia="Times New Roman" w:hAnsi="Times New Roman"/>
          <w:sz w:val="17"/>
          <w:szCs w:val="17"/>
          <w:i w:val="1"/>
          <w:iCs w:val="1"/>
          <w:color w:val="auto"/>
        </w:rPr>
        <w:t>Redeemable Preferred Units and Equity,</w:t>
      </w:r>
      <w:r>
        <w:rPr>
          <w:rFonts w:ascii="Times New Roman" w:cs="Times New Roman" w:eastAsia="Times New Roman" w:hAnsi="Times New Roman"/>
          <w:sz w:val="17"/>
          <w:szCs w:val="17"/>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Purchase of investments from Related Parties</w:t>
      </w:r>
    </w:p>
    <w:p>
      <w:pPr>
        <w:spacing w:after="0" w:line="142" w:lineRule="exact"/>
        <w:rPr>
          <w:sz w:val="20"/>
          <w:szCs w:val="20"/>
          <w:color w:val="auto"/>
        </w:rPr>
      </w:pPr>
    </w:p>
    <w:p>
      <w:pPr>
        <w:jc w:val="both"/>
        <w:ind w:firstLine="298"/>
        <w:spacing w:after="0" w:line="250" w:lineRule="auto"/>
        <w:rPr>
          <w:sz w:val="20"/>
          <w:szCs w:val="20"/>
          <w:color w:val="auto"/>
        </w:rPr>
      </w:pPr>
      <w:r>
        <w:rPr>
          <w:rFonts w:ascii="Times New Roman" w:cs="Times New Roman" w:eastAsia="Times New Roman" w:hAnsi="Times New Roman"/>
          <w:sz w:val="17"/>
          <w:szCs w:val="17"/>
          <w:color w:val="auto"/>
        </w:rPr>
        <w:t>In August 2021, the Company acquired a 100% of the ownership interests in Reynolds, an RNG production facility for $12,020 which was funded with cash on hand. Reynolds held an equity investment of 1,570 Class B units in GREP representing 20% interest for a cash consideration of $1,570 which owns 50% of Biotown, a power generation facility under development to convert to an RNG facility. The Reynolds transaction was an asset acquisition from an affiliate under common control. The Company accounts for its 20% equity investment in GREP under the equity method. The Company recorded an income of $3034 and $2,478 as its share of net income for the three months and nine months ended September 30, 2022 and increased its investment in GREP as of September 30,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contracts with Related Parties</w:t>
      </w:r>
    </w:p>
    <w:p>
      <w:pPr>
        <w:spacing w:after="0" w:line="130" w:lineRule="exact"/>
        <w:rPr>
          <w:sz w:val="20"/>
          <w:szCs w:val="20"/>
          <w:color w:val="auto"/>
        </w:rPr>
      </w:pPr>
    </w:p>
    <w:p>
      <w:pPr>
        <w:jc w:val="both"/>
        <w:ind w:firstLine="298"/>
        <w:spacing w:after="0" w:line="247" w:lineRule="auto"/>
        <w:rPr>
          <w:sz w:val="20"/>
          <w:szCs w:val="20"/>
          <w:color w:val="auto"/>
        </w:rPr>
      </w:pPr>
      <w:r>
        <w:rPr>
          <w:rFonts w:ascii="Times New Roman" w:cs="Times New Roman" w:eastAsia="Times New Roman" w:hAnsi="Times New Roman"/>
          <w:sz w:val="17"/>
          <w:szCs w:val="17"/>
          <w:color w:val="auto"/>
        </w:rPr>
        <w:t>In June 2020, Fuel Station Services, an indirect wholly-owned subsidiary of the Company, contracted with Beacon to dispense Beacon’s RNG and to generate and market the resulting RINs created on behalf of Beacon. The term of this contract runs from September 1, 2020 through October 31, 2030. The Company receives non-cash consideration in the form of RINs or LCFSs for providing these services and recognizes the RINs or LCFSs received as inventory based on their estimated fair value at contract inception. During 2021, the Company acquired the remaining interests in Beacon. Therefore, all environmental fees earned are eliminated in the condensed consolidated statements of operations for the three and nine months ended September 30, 2022. During 2021, the Company accounted for Beacon under equity method for the period between January 1, 2021 and April 30, 2021 and consolidated Beacon for the remaining part of the year. Therefore, all environmental fees earned after May 1, 2021 are eliminated in the condensed consolidated statement of operations. For the period between January 1, 2021 and April 30, 2021, the company earned environmental processing fees of $632, net of intersegment elimination.</w:t>
      </w:r>
    </w:p>
    <w:p>
      <w:pPr>
        <w:spacing w:after="0" w:line="118" w:lineRule="exact"/>
        <w:rPr>
          <w:sz w:val="20"/>
          <w:szCs w:val="20"/>
          <w:color w:val="auto"/>
        </w:rPr>
      </w:pPr>
    </w:p>
    <w:p>
      <w:pPr>
        <w:jc w:val="both"/>
        <w:ind w:firstLine="298"/>
        <w:spacing w:after="0" w:line="249" w:lineRule="auto"/>
        <w:rPr>
          <w:sz w:val="20"/>
          <w:szCs w:val="20"/>
          <w:color w:val="auto"/>
        </w:rPr>
      </w:pPr>
      <w:r>
        <w:rPr>
          <w:rFonts w:ascii="Times New Roman" w:cs="Times New Roman" w:eastAsia="Times New Roman" w:hAnsi="Times New Roman"/>
          <w:sz w:val="17"/>
          <w:szCs w:val="17"/>
          <w:color w:val="auto"/>
        </w:rPr>
        <w:t>In March 2021, Fuel Station Services, contracted with Noble Road to dispense Noble Road's RNG and to generate and market the resulting RINs created on behalf of Noble Road The term of this contract run from November 1, 2021 through June 30, 2032. The Company receives non-cash consideration in the form of RINs or LCFSs for providing these services and recognizes the RINs or LCFSs received as inventory based on their estimated fair value at contract inception. The facility came online in the first quarter of 2022. For the three and nine months ended September 30, 2022, the Company earned environmental processing fees of $80 and $322, net of intersegment elimination, under this agreement which are included in Fuel Station Services revenues in the condensed consolidated statements of operations. For the three and nine months ended September 30, 2021, the Company earned $0, net of intersegment elimination under this agreement.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 agreements with Related Parties</w:t>
      </w:r>
    </w:p>
    <w:p>
      <w:pPr>
        <w:spacing w:after="0" w:line="142" w:lineRule="exact"/>
        <w:rPr>
          <w:sz w:val="20"/>
          <w:szCs w:val="20"/>
          <w:color w:val="auto"/>
        </w:rPr>
      </w:pPr>
    </w:p>
    <w:p>
      <w:pPr>
        <w:jc w:val="both"/>
        <w:ind w:firstLine="298"/>
        <w:spacing w:after="0" w:line="248" w:lineRule="auto"/>
        <w:rPr>
          <w:sz w:val="20"/>
          <w:szCs w:val="20"/>
          <w:color w:val="auto"/>
        </w:rPr>
      </w:pPr>
      <w:r>
        <w:rPr>
          <w:rFonts w:ascii="Times New Roman" w:cs="Times New Roman" w:eastAsia="Times New Roman" w:hAnsi="Times New Roman"/>
          <w:sz w:val="17"/>
          <w:szCs w:val="17"/>
          <w:color w:val="auto"/>
        </w:rPr>
        <w:t>On December 31, 2020, OPAL Fuels signed a management, operations, and maintenance services agreement (“Administrative Services Agreement”) with Fortistar LLC ("Fortistar"), pursuant to which Fortistar provides management, operations, and maintenance services to the Company. The agreement expires on December 31, 2023, unless termination occurs earlier due to dissolution of the Company or the agreement is terminated by the Company’s secured lenders in certain circumstances. The agreement provides for payment of service fees based on actual time 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three and nine months ended September 30, 2022 and 2021, there have been no material services provided by the Company's employees to Fortistar.</w:t>
      </w:r>
    </w:p>
    <w:p>
      <w:pPr>
        <w:spacing w:after="0" w:line="140" w:lineRule="exact"/>
        <w:rPr>
          <w:sz w:val="20"/>
          <w:szCs w:val="20"/>
          <w:color w:val="auto"/>
        </w:rPr>
      </w:pPr>
    </w:p>
    <w:p>
      <w:pPr>
        <w:jc w:val="both"/>
        <w:ind w:firstLine="298"/>
        <w:spacing w:after="0" w:line="250" w:lineRule="auto"/>
        <w:rPr>
          <w:sz w:val="20"/>
          <w:szCs w:val="20"/>
          <w:color w:val="auto"/>
        </w:rPr>
      </w:pPr>
      <w:r>
        <w:rPr>
          <w:rFonts w:ascii="Times New Roman" w:cs="Times New Roman" w:eastAsia="Times New Roman" w:hAnsi="Times New Roman"/>
          <w:sz w:val="17"/>
          <w:szCs w:val="17"/>
          <w:color w:val="auto"/>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it is terminated by the Company’s secured lenders in certain circumstances.</w:t>
      </w:r>
    </w:p>
    <w:p>
      <w:pPr>
        <w:spacing w:after="0" w:line="113"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The following table summarizes the various fees recorded under the agreements described above which are included in "Selling, general, and administrative" expenses except for $1,518 incurred as transaction costs for the Business Combination recorded in additional paid-in capital and $26 recorded as Deferred financing costs as of September 30, 2022:</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ectPr>
          <w:pgSz w:w="11900" w:h="16838" w:orient="portrait"/>
          <w:cols w:equalWidth="0" w:num="1">
            <w:col w:w="11240"/>
          </w:cols>
          <w:pgMar w:left="320" w:top="1440" w:right="339" w:bottom="1440" w:gutter="0" w:footer="0" w:header="0"/>
        </w:sectPr>
      </w:pPr>
    </w:p>
    <w:bookmarkStart w:id="43" w:name="page44"/>
    <w:bookmarkEnd w:id="43"/>
    <w:p>
      <w:pPr>
        <w:spacing w:after="0" w:line="59" w:lineRule="exact"/>
        <w:rPr>
          <w:sz w:val="20"/>
          <w:szCs w:val="20"/>
          <w:color w:val="auto"/>
        </w:rPr>
      </w:pPr>
    </w:p>
    <w:tbl>
      <w:tblPr>
        <w:tblLayout w:type="fixed"/>
        <w:tblInd w:w="400" w:type="dxa"/>
        <w:tblCellMar>
          <w:top w:w="0" w:type="dxa"/>
          <w:left w:w="0" w:type="dxa"/>
          <w:bottom w:w="0" w:type="dxa"/>
          <w:right w:w="0" w:type="dxa"/>
        </w:tblCellMar>
      </w:tblPr>
      <w:tr>
        <w:trPr>
          <w:trHeight w:val="219"/>
        </w:trPr>
        <w:tc>
          <w:tcPr>
            <w:tcW w:w="3260" w:type="dxa"/>
            <w:vAlign w:val="bottom"/>
          </w:tcPr>
          <w:p>
            <w:pPr>
              <w:spacing w:after="0"/>
              <w:rPr>
                <w:sz w:val="19"/>
                <w:szCs w:val="19"/>
                <w:color w:val="auto"/>
              </w:rPr>
            </w:pPr>
          </w:p>
        </w:tc>
        <w:tc>
          <w:tcPr>
            <w:tcW w:w="2780" w:type="dxa"/>
            <w:vAlign w:val="bottom"/>
            <w:gridSpan w:val="6"/>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20" w:type="dxa"/>
            <w:vAlign w:val="bottom"/>
          </w:tcPr>
          <w:p>
            <w:pPr>
              <w:spacing w:after="0"/>
              <w:rPr>
                <w:sz w:val="19"/>
                <w:szCs w:val="19"/>
                <w:color w:val="auto"/>
              </w:rPr>
            </w:pPr>
          </w:p>
        </w:tc>
        <w:tc>
          <w:tcPr>
            <w:tcW w:w="2900" w:type="dxa"/>
            <w:vAlign w:val="bottom"/>
            <w:gridSpan w:val="4"/>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04"/>
        </w:trPr>
        <w:tc>
          <w:tcPr>
            <w:tcW w:w="326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Staffing and management services</w:t>
            </w:r>
          </w:p>
        </w:tc>
        <w:tc>
          <w:tcPr>
            <w:tcW w:w="82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6,054</w:t>
            </w:r>
          </w:p>
        </w:tc>
      </w:tr>
      <w:tr>
        <w:trPr>
          <w:trHeight w:val="211"/>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 - fixed compensation</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r>
      <w:tr>
        <w:trPr>
          <w:trHeight w:val="211"/>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IT services</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20" w:type="dxa"/>
            <w:vAlign w:val="bottom"/>
            <w:tcBorders>
              <w:top w:val="single" w:sz="8" w:color="auto"/>
              <w:bottom w:val="single" w:sz="8" w:color="auto"/>
            </w:tcBorders>
          </w:tcPr>
          <w:p>
            <w:pPr>
              <w:jc w:val="right"/>
              <w:ind w:right="63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1,382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6,489</w:t>
            </w:r>
          </w:p>
        </w:tc>
      </w:tr>
      <w:tr>
        <w:trPr>
          <w:trHeight w:val="20"/>
        </w:trPr>
        <w:tc>
          <w:tcPr>
            <w:tcW w:w="3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of September 30, 2022 and December 31, 2021, the Company had Accounts payable, related party in the amounts of $489 and $166,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Reportable Segments and Geographic Information</w:t>
      </w:r>
    </w:p>
    <w:p>
      <w:pPr>
        <w:spacing w:after="0" w:line="144" w:lineRule="exact"/>
        <w:rPr>
          <w:sz w:val="20"/>
          <w:szCs w:val="20"/>
          <w:color w:val="auto"/>
        </w:rPr>
      </w:pPr>
    </w:p>
    <w:p>
      <w:pPr>
        <w:jc w:val="both"/>
        <w:ind w:firstLine="298"/>
        <w:spacing w:after="0" w:line="252" w:lineRule="auto"/>
        <w:rPr>
          <w:sz w:val="20"/>
          <w:szCs w:val="20"/>
          <w:color w:val="auto"/>
        </w:rPr>
      </w:pPr>
      <w:r>
        <w:rPr>
          <w:rFonts w:ascii="Times New Roman" w:cs="Times New Roman" w:eastAsia="Times New Roman" w:hAnsi="Times New Roman"/>
          <w:sz w:val="17"/>
          <w:szCs w:val="17"/>
          <w:color w:val="auto"/>
        </w:rPr>
        <w:t>The Company is organized into four operating segments based on the characteristics of its renewable power generation, dispensing portfolio, and the nature of other products and services. During the second quarter of 2022, the Company changed its' internal reporting to its executive leadership team ("Chief Operating Decision Makers"). 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w:t>
      </w:r>
    </w:p>
    <w:p>
      <w:pPr>
        <w:spacing w:after="0" w:line="95" w:lineRule="exact"/>
        <w:rPr>
          <w:sz w:val="20"/>
          <w:szCs w:val="20"/>
          <w:color w:val="auto"/>
        </w:rPr>
      </w:pPr>
    </w:p>
    <w:p>
      <w:pPr>
        <w:ind w:left="740" w:hanging="442"/>
        <w:spacing w:after="0" w:line="215" w:lineRule="auto"/>
        <w:tabs>
          <w:tab w:leader="none" w:pos="735" w:val="left"/>
        </w:tabs>
        <w:numPr>
          <w:ilvl w:val="0"/>
          <w:numId w:val="18"/>
        </w:numPr>
        <w:rPr>
          <w:rFonts w:ascii="Arial" w:cs="Arial" w:eastAsia="Arial" w:hAnsi="Arial"/>
          <w:sz w:val="20"/>
          <w:szCs w:val="20"/>
          <w:color w:val="auto"/>
        </w:rPr>
      </w:pPr>
      <w:r>
        <w:rPr>
          <w:rFonts w:ascii="Times New Roman" w:cs="Times New Roman" w:eastAsia="Times New Roman" w:hAnsi="Times New Roman"/>
          <w:sz w:val="17"/>
          <w:szCs w:val="17"/>
          <w:b w:val="1"/>
          <w:bCs w:val="1"/>
          <w:color w:val="auto"/>
        </w:rPr>
        <w:t xml:space="preserve">RNG Fuel. </w:t>
      </w:r>
      <w:r>
        <w:rPr>
          <w:rFonts w:ascii="Times New Roman" w:cs="Times New Roman" w:eastAsia="Times New Roman" w:hAnsi="Times New Roman"/>
          <w:sz w:val="17"/>
          <w:szCs w:val="17"/>
          <w:color w:val="auto"/>
        </w:rPr>
        <w:t>The RNG Fuel segment relates to all RNG supply and dispensing activities directly related to the generation and sale of brown gas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environmental credits, and consists of</w:t>
      </w:r>
    </w:p>
    <w:p>
      <w:pPr>
        <w:spacing w:after="0" w:line="1" w:lineRule="exact"/>
        <w:rPr>
          <w:rFonts w:ascii="Arial" w:cs="Arial" w:eastAsia="Arial" w:hAnsi="Arial"/>
          <w:sz w:val="20"/>
          <w:szCs w:val="20"/>
          <w:color w:val="auto"/>
        </w:rPr>
      </w:pPr>
    </w:p>
    <w:p>
      <w:pPr>
        <w:ind w:left="1340" w:right="420" w:hanging="446"/>
        <w:spacing w:after="0" w:line="228" w:lineRule="auto"/>
        <w:tabs>
          <w:tab w:leader="none" w:pos="133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and construction – RNG facilities in which long term gas right contracts have been, or are in the process of being ratified and the construction of RNG generation facilities.</w:t>
      </w:r>
    </w:p>
    <w:p>
      <w:pPr>
        <w:spacing w:after="0" w:line="1" w:lineRule="exact"/>
        <w:rPr>
          <w:rFonts w:ascii="Times New Roman" w:cs="Times New Roman" w:eastAsia="Times New Roman" w:hAnsi="Times New Roman"/>
          <w:sz w:val="17"/>
          <w:szCs w:val="17"/>
          <w:color w:val="auto"/>
        </w:rPr>
      </w:pPr>
    </w:p>
    <w:p>
      <w:pPr>
        <w:ind w:left="1340" w:hanging="446"/>
        <w:spacing w:after="0" w:line="228" w:lineRule="auto"/>
        <w:tabs>
          <w:tab w:leader="none" w:pos="13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RNG supply operating facilities – This includes the generation, extraction, and sale of RNG - plus associated RINs and LCFSs from landfills.</w:t>
      </w:r>
    </w:p>
    <w:p>
      <w:pPr>
        <w:jc w:val="both"/>
        <w:ind w:left="1340" w:hanging="446"/>
        <w:spacing w:after="0" w:line="233" w:lineRule="auto"/>
        <w:tabs>
          <w:tab w:leader="none" w:pos="133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RNG and CNG fuel dispensing stations for vehicle fleets - This includes both dispensing/sale of brown gas and the environmental credit generation and monetization. The Company operates Fueling Stations that dispense gas for vehicles. This also includes the development and construction of these facilities.</w:t>
      </w:r>
    </w:p>
    <w:p>
      <w:pPr>
        <w:spacing w:after="0" w:line="84" w:lineRule="exact"/>
        <w:rPr>
          <w:sz w:val="20"/>
          <w:szCs w:val="20"/>
          <w:color w:val="auto"/>
        </w:rPr>
      </w:pPr>
    </w:p>
    <w:p>
      <w:pPr>
        <w:jc w:val="both"/>
        <w:ind w:left="600" w:firstLine="374"/>
        <w:spacing w:after="0" w:line="248" w:lineRule="auto"/>
        <w:rPr>
          <w:sz w:val="20"/>
          <w:szCs w:val="20"/>
          <w:color w:val="auto"/>
        </w:rPr>
      </w:pPr>
      <w:r>
        <w:rPr>
          <w:rFonts w:ascii="Times New Roman" w:cs="Times New Roman" w:eastAsia="Times New Roman" w:hAnsi="Times New Roman"/>
          <w:sz w:val="17"/>
          <w:szCs w:val="17"/>
          <w:color w:val="auto"/>
        </w:rPr>
        <w:t>For the three and nine months ended September 30, 2022, the Company has accounted for its interests in Pine Bend, Reynolds and Noble Road under the equity method of accounting and the results of operations of Beacon, New River, Central Valley, Emerald, Sapphire and Sunoma were consolidated in its condensed consolidated statement of operations. The Company has accounted for its interest in Beacon under the equity method of accounting for the period between January 1, 2021 and April 30, 2021 and had consolidated for the period between May 1, 2021 and September 30, 2021. The results of operations of Noble Road, Pine Bend, Sunoma and Beacon for the period between January 1, 2021 and September 30, 2021 were consolidated in its condensed consolidated statement of operations. As of September 30, 2022, Central Valley, Emerald, and Sapphire are not operational. Sunoma became operational in December 2021, Noble Road in January 2022, Pine Bend in September 2022 and New River in April 2022.</w:t>
      </w:r>
    </w:p>
    <w:p>
      <w:pPr>
        <w:spacing w:after="0" w:line="111" w:lineRule="exact"/>
        <w:rPr>
          <w:sz w:val="20"/>
          <w:szCs w:val="20"/>
          <w:color w:val="auto"/>
        </w:rPr>
      </w:pPr>
    </w:p>
    <w:p>
      <w:pPr>
        <w:ind w:left="740" w:hanging="442"/>
        <w:spacing w:after="0" w:line="273" w:lineRule="auto"/>
        <w:tabs>
          <w:tab w:leader="none" w:pos="7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Fuel Station Services. </w:t>
      </w:r>
      <w:r>
        <w:rPr>
          <w:rFonts w:ascii="Times New Roman" w:cs="Times New Roman" w:eastAsia="Times New Roman" w:hAnsi="Times New Roman"/>
          <w:sz w:val="17"/>
          <w:szCs w:val="17"/>
          <w:color w:val="auto"/>
        </w:rPr>
        <w:t>Through its Fuel Station Services segment</w:t>
      </w:r>
      <w:r>
        <w:rPr>
          <w:rFonts w:ascii="Times New Roman" w:cs="Times New Roman" w:eastAsia="Times New Roman" w:hAnsi="Times New Roman"/>
          <w:sz w:val="17"/>
          <w:szCs w:val="17"/>
          <w:b w:val="1"/>
          <w:bCs w:val="1"/>
          <w:color w:val="auto"/>
        </w:rPr>
        <w:t>, t</w:t>
      </w:r>
      <w:r>
        <w:rPr>
          <w:rFonts w:ascii="Times New Roman" w:cs="Times New Roman" w:eastAsia="Times New Roman" w:hAnsi="Times New Roman"/>
          <w:sz w:val="17"/>
          <w:szCs w:val="17"/>
          <w:color w:val="auto"/>
        </w:rPr>
        <w:t>he Company provides construction and maintenance services to third-party owners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vehicle Fueling Stations. This segment includes:</w:t>
      </w:r>
    </w:p>
    <w:p>
      <w:pPr>
        <w:spacing w:after="0" w:line="68" w:lineRule="exact"/>
        <w:rPr>
          <w:rFonts w:ascii="Times New Roman" w:cs="Times New Roman" w:eastAsia="Times New Roman" w:hAnsi="Times New Roman"/>
          <w:sz w:val="17"/>
          <w:szCs w:val="17"/>
          <w:color w:val="auto"/>
        </w:rPr>
      </w:pPr>
    </w:p>
    <w:p>
      <w:pPr>
        <w:ind w:left="1340" w:hanging="446"/>
        <w:spacing w:after="0" w:line="246" w:lineRule="auto"/>
        <w:tabs>
          <w:tab w:leader="none" w:pos="1361"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and maintenance contracts for RNG/CNG fueling sites. Includes a manufacturing division that builds Compact Fueling Systems and Defueling systems.</w:t>
      </w:r>
    </w:p>
    <w:p>
      <w:pPr>
        <w:spacing w:after="0" w:line="1" w:lineRule="exact"/>
        <w:rPr>
          <w:rFonts w:ascii="Times New Roman" w:cs="Times New Roman" w:eastAsia="Times New Roman" w:hAnsi="Times New Roman"/>
          <w:sz w:val="17"/>
          <w:szCs w:val="17"/>
          <w:color w:val="auto"/>
        </w:rPr>
      </w:pPr>
    </w:p>
    <w:p>
      <w:pPr>
        <w:ind w:left="1340" w:hanging="446"/>
        <w:spacing w:after="0" w:line="236" w:lineRule="auto"/>
        <w:tabs>
          <w:tab w:leader="none" w:pos="133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Party CNG Construction of Fueling Stations - Design/build and serve as general contractor for typically Guarantee Maximum Price or fixed priced contracts for customers typically lasting less than one year.</w:t>
      </w:r>
    </w:p>
    <w:p>
      <w:pPr>
        <w:spacing w:after="0" w:line="203" w:lineRule="exact"/>
        <w:rPr>
          <w:rFonts w:ascii="Times New Roman" w:cs="Times New Roman" w:eastAsia="Times New Roman" w:hAnsi="Times New Roman"/>
          <w:sz w:val="17"/>
          <w:szCs w:val="17"/>
          <w:color w:val="auto"/>
        </w:rPr>
      </w:pPr>
    </w:p>
    <w:p>
      <w:pPr>
        <w:ind w:left="740" w:hanging="442"/>
        <w:spacing w:after="0" w:line="289" w:lineRule="auto"/>
        <w:tabs>
          <w:tab w:leader="none" w:pos="73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Renewable Power Portfolio. </w:t>
      </w:r>
      <w:r>
        <w:rPr>
          <w:rFonts w:ascii="Times New Roman" w:cs="Times New Roman" w:eastAsia="Times New Roman" w:hAnsi="Times New Roman"/>
          <w:sz w:val="16"/>
          <w:szCs w:val="16"/>
          <w:color w:val="auto"/>
        </w:rPr>
        <w:t>The Renewable Power portfolio segment generates renewable power through methane-rich landfills and digester gas collection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systems which is then sold to public utilities throughout the United States. The Renewable Power portfolio operates primarily in Southern California.</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2" w:lineRule="exact"/>
        <w:rPr>
          <w:sz w:val="20"/>
          <w:szCs w:val="20"/>
          <w:color w:val="auto"/>
        </w:rPr>
      </w:pPr>
    </w:p>
    <w:p>
      <w:pPr>
        <w:ind w:left="741" w:hanging="442"/>
        <w:spacing w:after="0"/>
        <w:tabs>
          <w:tab w:leader="none" w:pos="741"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Corporate. </w:t>
      </w:r>
      <w:r>
        <w:rPr>
          <w:rFonts w:ascii="Times New Roman" w:cs="Times New Roman" w:eastAsia="Times New Roman" w:hAnsi="Times New Roman"/>
          <w:sz w:val="17"/>
          <w:szCs w:val="17"/>
          <w:color w:val="auto"/>
        </w:rPr>
        <w:t>This segment consists of activities managed and maintained at the Company corporate level primarily including but not limited to:</w:t>
      </w:r>
    </w:p>
    <w:p>
      <w:pPr>
        <w:ind w:left="1341" w:hanging="446"/>
        <w:spacing w:after="0" w:line="228" w:lineRule="auto"/>
        <w:tabs>
          <w:tab w:leader="none" w:pos="134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accounting, finance, sales activities such as: payroll, stock compensation expense, travel and other related costs.</w:t>
      </w:r>
    </w:p>
    <w:p>
      <w:pPr>
        <w:ind w:left="1341" w:hanging="446"/>
        <w:spacing w:after="0"/>
        <w:tabs>
          <w:tab w:leader="none" w:pos="134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professional fees (audit, tax, legal etc.).</w:t>
      </w:r>
    </w:p>
    <w:p>
      <w:pPr>
        <w:spacing w:after="0" w:line="122" w:lineRule="exact"/>
        <w:rPr>
          <w:sz w:val="20"/>
          <w:szCs w:val="20"/>
          <w:color w:val="auto"/>
        </w:rPr>
      </w:pPr>
    </w:p>
    <w:p>
      <w:pPr>
        <w:jc w:val="both"/>
        <w:ind w:left="1" w:firstLine="298"/>
        <w:spacing w:after="0" w:line="256" w:lineRule="auto"/>
        <w:rPr>
          <w:sz w:val="20"/>
          <w:szCs w:val="20"/>
          <w:color w:val="auto"/>
        </w:rPr>
      </w:pPr>
      <w:r>
        <w:rPr>
          <w:rFonts w:ascii="Times New Roman" w:cs="Times New Roman" w:eastAsia="Times New Roman" w:hAnsi="Times New Roman"/>
          <w:sz w:val="17"/>
          <w:szCs w:val="17"/>
          <w:color w:val="auto"/>
        </w:rPr>
        <w:t>The Company has determined that each of the four operating segments meets the characteristics of a reportable segment under U.S. GAAP. The Company's activities and assets that are not associated with the four reportable segments are summarized in the "Other" category below. These include corporate investment income, interest income and interest expense, income tax expense, and other non-allocated costs.</w:t>
      </w:r>
    </w:p>
    <w:p>
      <w:pPr>
        <w:spacing w:after="0" w:line="183" w:lineRule="exact"/>
        <w:rPr>
          <w:sz w:val="20"/>
          <w:szCs w:val="20"/>
          <w:color w:val="auto"/>
        </w:rPr>
      </w:pPr>
    </w:p>
    <w:tbl>
      <w:tblPr>
        <w:tblLayout w:type="fixed"/>
        <w:tblInd w:w="301"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880" w:type="dxa"/>
            <w:vAlign w:val="bottom"/>
          </w:tcPr>
          <w:p>
            <w:pPr>
              <w:spacing w:after="0"/>
              <w:rPr>
                <w:sz w:val="16"/>
                <w:szCs w:val="16"/>
                <w:color w:val="auto"/>
              </w:rPr>
            </w:pPr>
          </w:p>
        </w:tc>
      </w:tr>
      <w:tr>
        <w:trPr>
          <w:trHeight w:val="207"/>
        </w:trPr>
        <w:tc>
          <w:tcPr>
            <w:tcW w:w="3720" w:type="dxa"/>
            <w:vAlign w:val="bottom"/>
          </w:tcPr>
          <w:p>
            <w:pPr>
              <w:spacing w:after="0"/>
              <w:rPr>
                <w:sz w:val="18"/>
                <w:szCs w:val="18"/>
                <w:color w:val="auto"/>
              </w:rPr>
            </w:pPr>
          </w:p>
        </w:tc>
        <w:tc>
          <w:tcPr>
            <w:tcW w:w="2720" w:type="dxa"/>
            <w:vAlign w:val="bottom"/>
            <w:gridSpan w:val="6"/>
          </w:tcPr>
          <w:p>
            <w:pPr>
              <w:ind w:left="1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40" w:type="dxa"/>
            <w:vAlign w:val="bottom"/>
          </w:tcPr>
          <w:p>
            <w:pPr>
              <w:spacing w:after="0"/>
              <w:rPr>
                <w:sz w:val="18"/>
                <w:szCs w:val="18"/>
                <w:color w:val="auto"/>
              </w:rPr>
            </w:pPr>
          </w:p>
        </w:tc>
        <w:tc>
          <w:tcPr>
            <w:tcW w:w="1840" w:type="dxa"/>
            <w:vAlign w:val="bottom"/>
            <w:gridSpan w:val="3"/>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80" w:type="dxa"/>
            <w:vAlign w:val="bottom"/>
          </w:tcPr>
          <w:p>
            <w:pPr>
              <w:spacing w:after="0"/>
              <w:rPr>
                <w:sz w:val="18"/>
                <w:szCs w:val="18"/>
                <w:color w:val="auto"/>
              </w:rPr>
            </w:pPr>
          </w:p>
        </w:tc>
      </w:tr>
      <w:tr>
        <w:trPr>
          <w:trHeight w:val="197"/>
        </w:trPr>
        <w:tc>
          <w:tcPr>
            <w:tcW w:w="372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w w:val="93"/>
              </w:rPr>
              <w:t>2021</w:t>
            </w:r>
          </w:p>
        </w:tc>
      </w:tr>
      <w:tr>
        <w:trPr>
          <w:trHeight w:val="27"/>
        </w:trPr>
        <w:tc>
          <w:tcPr>
            <w:tcW w:w="3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93"/>
        </w:trPr>
        <w:tc>
          <w:tcPr>
            <w:tcW w:w="37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Renewable Power</w:t>
            </w:r>
          </w:p>
        </w:tc>
        <w:tc>
          <w:tcPr>
            <w:tcW w:w="920" w:type="dxa"/>
            <w:vAlign w:val="bottom"/>
          </w:tcPr>
          <w:p>
            <w:pPr>
              <w:jc w:val="right"/>
              <w:ind w:right="74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49,247</w:t>
            </w:r>
          </w:p>
        </w:tc>
        <w:tc>
          <w:tcPr>
            <w:tcW w:w="10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11,351</w:t>
            </w:r>
          </w:p>
        </w:tc>
        <w:tc>
          <w:tcPr>
            <w:tcW w:w="120" w:type="dxa"/>
            <w:vAlign w:val="bottom"/>
          </w:tcPr>
          <w:p>
            <w:pPr>
              <w:spacing w:after="0"/>
              <w:rPr>
                <w:sz w:val="16"/>
                <w:szCs w:val="16"/>
                <w:color w:val="auto"/>
              </w:rPr>
            </w:pPr>
          </w:p>
        </w:tc>
        <w:tc>
          <w:tcPr>
            <w:tcW w:w="34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69,335</w:t>
            </w:r>
          </w:p>
        </w:tc>
        <w:tc>
          <w:tcPr>
            <w:tcW w:w="100" w:type="dxa"/>
            <w:vAlign w:val="bottom"/>
          </w:tcPr>
          <w:p>
            <w:pPr>
              <w:spacing w:after="0"/>
              <w:rPr>
                <w:sz w:val="16"/>
                <w:szCs w:val="16"/>
                <w:color w:val="auto"/>
              </w:rPr>
            </w:pPr>
          </w:p>
        </w:tc>
        <w:tc>
          <w:tcPr>
            <w:tcW w:w="600" w:type="dxa"/>
            <w:vAlign w:val="bottom"/>
          </w:tcPr>
          <w:p>
            <w:pPr>
              <w:jc w:val="right"/>
              <w:ind w:right="42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33,672</w:t>
            </w:r>
          </w:p>
        </w:tc>
      </w:tr>
      <w:tr>
        <w:trPr>
          <w:trHeight w:val="31"/>
        </w:trPr>
        <w:tc>
          <w:tcPr>
            <w:tcW w:w="3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4"/>
        </w:trPr>
        <w:tc>
          <w:tcPr>
            <w:tcW w:w="3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RNG Fuel</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38,682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20,106</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98,157</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55,009</w:t>
            </w:r>
          </w:p>
        </w:tc>
      </w:tr>
      <w:tr>
        <w:trPr>
          <w:trHeight w:val="193"/>
        </w:trPr>
        <w:tc>
          <w:tcPr>
            <w:tcW w:w="37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Fuel Station Services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18,383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56,448</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35,560</w:t>
            </w:r>
          </w:p>
        </w:tc>
      </w:tr>
      <w:tr>
        <w:trPr>
          <w:trHeight w:val="31"/>
        </w:trPr>
        <w:tc>
          <w:tcPr>
            <w:tcW w:w="3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4"/>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19"/>
                <w:szCs w:val="19"/>
                <w:color w:val="auto"/>
                <w:vertAlign w:val="superscript"/>
              </w:rPr>
              <w:t>(1)</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193"/>
        </w:trPr>
        <w:tc>
          <w:tcPr>
            <w:tcW w:w="37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Intersegment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(8,172)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(5,147)</w:t>
            </w:r>
          </w:p>
        </w:tc>
      </w:tr>
      <w:tr>
        <w:trPr>
          <w:trHeight w:val="31"/>
        </w:trPr>
        <w:tc>
          <w:tcPr>
            <w:tcW w:w="3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4"/>
        </w:trPr>
        <w:tc>
          <w:tcPr>
            <w:tcW w:w="3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Equity Method Investment(s)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(42,158)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(47,247)</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(14,181)</w:t>
            </w:r>
          </w:p>
        </w:tc>
      </w:tr>
      <w:tr>
        <w:trPr>
          <w:trHeight w:val="186"/>
        </w:trPr>
        <w:tc>
          <w:tcPr>
            <w:tcW w:w="3720" w:type="dxa"/>
            <w:vAlign w:val="bottom"/>
          </w:tcPr>
          <w:p>
            <w:pPr>
              <w:spacing w:after="0"/>
              <w:rPr>
                <w:sz w:val="16"/>
                <w:szCs w:val="16"/>
                <w:color w:val="auto"/>
              </w:rPr>
            </w:pPr>
          </w:p>
        </w:tc>
        <w:tc>
          <w:tcPr>
            <w:tcW w:w="920" w:type="dxa"/>
            <w:vAlign w:val="bottom"/>
            <w:tcBorders>
              <w:top w:val="single" w:sz="8" w:color="auto"/>
            </w:tcBorders>
          </w:tcPr>
          <w:p>
            <w:pPr>
              <w:jc w:val="right"/>
              <w:ind w:right="74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66,550</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47,184</w:t>
            </w:r>
          </w:p>
        </w:tc>
        <w:tc>
          <w:tcPr>
            <w:tcW w:w="120" w:type="dxa"/>
            <w:vAlign w:val="bottom"/>
          </w:tcPr>
          <w:p>
            <w:pPr>
              <w:spacing w:after="0"/>
              <w:rPr>
                <w:sz w:val="16"/>
                <w:szCs w:val="16"/>
                <w:color w:val="auto"/>
              </w:rPr>
            </w:pPr>
          </w:p>
        </w:tc>
        <w:tc>
          <w:tcPr>
            <w:tcW w:w="340" w:type="dxa"/>
            <w:vAlign w:val="bottom"/>
            <w:tcBorders>
              <w:top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168,814</w:t>
            </w:r>
          </w:p>
        </w:tc>
        <w:tc>
          <w:tcPr>
            <w:tcW w:w="100" w:type="dxa"/>
            <w:vAlign w:val="bottom"/>
          </w:tcPr>
          <w:p>
            <w:pPr>
              <w:spacing w:after="0"/>
              <w:rPr>
                <w:sz w:val="16"/>
                <w:szCs w:val="16"/>
                <w:color w:val="auto"/>
              </w:rPr>
            </w:pPr>
          </w:p>
        </w:tc>
        <w:tc>
          <w:tcPr>
            <w:tcW w:w="600" w:type="dxa"/>
            <w:vAlign w:val="bottom"/>
            <w:tcBorders>
              <w:top w:val="single" w:sz="8" w:color="auto"/>
            </w:tcBorders>
          </w:tcPr>
          <w:p>
            <w:pPr>
              <w:jc w:val="right"/>
              <w:ind w:right="42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104,968</w:t>
            </w:r>
          </w:p>
        </w:tc>
      </w:tr>
      <w:tr>
        <w:trPr>
          <w:trHeight w:val="31"/>
        </w:trPr>
        <w:tc>
          <w:tcPr>
            <w:tcW w:w="3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____________</w:t>
      </w:r>
    </w:p>
    <w:p>
      <w:pPr>
        <w:spacing w:after="0" w:line="37" w:lineRule="exact"/>
        <w:rPr>
          <w:sz w:val="20"/>
          <w:szCs w:val="20"/>
          <w:color w:val="auto"/>
        </w:rPr>
      </w:pPr>
    </w:p>
    <w:p>
      <w:pPr>
        <w:ind w:left="141" w:hanging="141"/>
        <w:spacing w:after="0"/>
        <w:tabs>
          <w:tab w:leader="none" w:pos="141"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includes revenues of Fortistar Contracting LLC.</w:t>
      </w:r>
    </w:p>
    <w:p>
      <w:pPr>
        <w:spacing w:after="0" w:line="201" w:lineRule="exact"/>
        <w:rPr>
          <w:sz w:val="20"/>
          <w:szCs w:val="20"/>
          <w:color w:val="auto"/>
        </w:rPr>
      </w:pPr>
    </w:p>
    <w:tbl>
      <w:tblPr>
        <w:tblLayout w:type="fixed"/>
        <w:tblInd w:w="1" w:type="dxa"/>
        <w:tblCellMar>
          <w:top w:w="0" w:type="dxa"/>
          <w:left w:w="0" w:type="dxa"/>
          <w:bottom w:w="0" w:type="dxa"/>
          <w:right w:w="0" w:type="dxa"/>
        </w:tblCellMar>
      </w:tblPr>
      <w:tr>
        <w:trPr>
          <w:trHeight w:val="174"/>
        </w:trPr>
        <w:tc>
          <w:tcPr>
            <w:tcW w:w="3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900" w:type="dxa"/>
            <w:vAlign w:val="bottom"/>
          </w:tcPr>
          <w:p>
            <w:pPr>
              <w:spacing w:after="0"/>
              <w:rPr>
                <w:sz w:val="15"/>
                <w:szCs w:val="15"/>
                <w:color w:val="auto"/>
              </w:rPr>
            </w:pPr>
          </w:p>
        </w:tc>
      </w:tr>
      <w:tr>
        <w:trPr>
          <w:trHeight w:val="220"/>
        </w:trPr>
        <w:tc>
          <w:tcPr>
            <w:tcW w:w="3140" w:type="dxa"/>
            <w:vAlign w:val="bottom"/>
          </w:tcPr>
          <w:p>
            <w:pPr>
              <w:spacing w:after="0"/>
              <w:rPr>
                <w:sz w:val="19"/>
                <w:szCs w:val="19"/>
                <w:color w:val="auto"/>
              </w:rPr>
            </w:pPr>
          </w:p>
        </w:tc>
        <w:tc>
          <w:tcPr>
            <w:tcW w:w="2760" w:type="dxa"/>
            <w:vAlign w:val="bottom"/>
            <w:gridSpan w:val="6"/>
          </w:tcPr>
          <w:p>
            <w:pPr>
              <w:ind w:left="1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40" w:type="dxa"/>
            <w:vAlign w:val="bottom"/>
          </w:tcPr>
          <w:p>
            <w:pPr>
              <w:spacing w:after="0"/>
              <w:rPr>
                <w:sz w:val="19"/>
                <w:szCs w:val="19"/>
                <w:color w:val="auto"/>
              </w:rPr>
            </w:pPr>
          </w:p>
        </w:tc>
        <w:tc>
          <w:tcPr>
            <w:tcW w:w="1820" w:type="dxa"/>
            <w:vAlign w:val="bottom"/>
            <w:gridSpan w:val="3"/>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00" w:type="dxa"/>
            <w:vAlign w:val="bottom"/>
          </w:tcPr>
          <w:p>
            <w:pPr>
              <w:spacing w:after="0"/>
              <w:rPr>
                <w:sz w:val="19"/>
                <w:szCs w:val="19"/>
                <w:color w:val="auto"/>
              </w:rPr>
            </w:pPr>
          </w:p>
        </w:tc>
      </w:tr>
      <w:tr>
        <w:trPr>
          <w:trHeight w:val="197"/>
        </w:trPr>
        <w:tc>
          <w:tcPr>
            <w:tcW w:w="314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w w:val="99"/>
              </w:rPr>
              <w:t>2021</w:t>
            </w:r>
          </w:p>
        </w:tc>
      </w:tr>
      <w:tr>
        <w:trPr>
          <w:trHeight w:val="27"/>
        </w:trPr>
        <w:tc>
          <w:tcPr>
            <w:tcW w:w="3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and Financing Expense, Net:</w:t>
            </w:r>
          </w:p>
        </w:tc>
        <w:tc>
          <w:tcPr>
            <w:tcW w:w="9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193"/>
        </w:trPr>
        <w:tc>
          <w:tcPr>
            <w:tcW w:w="31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Renewable Power</w:t>
            </w:r>
          </w:p>
        </w:tc>
        <w:tc>
          <w:tcPr>
            <w:tcW w:w="940" w:type="dxa"/>
            <w:vAlign w:val="bottom"/>
          </w:tcPr>
          <w:p>
            <w:pPr>
              <w:jc w:val="right"/>
              <w:ind w:right="785"/>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(1,440)</w:t>
            </w:r>
          </w:p>
        </w:tc>
        <w:tc>
          <w:tcPr>
            <w:tcW w:w="10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(1,043)</w:t>
            </w:r>
          </w:p>
        </w:tc>
        <w:tc>
          <w:tcPr>
            <w:tcW w:w="120" w:type="dxa"/>
            <w:vAlign w:val="bottom"/>
          </w:tcPr>
          <w:p>
            <w:pPr>
              <w:spacing w:after="0"/>
              <w:rPr>
                <w:sz w:val="16"/>
                <w:szCs w:val="16"/>
                <w:color w:val="auto"/>
              </w:rPr>
            </w:pPr>
          </w:p>
        </w:tc>
        <w:tc>
          <w:tcPr>
            <w:tcW w:w="34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(3,559)</w:t>
            </w:r>
          </w:p>
        </w:tc>
        <w:tc>
          <w:tcPr>
            <w:tcW w:w="100" w:type="dxa"/>
            <w:vAlign w:val="bottom"/>
          </w:tcPr>
          <w:p>
            <w:pPr>
              <w:spacing w:after="0"/>
              <w:rPr>
                <w:sz w:val="16"/>
                <w:szCs w:val="16"/>
                <w:color w:val="auto"/>
              </w:rPr>
            </w:pPr>
          </w:p>
        </w:tc>
        <w:tc>
          <w:tcPr>
            <w:tcW w:w="580" w:type="dxa"/>
            <w:vAlign w:val="bottom"/>
          </w:tcPr>
          <w:p>
            <w:pPr>
              <w:jc w:val="right"/>
              <w:ind w:right="40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(3,113)</w:t>
            </w:r>
          </w:p>
        </w:tc>
      </w:tr>
      <w:tr>
        <w:trPr>
          <w:trHeight w:val="31"/>
        </w:trPr>
        <w:tc>
          <w:tcPr>
            <w:tcW w:w="3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4"/>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RNG Fuel</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21"/>
        </w:trPr>
        <w:tc>
          <w:tcPr>
            <w:tcW w:w="3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Corporate</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(3,385)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5"/>
                <w:szCs w:val="15"/>
                <w:color w:val="auto"/>
                <w:w w:val="95"/>
              </w:rPr>
              <w:t>(2,522)</w:t>
            </w:r>
          </w:p>
        </w:tc>
      </w:tr>
      <w:tr>
        <w:trPr>
          <w:trHeight w:val="244"/>
        </w:trPr>
        <w:tc>
          <w:tcPr>
            <w:tcW w:w="3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85"/>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0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(5,659)</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____________</w:t>
      </w:r>
    </w:p>
    <w:p>
      <w:pPr>
        <w:spacing w:after="0" w:line="200" w:lineRule="exact"/>
        <w:rPr>
          <w:sz w:val="20"/>
          <w:szCs w:val="20"/>
          <w:color w:val="auto"/>
        </w:rPr>
      </w:pPr>
    </w:p>
    <w:p>
      <w:pPr>
        <w:spacing w:after="0" w:line="320" w:lineRule="exact"/>
        <w:rPr>
          <w:sz w:val="20"/>
          <w:szCs w:val="20"/>
          <w:color w:val="auto"/>
        </w:rPr>
      </w:pPr>
    </w:p>
    <w:tbl>
      <w:tblPr>
        <w:tblLayout w:type="fixed"/>
        <w:tblInd w:w="1"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2240" w:type="dxa"/>
            <w:vAlign w:val="bottom"/>
            <w:gridSpan w:val="6"/>
          </w:tcPr>
          <w:p>
            <w:pPr>
              <w:ind w:left="40"/>
              <w:spacing w:after="0"/>
              <w:rPr>
                <w:sz w:val="20"/>
                <w:szCs w:val="20"/>
                <w:color w:val="auto"/>
              </w:rPr>
            </w:pPr>
            <w:r>
              <w:rPr>
                <w:rFonts w:ascii="Times New Roman" w:cs="Times New Roman" w:eastAsia="Times New Roman" w:hAnsi="Times New Roman"/>
                <w:sz w:val="15"/>
                <w:szCs w:val="15"/>
                <w:b w:val="1"/>
                <w:bCs w:val="1"/>
                <w:color w:val="auto"/>
              </w:rPr>
              <w:t>Three Months Ended September</w:t>
            </w:r>
          </w:p>
        </w:tc>
        <w:tc>
          <w:tcPr>
            <w:tcW w:w="320" w:type="dxa"/>
            <w:vAlign w:val="bottom"/>
          </w:tcPr>
          <w:p>
            <w:pPr>
              <w:spacing w:after="0"/>
              <w:rPr>
                <w:sz w:val="15"/>
                <w:szCs w:val="15"/>
                <w:color w:val="auto"/>
              </w:rPr>
            </w:pPr>
          </w:p>
        </w:tc>
        <w:tc>
          <w:tcPr>
            <w:tcW w:w="2640" w:type="dxa"/>
            <w:vAlign w:val="bottom"/>
            <w:gridSpan w:val="4"/>
          </w:tcPr>
          <w:p>
            <w:pPr>
              <w:jc w:val="right"/>
              <w:ind w:right="765"/>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97"/>
        </w:trPr>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30,</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3"/>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40" w:type="dxa"/>
            <w:vAlign w:val="bottom"/>
          </w:tcPr>
          <w:p>
            <w:pPr>
              <w:spacing w:after="0"/>
              <w:rPr>
                <w:sz w:val="17"/>
                <w:szCs w:val="17"/>
                <w:color w:val="auto"/>
              </w:rPr>
            </w:pPr>
          </w:p>
        </w:tc>
      </w:tr>
      <w:tr>
        <w:trPr>
          <w:trHeight w:val="31"/>
        </w:trPr>
        <w:tc>
          <w:tcPr>
            <w:tcW w:w="3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85"/>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7"/>
        </w:trPr>
        <w:tc>
          <w:tcPr>
            <w:tcW w:w="3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Depreciation, Amortization, and Accretion:</w:t>
            </w: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93"/>
        </w:trPr>
        <w:tc>
          <w:tcPr>
            <w:tcW w:w="36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Renewable Power</w:t>
            </w: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1,176</w:t>
            </w:r>
          </w:p>
        </w:tc>
        <w:tc>
          <w:tcPr>
            <w:tcW w:w="10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1,268</w:t>
            </w:r>
          </w:p>
        </w:tc>
        <w:tc>
          <w:tcPr>
            <w:tcW w:w="100" w:type="dxa"/>
            <w:vAlign w:val="bottom"/>
          </w:tcPr>
          <w:p>
            <w:pPr>
              <w:spacing w:after="0"/>
              <w:rPr>
                <w:sz w:val="16"/>
                <w:szCs w:val="16"/>
                <w:color w:val="auto"/>
              </w:rPr>
            </w:pPr>
          </w:p>
        </w:tc>
        <w:tc>
          <w:tcPr>
            <w:tcW w:w="32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4,283</w:t>
            </w:r>
          </w:p>
        </w:tc>
        <w:tc>
          <w:tcPr>
            <w:tcW w:w="120" w:type="dxa"/>
            <w:vAlign w:val="bottom"/>
          </w:tcPr>
          <w:p>
            <w:pPr>
              <w:spacing w:after="0"/>
              <w:rPr>
                <w:sz w:val="16"/>
                <w:szCs w:val="16"/>
                <w:color w:val="auto"/>
              </w:rPr>
            </w:pPr>
          </w:p>
        </w:tc>
        <w:tc>
          <w:tcPr>
            <w:tcW w:w="480" w:type="dxa"/>
            <w:vAlign w:val="bottom"/>
          </w:tcPr>
          <w:p>
            <w:pPr>
              <w:jc w:val="right"/>
              <w:ind w:right="3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3,735</w:t>
            </w:r>
          </w:p>
        </w:tc>
      </w:tr>
      <w:tr>
        <w:trPr>
          <w:trHeight w:val="31"/>
        </w:trPr>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4"/>
        </w:trPr>
        <w:tc>
          <w:tcPr>
            <w:tcW w:w="3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RNG Fuel</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6,379</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3,584</w:t>
            </w:r>
          </w:p>
        </w:tc>
      </w:tr>
      <w:tr>
        <w:trPr>
          <w:trHeight w:val="193"/>
        </w:trPr>
        <w:tc>
          <w:tcPr>
            <w:tcW w:w="36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Fuel Station Services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w:t>
            </w:r>
          </w:p>
        </w:tc>
      </w:tr>
      <w:tr>
        <w:trPr>
          <w:trHeight w:val="31"/>
        </w:trPr>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4"/>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19"/>
                <w:szCs w:val="19"/>
                <w:color w:val="auto"/>
                <w:vertAlign w:val="superscript"/>
              </w:rPr>
              <w:t>(1)</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r>
      <w:tr>
        <w:trPr>
          <w:trHeight w:val="193"/>
        </w:trPr>
        <w:tc>
          <w:tcPr>
            <w:tcW w:w="36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Equity Method Investment(s)</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(1,059)</w:t>
            </w:r>
          </w:p>
        </w:tc>
      </w:tr>
      <w:tr>
        <w:trPr>
          <w:trHeight w:val="31"/>
        </w:trPr>
        <w:tc>
          <w:tcPr>
            <w:tcW w:w="3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1"/>
        </w:trPr>
        <w:tc>
          <w:tcPr>
            <w:tcW w:w="36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2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6,672</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401" w:hanging="301"/>
        <w:spacing w:after="0"/>
        <w:tabs>
          <w:tab w:leader="none" w:pos="401"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includes amortization of intangible assets and depreciation expense not allocated to any segment.</w:t>
      </w:r>
    </w:p>
    <w:p>
      <w:pPr>
        <w:spacing w:after="0" w:line="200" w:lineRule="exact"/>
        <w:rPr>
          <w:rFonts w:ascii="Times New Roman" w:cs="Times New Roman" w:eastAsia="Times New Roman" w:hAnsi="Times New Roman"/>
          <w:sz w:val="15"/>
          <w:szCs w:val="15"/>
          <w:color w:val="auto"/>
        </w:rPr>
      </w:pPr>
    </w:p>
    <w:p>
      <w:pPr>
        <w:spacing w:after="0" w:line="294" w:lineRule="exact"/>
        <w:rPr>
          <w:rFonts w:ascii="Times New Roman" w:cs="Times New Roman" w:eastAsia="Times New Roman" w:hAnsi="Times New Roman"/>
          <w:sz w:val="15"/>
          <w:szCs w:val="15"/>
          <w:color w:val="auto"/>
        </w:rPr>
      </w:pPr>
    </w:p>
    <w:p>
      <w:pPr>
        <w:ind w:left="5461"/>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F-39</w:t>
      </w:r>
    </w:p>
    <w:p>
      <w:pPr>
        <w:sectPr>
          <w:pgSz w:w="11900" w:h="16838" w:orient="portrait"/>
          <w:cols w:equalWidth="0" w:num="1">
            <w:col w:w="11241"/>
          </w:cols>
          <w:pgMar w:left="319" w:top="1440" w:right="339" w:bottom="1440" w:gutter="0" w:footer="0" w:header="0"/>
        </w:sectPr>
      </w:pPr>
    </w:p>
    <w:bookmarkStart w:id="45" w:name="page46"/>
    <w:bookmarkEnd w:id="45"/>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Three Months Ended September</w:t>
            </w:r>
          </w:p>
        </w:tc>
        <w:tc>
          <w:tcPr>
            <w:tcW w:w="32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880" w:type="dxa"/>
            <w:vAlign w:val="bottom"/>
          </w:tcPr>
          <w:p>
            <w:pPr>
              <w:spacing w:after="0"/>
              <w:rPr>
                <w:sz w:val="15"/>
                <w:szCs w:val="15"/>
                <w:color w:val="auto"/>
              </w:rPr>
            </w:pPr>
          </w:p>
        </w:tc>
      </w:tr>
      <w:tr>
        <w:trPr>
          <w:trHeight w:val="197"/>
        </w:trPr>
        <w:tc>
          <w:tcPr>
            <w:tcW w:w="5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w w:val="85"/>
              </w:rPr>
              <w:t>30,</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gridSpan w:val="3"/>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80" w:type="dxa"/>
            <w:vAlign w:val="bottom"/>
          </w:tcPr>
          <w:p>
            <w:pPr>
              <w:spacing w:after="0"/>
              <w:rPr>
                <w:sz w:val="17"/>
                <w:szCs w:val="17"/>
                <w:color w:val="auto"/>
              </w:rPr>
            </w:pPr>
          </w:p>
        </w:tc>
      </w:tr>
      <w:tr>
        <w:trPr>
          <w:trHeight w:val="31"/>
        </w:trPr>
        <w:tc>
          <w:tcPr>
            <w:tcW w:w="5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w w:val="93"/>
              </w:rPr>
              <w:t>2021</w:t>
            </w:r>
          </w:p>
        </w:tc>
      </w:tr>
      <w:tr>
        <w:trPr>
          <w:trHeight w:val="27"/>
        </w:trPr>
        <w:tc>
          <w:tcPr>
            <w:tcW w:w="5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230"/>
        </w:trPr>
        <w:tc>
          <w:tcPr>
            <w:tcW w:w="51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Renewable Power</w:t>
            </w:r>
          </w:p>
        </w:tc>
        <w:tc>
          <w:tcPr>
            <w:tcW w:w="1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(1,676)</w:t>
            </w:r>
          </w:p>
        </w:tc>
        <w:tc>
          <w:tcPr>
            <w:tcW w:w="100" w:type="dxa"/>
            <w:vAlign w:val="bottom"/>
          </w:tcPr>
          <w:p>
            <w:pPr>
              <w:spacing w:after="0"/>
              <w:rPr>
                <w:sz w:val="20"/>
                <w:szCs w:val="20"/>
                <w:color w:val="auto"/>
              </w:rPr>
            </w:pPr>
          </w:p>
        </w:tc>
        <w:tc>
          <w:tcPr>
            <w:tcW w:w="32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(1,071)</w:t>
            </w:r>
          </w:p>
        </w:tc>
        <w:tc>
          <w:tcPr>
            <w:tcW w:w="120" w:type="dxa"/>
            <w:vAlign w:val="bottom"/>
          </w:tcPr>
          <w:p>
            <w:pPr>
              <w:spacing w:after="0"/>
              <w:rPr>
                <w:sz w:val="20"/>
                <w:szCs w:val="20"/>
                <w:color w:val="auto"/>
              </w:rPr>
            </w:pPr>
          </w:p>
        </w:tc>
        <w:tc>
          <w:tcPr>
            <w:tcW w:w="580" w:type="dxa"/>
            <w:vAlign w:val="bottom"/>
          </w:tcPr>
          <w:p>
            <w:pPr>
              <w:jc w:val="right"/>
              <w:ind w:right="42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(6,526)</w:t>
            </w:r>
          </w:p>
        </w:tc>
      </w:tr>
      <w:tr>
        <w:trPr>
          <w:trHeight w:val="242"/>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RNG Fuel</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25,779</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12,743</w:t>
            </w:r>
          </w:p>
        </w:tc>
      </w:tr>
      <w:tr>
        <w:trPr>
          <w:trHeight w:val="230"/>
        </w:trPr>
        <w:tc>
          <w:tcPr>
            <w:tcW w:w="51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Fuel Station Services</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5,488</w:t>
            </w:r>
          </w:p>
        </w:tc>
      </w:tr>
      <w:tr>
        <w:trPr>
          <w:trHeight w:val="242"/>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(13,669)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(33,329)</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4,853</w:t>
            </w:r>
          </w:p>
        </w:tc>
      </w:tr>
      <w:tr>
        <w:trPr>
          <w:trHeight w:val="230"/>
        </w:trPr>
        <w:tc>
          <w:tcPr>
            <w:tcW w:w="5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Equity Method Investment(s)</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3,694</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3,658</w:t>
            </w: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2,392</w:t>
            </w:r>
          </w:p>
        </w:tc>
      </w:tr>
      <w:tr>
        <w:trPr>
          <w:trHeight w:val="247"/>
        </w:trPr>
        <w:tc>
          <w:tcPr>
            <w:tcW w:w="5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5,369</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2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18,950</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900" w:type="dxa"/>
            <w:vAlign w:val="bottom"/>
          </w:tcPr>
          <w:p>
            <w:pPr>
              <w:spacing w:after="0"/>
              <w:rPr>
                <w:sz w:val="16"/>
                <w:szCs w:val="16"/>
                <w:color w:val="auto"/>
              </w:rPr>
            </w:pPr>
          </w:p>
        </w:tc>
      </w:tr>
      <w:tr>
        <w:trPr>
          <w:trHeight w:val="207"/>
        </w:trPr>
        <w:tc>
          <w:tcPr>
            <w:tcW w:w="4980" w:type="dxa"/>
            <w:vAlign w:val="bottom"/>
          </w:tcPr>
          <w:p>
            <w:pPr>
              <w:spacing w:after="0"/>
              <w:rPr>
                <w:sz w:val="18"/>
                <w:szCs w:val="18"/>
                <w:color w:val="auto"/>
              </w:rPr>
            </w:pPr>
          </w:p>
        </w:tc>
        <w:tc>
          <w:tcPr>
            <w:tcW w:w="2780" w:type="dxa"/>
            <w:vAlign w:val="bottom"/>
            <w:gridSpan w:val="6"/>
          </w:tcPr>
          <w:p>
            <w:pPr>
              <w:ind w:left="20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40" w:type="dxa"/>
            <w:vAlign w:val="bottom"/>
          </w:tcPr>
          <w:p>
            <w:pPr>
              <w:spacing w:after="0"/>
              <w:rPr>
                <w:sz w:val="18"/>
                <w:szCs w:val="18"/>
                <w:color w:val="auto"/>
              </w:rPr>
            </w:pPr>
          </w:p>
        </w:tc>
        <w:tc>
          <w:tcPr>
            <w:tcW w:w="1840" w:type="dxa"/>
            <w:vAlign w:val="bottom"/>
            <w:gridSpan w:val="3"/>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00" w:type="dxa"/>
            <w:vAlign w:val="bottom"/>
          </w:tcPr>
          <w:p>
            <w:pPr>
              <w:spacing w:after="0"/>
              <w:rPr>
                <w:sz w:val="18"/>
                <w:szCs w:val="18"/>
                <w:color w:val="auto"/>
              </w:rPr>
            </w:pPr>
          </w:p>
        </w:tc>
      </w:tr>
      <w:tr>
        <w:trPr>
          <w:trHeight w:val="197"/>
        </w:trPr>
        <w:tc>
          <w:tcPr>
            <w:tcW w:w="49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85"/>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w w:val="93"/>
              </w:rPr>
              <w:t>2021</w:t>
            </w:r>
          </w:p>
        </w:tc>
      </w:tr>
      <w:tr>
        <w:trPr>
          <w:trHeight w:val="27"/>
        </w:trPr>
        <w:tc>
          <w:tcPr>
            <w:tcW w:w="4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Purchases of Property, Plant, and Equipment:</w:t>
            </w:r>
          </w:p>
        </w:tc>
        <w:tc>
          <w:tcPr>
            <w:tcW w:w="9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193"/>
        </w:trPr>
        <w:tc>
          <w:tcPr>
            <w:tcW w:w="4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Renewable Power</w:t>
            </w:r>
          </w:p>
        </w:tc>
        <w:tc>
          <w:tcPr>
            <w:tcW w:w="900" w:type="dxa"/>
            <w:vAlign w:val="bottom"/>
          </w:tcPr>
          <w:p>
            <w:pPr>
              <w:jc w:val="right"/>
              <w:ind w:right="745"/>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1,800</w:t>
            </w:r>
          </w:p>
        </w:tc>
        <w:tc>
          <w:tcPr>
            <w:tcW w:w="120" w:type="dxa"/>
            <w:vAlign w:val="bottom"/>
          </w:tcPr>
          <w:p>
            <w:pPr>
              <w:spacing w:after="0"/>
              <w:rPr>
                <w:sz w:val="16"/>
                <w:szCs w:val="16"/>
                <w:color w:val="auto"/>
              </w:rPr>
            </w:pPr>
          </w:p>
        </w:tc>
        <w:tc>
          <w:tcPr>
            <w:tcW w:w="580" w:type="dxa"/>
            <w:vAlign w:val="bottom"/>
          </w:tcPr>
          <w:p>
            <w:pPr>
              <w:jc w:val="right"/>
              <w:ind w:right="40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4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4"/>
        </w:trPr>
        <w:tc>
          <w:tcPr>
            <w:tcW w:w="4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Fuel Station Services</w:t>
            </w: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10,519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6,653</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10,519</w:t>
            </w:r>
          </w:p>
        </w:tc>
      </w:tr>
      <w:tr>
        <w:trPr>
          <w:trHeight w:val="193"/>
        </w:trPr>
        <w:tc>
          <w:tcPr>
            <w:tcW w:w="4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RNG Fuel</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18,452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76,496</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52,874</w:t>
            </w:r>
          </w:p>
        </w:tc>
      </w:tr>
      <w:tr>
        <w:trPr>
          <w:trHeight w:val="31"/>
        </w:trPr>
        <w:tc>
          <w:tcPr>
            <w:tcW w:w="4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1"/>
        </w:trPr>
        <w:tc>
          <w:tcPr>
            <w:tcW w:w="49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45"/>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28,971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84,949</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0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63,393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F-40</w:t>
      </w:r>
    </w:p>
    <w:p>
      <w:pPr>
        <w:sectPr>
          <w:pgSz w:w="11900" w:h="16838" w:orient="portrait"/>
          <w:cols w:equalWidth="0" w:num="1">
            <w:col w:w="10840"/>
          </w:cols>
          <w:pgMar w:left="320" w:top="1440" w:right="7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200" w:type="dxa"/>
            <w:vAlign w:val="bottom"/>
          </w:tcPr>
          <w:p>
            <w:pPr>
              <w:spacing w:after="0"/>
              <w:rPr>
                <w:sz w:val="16"/>
                <w:szCs w:val="16"/>
                <w:color w:val="auto"/>
              </w:rPr>
            </w:pPr>
          </w:p>
        </w:tc>
        <w:tc>
          <w:tcPr>
            <w:tcW w:w="1280" w:type="dxa"/>
            <w:vAlign w:val="bottom"/>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7"/>
        </w:trPr>
        <w:tc>
          <w:tcPr>
            <w:tcW w:w="8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1"/>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93"/>
        </w:trPr>
        <w:tc>
          <w:tcPr>
            <w:tcW w:w="8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Renewable Power</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42,654</w:t>
            </w:r>
          </w:p>
        </w:tc>
        <w:tc>
          <w:tcPr>
            <w:tcW w:w="1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43,728</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RNG Fuel</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387,434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215,512</w:t>
            </w:r>
          </w:p>
        </w:tc>
      </w:tr>
      <w:tr>
        <w:trPr>
          <w:trHeight w:val="221"/>
        </w:trPr>
        <w:tc>
          <w:tcPr>
            <w:tcW w:w="8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Fuel Station Services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56,567</w:t>
            </w:r>
          </w:p>
        </w:tc>
      </w:tr>
      <w:tr>
        <w:trPr>
          <w:trHeight w:val="227"/>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Corporate and other</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120,888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17,887</w:t>
            </w:r>
          </w:p>
        </w:tc>
      </w:tr>
      <w:tr>
        <w:trPr>
          <w:trHeight w:val="193"/>
        </w:trPr>
        <w:tc>
          <w:tcPr>
            <w:tcW w:w="8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Equity Method Investment(s)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48,708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47,150</w:t>
            </w: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1"/>
        </w:trPr>
        <w:tc>
          <w:tcPr>
            <w:tcW w:w="8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656,056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380,844</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Geographic Information: The Company's assets and revenue generating activities are domiciled in the United States.</w:t>
      </w:r>
    </w:p>
    <w:p>
      <w:pPr>
        <w:spacing w:after="0" w:line="1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13. Variable Interest Entities</w:t>
      </w:r>
    </w:p>
    <w:p>
      <w:pPr>
        <w:spacing w:after="0" w:line="132" w:lineRule="exact"/>
        <w:rPr>
          <w:sz w:val="20"/>
          <w:szCs w:val="20"/>
          <w:color w:val="auto"/>
        </w:rPr>
      </w:pPr>
    </w:p>
    <w:p>
      <w:pPr>
        <w:jc w:val="both"/>
        <w:ind w:left="100" w:firstLine="298"/>
        <w:spacing w:after="0" w:line="248" w:lineRule="auto"/>
        <w:rPr>
          <w:sz w:val="20"/>
          <w:szCs w:val="20"/>
          <w:color w:val="auto"/>
        </w:rPr>
      </w:pPr>
      <w:r>
        <w:rPr>
          <w:rFonts w:ascii="Times New Roman" w:cs="Times New Roman" w:eastAsia="Times New Roman" w:hAnsi="Times New Roman"/>
          <w:sz w:val="17"/>
          <w:szCs w:val="17"/>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spacing w:after="0" w:line="115" w:lineRule="exact"/>
        <w:rPr>
          <w:sz w:val="20"/>
          <w:szCs w:val="20"/>
          <w:color w:val="auto"/>
        </w:rPr>
      </w:pPr>
    </w:p>
    <w:p>
      <w:pPr>
        <w:jc w:val="both"/>
        <w:ind w:left="100" w:firstLine="298"/>
        <w:spacing w:after="0" w:line="252" w:lineRule="auto"/>
        <w:rPr>
          <w:sz w:val="20"/>
          <w:szCs w:val="20"/>
          <w:color w:val="auto"/>
        </w:rPr>
      </w:pPr>
      <w:r>
        <w:rPr>
          <w:rFonts w:ascii="Times New Roman" w:cs="Times New Roman" w:eastAsia="Times New Roman" w:hAnsi="Times New Roman"/>
          <w:sz w:val="17"/>
          <w:szCs w:val="17"/>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11" w:lineRule="exact"/>
        <w:rPr>
          <w:sz w:val="20"/>
          <w:szCs w:val="20"/>
          <w:color w:val="auto"/>
        </w:rPr>
      </w:pPr>
    </w:p>
    <w:p>
      <w:pPr>
        <w:jc w:val="both"/>
        <w:ind w:left="100" w:firstLine="298"/>
        <w:spacing w:after="0" w:line="256" w:lineRule="auto"/>
        <w:rPr>
          <w:sz w:val="20"/>
          <w:szCs w:val="20"/>
          <w:color w:val="auto"/>
        </w:rPr>
      </w:pPr>
      <w:r>
        <w:rPr>
          <w:rFonts w:ascii="Times New Roman" w:cs="Times New Roman" w:eastAsia="Times New Roman" w:hAnsi="Times New Roman"/>
          <w:sz w:val="17"/>
          <w:szCs w:val="17"/>
          <w:color w:val="auto"/>
        </w:rPr>
        <w:t>As of September 30, 2022 and December 31, 2021, the Company held equity interests in five VIEs — Sunoma, GREP, Emerald, Sapphire, and Central Valley. GREP has been presented as an equity method investment and the remaining four VIEs Sunoma, Emerald, Sapphire, and Central Valley are consolidated by the Company.</w:t>
      </w:r>
    </w:p>
    <w:p>
      <w:pPr>
        <w:spacing w:after="0" w:line="95" w:lineRule="exact"/>
        <w:rPr>
          <w:sz w:val="20"/>
          <w:szCs w:val="20"/>
          <w:color w:val="auto"/>
        </w:rPr>
      </w:pPr>
    </w:p>
    <w:p>
      <w:pPr>
        <w:jc w:val="both"/>
        <w:ind w:left="100" w:firstLine="298"/>
        <w:spacing w:after="0" w:line="252" w:lineRule="auto"/>
        <w:rPr>
          <w:sz w:val="20"/>
          <w:szCs w:val="20"/>
          <w:color w:val="auto"/>
        </w:rPr>
      </w:pPr>
      <w:r>
        <w:rPr>
          <w:rFonts w:ascii="Times New Roman" w:cs="Times New Roman" w:eastAsia="Times New Roman" w:hAnsi="Times New Roman"/>
          <w:sz w:val="17"/>
          <w:szCs w:val="17"/>
          <w:color w:val="auto"/>
        </w:rPr>
        <w:t>During the three months ended September 30, 2022, the Company determined that it will no longer be liable to pay $4,365, which was previously recorded as part of other liabilities - long term, to a non-controlling interest in one of our VIEs as the applicable criteria for payment are no longer met. Therefore, the Company reversed the liability on its condensed consolidated balance sheet as of September 30, 2022 and recorded $4,365 as Other income in its condensed consolidated statement of operations for the three and nine months ended September 30, 2022.</w:t>
      </w:r>
    </w:p>
    <w:p>
      <w:pPr>
        <w:spacing w:after="0" w:line="111" w:lineRule="exact"/>
        <w:rPr>
          <w:sz w:val="20"/>
          <w:szCs w:val="20"/>
          <w:color w:val="auto"/>
        </w:rPr>
      </w:pPr>
    </w:p>
    <w:p>
      <w:pPr>
        <w:jc w:val="both"/>
        <w:ind w:left="100" w:firstLine="298"/>
        <w:spacing w:after="0" w:line="252" w:lineRule="auto"/>
        <w:rPr>
          <w:sz w:val="20"/>
          <w:szCs w:val="20"/>
          <w:color w:val="auto"/>
        </w:rPr>
      </w:pPr>
      <w:r>
        <w:rPr>
          <w:rFonts w:ascii="Times New Roman" w:cs="Times New Roman" w:eastAsia="Times New Roman" w:hAnsi="Times New Roman"/>
          <w:sz w:val="17"/>
          <w:szCs w:val="17"/>
          <w:color w:val="auto"/>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Sunoma facility. Therefore, the significant assets and liabilities of Sunoma are parenthesized in the condensed consolidated balance sheets as of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F-41</w:t>
      </w:r>
    </w:p>
    <w:p>
      <w:pPr>
        <w:sectPr>
          <w:pgSz w:w="11900" w:h="16838" w:orient="portrait"/>
          <w:cols w:equalWidth="0" w:num="1">
            <w:col w:w="11340"/>
          </w:cols>
          <w:pgMar w:left="220" w:top="1440" w:right="339" w:bottom="1440" w:gutter="0" w:footer="0" w:header="0"/>
        </w:sectPr>
      </w:pPr>
    </w:p>
    <w:bookmarkStart w:id="47" w:name="page48"/>
    <w:bookmarkEnd w:id="47"/>
    <w:p>
      <w:pPr>
        <w:spacing w:after="0" w:line="163" w:lineRule="exact"/>
        <w:rPr>
          <w:sz w:val="20"/>
          <w:szCs w:val="20"/>
          <w:color w:val="auto"/>
        </w:rPr>
      </w:pPr>
    </w:p>
    <w:p>
      <w:pPr>
        <w:ind w:firstLine="298"/>
        <w:spacing w:after="0" w:line="268" w:lineRule="auto"/>
        <w:rPr>
          <w:sz w:val="20"/>
          <w:szCs w:val="20"/>
          <w:color w:val="auto"/>
        </w:rPr>
      </w:pPr>
      <w:r>
        <w:rPr>
          <w:rFonts w:ascii="Times New Roman" w:cs="Times New Roman" w:eastAsia="Times New Roman" w:hAnsi="Times New Roman"/>
          <w:sz w:val="17"/>
          <w:szCs w:val="17"/>
          <w:color w:val="auto"/>
        </w:rPr>
        <w:t>The Company determined that each of these entities are VIEs and in its capacity as a managing member except for Emerald and Sapphire, the Company is the primary beneficiary. The Company is deemed as a primary beneficiary based on two conditions:</w:t>
      </w:r>
    </w:p>
    <w:p>
      <w:pPr>
        <w:spacing w:after="0" w:line="85" w:lineRule="exact"/>
        <w:rPr>
          <w:sz w:val="20"/>
          <w:szCs w:val="20"/>
          <w:color w:val="auto"/>
        </w:rPr>
      </w:pPr>
    </w:p>
    <w:p>
      <w:pPr>
        <w:ind w:left="740" w:right="120" w:hanging="442"/>
        <w:spacing w:after="0" w:line="268" w:lineRule="auto"/>
        <w:tabs>
          <w:tab w:leader="none" w:pos="7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as a managing member, has the power to order the activities that significantly impact the economic performance of the four entities including establishment of strategic, operating, and capital decisions for each of these entities; and</w:t>
      </w:r>
    </w:p>
    <w:p>
      <w:pPr>
        <w:spacing w:after="0" w:line="97" w:lineRule="exact"/>
        <w:rPr>
          <w:rFonts w:ascii="Times New Roman" w:cs="Times New Roman" w:eastAsia="Times New Roman" w:hAnsi="Times New Roman"/>
          <w:sz w:val="17"/>
          <w:szCs w:val="17"/>
          <w:color w:val="auto"/>
        </w:rPr>
      </w:pPr>
    </w:p>
    <w:p>
      <w:pPr>
        <w:ind w:left="740" w:hanging="442"/>
        <w:spacing w:after="0"/>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the obligation to absorb the potential losses for the right to receive potential benefits, which could be significant to the VIE;</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 xml:space="preserve">As a primary beneficiary, the Company consolidates these entities in accordance with the variable interest entity model guidance under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jc w:val="both"/>
        <w:ind w:firstLine="298"/>
        <w:spacing w:after="0" w:line="273" w:lineRule="auto"/>
        <w:rPr>
          <w:sz w:val="20"/>
          <w:szCs w:val="20"/>
          <w:color w:val="auto"/>
        </w:rPr>
      </w:pPr>
      <w:r>
        <w:rPr>
          <w:rFonts w:ascii="Times New Roman" w:cs="Times New Roman" w:eastAsia="Times New Roman" w:hAnsi="Times New Roman"/>
          <w:sz w:val="16"/>
          <w:szCs w:val="16"/>
          <w:color w:val="auto"/>
        </w:rPr>
        <w:t>The VIEs, Emerald and Sapphire are organized as 50/50 joint ventures managed by an independent board consisting of four members appointed by the Company and the joint venture partner. The board of managers has sole power and authority to conduct, direct and exercise control over the joint venture's activities except with respect to certain terms under certain operating agreements. The Company determined that it is the primary beneficiary as a result of its economic exposure and incremental power to direct certain key economic activities of the joint venture and therefore consolidated the VIEs in its condensed consolidated financial statements.</w:t>
      </w:r>
    </w:p>
    <w:p>
      <w:pPr>
        <w:spacing w:after="0" w:line="95"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98"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The following table summarizes the major condensed consolidated balance sheet items for consolidated VIEs as of September 30, 2022 and December 31, 2021. The information below is presented on an aggregate basis based on similar risk and reward characteristics and the nature of our involvement with the VIEs, such as:</w:t>
      </w:r>
    </w:p>
    <w:p>
      <w:pPr>
        <w:spacing w:after="0" w:line="85" w:lineRule="exact"/>
        <w:rPr>
          <w:sz w:val="20"/>
          <w:szCs w:val="20"/>
          <w:color w:val="auto"/>
        </w:rPr>
      </w:pPr>
    </w:p>
    <w:p>
      <w:pPr>
        <w:ind w:left="740" w:hanging="442"/>
        <w:spacing w:after="0"/>
        <w:tabs>
          <w:tab w:leader="none" w:pos="7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VIEs are RNG facilities and they are reported under the RNG Fuel Supply segment;</w:t>
      </w:r>
    </w:p>
    <w:p>
      <w:pPr>
        <w:spacing w:after="0" w:line="140" w:lineRule="exact"/>
        <w:rPr>
          <w:rFonts w:ascii="Times New Roman" w:cs="Times New Roman" w:eastAsia="Times New Roman" w:hAnsi="Times New Roman"/>
          <w:sz w:val="17"/>
          <w:szCs w:val="17"/>
          <w:color w:val="auto"/>
        </w:rPr>
      </w:pPr>
    </w:p>
    <w:p>
      <w:pPr>
        <w:ind w:left="740" w:hanging="442"/>
        <w:spacing w:after="0"/>
        <w:tabs>
          <w:tab w:leader="none" w:pos="7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nature of our interest in these entities is primarily equity based and therefore carry similar risk and reward characteristics;</w:t>
      </w:r>
    </w:p>
    <w:p>
      <w:pPr>
        <w:spacing w:after="0" w:line="103" w:lineRule="exact"/>
        <w:rPr>
          <w:sz w:val="20"/>
          <w:szCs w:val="20"/>
          <w:color w:val="auto"/>
        </w:rPr>
      </w:pPr>
    </w:p>
    <w:p>
      <w:pPr>
        <w:ind w:right="180" w:firstLine="298"/>
        <w:spacing w:after="0" w:line="268" w:lineRule="auto"/>
        <w:rPr>
          <w:sz w:val="20"/>
          <w:szCs w:val="20"/>
          <w:color w:val="auto"/>
        </w:rPr>
      </w:pPr>
      <w:r>
        <w:rPr>
          <w:rFonts w:ascii="Times New Roman" w:cs="Times New Roman" w:eastAsia="Times New Roman" w:hAnsi="Times New Roman"/>
          <w:sz w:val="17"/>
          <w:szCs w:val="17"/>
          <w:color w:val="auto"/>
        </w:rPr>
        <w:t>The amount of assets that can only be used to settle obligations of the VIEs are parenthesized in the condensed consolidated balance sheets and are included in the asset totals listed in the table below.</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38"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7"/>
              </w:rPr>
              <w:t>As of</w:t>
            </w:r>
          </w:p>
        </w:tc>
        <w:tc>
          <w:tcPr>
            <w:tcW w:w="200" w:type="dxa"/>
            <w:vAlign w:val="bottom"/>
          </w:tcPr>
          <w:p>
            <w:pPr>
              <w:spacing w:after="0"/>
              <w:rPr>
                <w:sz w:val="16"/>
                <w:szCs w:val="16"/>
                <w:color w:val="auto"/>
              </w:rPr>
            </w:pPr>
          </w:p>
        </w:tc>
        <w:tc>
          <w:tcPr>
            <w:tcW w:w="1280" w:type="dxa"/>
            <w:vAlign w:val="bottom"/>
          </w:tcPr>
          <w:p>
            <w:pPr>
              <w:jc w:val="center"/>
              <w:ind w:right="125"/>
              <w:spacing w:after="0"/>
              <w:rPr>
                <w:sz w:val="20"/>
                <w:szCs w:val="20"/>
                <w:color w:val="auto"/>
              </w:rPr>
            </w:pPr>
            <w:r>
              <w:rPr>
                <w:rFonts w:ascii="Times New Roman" w:cs="Times New Roman" w:eastAsia="Times New Roman" w:hAnsi="Times New Roman"/>
                <w:sz w:val="15"/>
                <w:szCs w:val="15"/>
                <w:b w:val="1"/>
                <w:bCs w:val="1"/>
                <w:color w:val="auto"/>
                <w:w w:val="97"/>
              </w:rPr>
              <w:t>As of</w:t>
            </w:r>
          </w:p>
        </w:tc>
      </w:tr>
      <w:tr>
        <w:trPr>
          <w:trHeight w:val="174"/>
        </w:trPr>
        <w:tc>
          <w:tcPr>
            <w:tcW w:w="8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200" w:type="dxa"/>
            <w:vAlign w:val="bottom"/>
          </w:tcPr>
          <w:p>
            <w:pPr>
              <w:spacing w:after="0"/>
              <w:rPr>
                <w:sz w:val="15"/>
                <w:szCs w:val="15"/>
                <w:color w:val="auto"/>
              </w:rPr>
            </w:pPr>
          </w:p>
        </w:tc>
        <w:tc>
          <w:tcPr>
            <w:tcW w:w="1280" w:type="dxa"/>
            <w:vAlign w:val="bottom"/>
          </w:tcPr>
          <w:p>
            <w:pPr>
              <w:jc w:val="center"/>
              <w:ind w:right="125"/>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7"/>
        </w:trPr>
        <w:tc>
          <w:tcPr>
            <w:tcW w:w="8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5"/>
                <w:szCs w:val="15"/>
                <w:b w:val="1"/>
                <w:bCs w:val="1"/>
                <w:color w:val="auto"/>
                <w:w w:val="93"/>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5"/>
                <w:szCs w:val="15"/>
                <w:b w:val="1"/>
                <w:bCs w:val="1"/>
                <w:color w:val="auto"/>
                <w:w w:val="99"/>
              </w:rPr>
              <w:t>2021</w:t>
            </w:r>
          </w:p>
        </w:tc>
      </w:tr>
      <w:tr>
        <w:trPr>
          <w:trHeight w:val="191"/>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10,045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1,991</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net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Restricted cash - current</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7,623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Short term investments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w:t>
            </w:r>
          </w:p>
        </w:tc>
      </w:tr>
      <w:tr>
        <w:trPr>
          <w:trHeight w:val="186"/>
        </w:trPr>
        <w:tc>
          <w:tcPr>
            <w:tcW w:w="8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current assets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34,476</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2,144</w:t>
            </w: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50,099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27,794</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Restricted cash, non-current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1,163</w:t>
            </w: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8"/>
        </w:trPr>
        <w:tc>
          <w:tcPr>
            <w:tcW w:w="8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assets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87,442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31,101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8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equity</w:t>
            </w: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w:t>
            </w:r>
          </w:p>
        </w:tc>
      </w:tr>
      <w:tr>
        <w:trPr>
          <w:trHeight w:val="193"/>
        </w:trPr>
        <w:tc>
          <w:tcPr>
            <w:tcW w:w="81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capital expenses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1,722</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Sunoma Loan- current portion</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w:t>
            </w:r>
          </w:p>
        </w:tc>
      </w:tr>
      <w:tr>
        <w:trPr>
          <w:trHeight w:val="186"/>
        </w:trPr>
        <w:tc>
          <w:tcPr>
            <w:tcW w:w="8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4,276</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3,022</w:t>
            </w: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Sunoma loan, net of debt issuance costs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22,080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16,199</w:t>
            </w:r>
          </w:p>
        </w:tc>
      </w:tr>
      <w:tr>
        <w:trPr>
          <w:trHeight w:val="186"/>
        </w:trPr>
        <w:tc>
          <w:tcPr>
            <w:tcW w:w="8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liabilities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26,356</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19,221</w:t>
            </w: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w:t>
            </w: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10,692</w:t>
            </w:r>
          </w:p>
        </w:tc>
      </w:tr>
      <w:tr>
        <w:trPr>
          <w:trHeight w:val="31"/>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xml:space="preserve">Non-redeemable non-controlling interests </w:t>
            </w:r>
            <w:r>
              <w:rPr>
                <w:rFonts w:ascii="Times New Roman" w:cs="Times New Roman" w:eastAsia="Times New Roman" w:hAnsi="Times New Roman"/>
                <w:sz w:val="19"/>
                <w:szCs w:val="19"/>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1,188</w:t>
            </w:r>
          </w:p>
        </w:tc>
      </w:tr>
      <w:tr>
        <w:trPr>
          <w:trHeight w:val="186"/>
        </w:trPr>
        <w:tc>
          <w:tcPr>
            <w:tcW w:w="8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equity</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61,086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11,880</w:t>
            </w:r>
          </w:p>
        </w:tc>
      </w:tr>
      <w:tr>
        <w:trPr>
          <w:trHeight w:val="31"/>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87,442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31,101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left="1" w:firstLine="298"/>
        <w:spacing w:after="0" w:line="270" w:lineRule="auto"/>
        <w:tabs>
          <w:tab w:leader="none" w:pos="451" w:val="left"/>
        </w:tabs>
        <w:numPr>
          <w:ilvl w:val="1"/>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 August 2022, the Company paid $5,845 as prepayment of its share of equity contribution in a joint venture to meet the equity requirements. As of September 30, 2022, $2,922 of the payment has been reflected as part of non-redeemable non-controlling interest in the condensed consolidated statement of changes in Redeemable non-controlling interests, redeemable preferred non-controlling interests and stockholders' equity.</w:t>
      </w:r>
    </w:p>
    <w:p>
      <w:pPr>
        <w:spacing w:after="0" w:line="200" w:lineRule="exact"/>
        <w:rPr>
          <w:rFonts w:ascii="Times New Roman" w:cs="Times New Roman" w:eastAsia="Times New Roman" w:hAnsi="Times New Roman"/>
          <w:sz w:val="19"/>
          <w:szCs w:val="19"/>
          <w:color w:val="auto"/>
          <w:vertAlign w:val="superscript"/>
        </w:rPr>
      </w:pPr>
    </w:p>
    <w:p>
      <w:pPr>
        <w:spacing w:after="0" w:line="367" w:lineRule="exact"/>
        <w:rPr>
          <w:rFonts w:ascii="Times New Roman" w:cs="Times New Roman" w:eastAsia="Times New Roman" w:hAnsi="Times New Roman"/>
          <w:sz w:val="19"/>
          <w:szCs w:val="19"/>
          <w:color w:val="auto"/>
          <w:vertAlign w:val="superscript"/>
        </w:rPr>
      </w:pPr>
    </w:p>
    <w:p>
      <w:pPr>
        <w:ind w:left="241" w:hanging="241"/>
        <w:spacing w:after="0"/>
        <w:tabs>
          <w:tab w:leader="none" w:pos="241"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Redeemable non-controlling interests, Redeemable preferred non-controlling interests and Stockholders' Equity</w:t>
      </w:r>
    </w:p>
    <w:p>
      <w:pPr>
        <w:spacing w:after="0" w:line="219" w:lineRule="exact"/>
        <w:rPr>
          <w:sz w:val="20"/>
          <w:szCs w:val="20"/>
          <w:color w:val="auto"/>
        </w:rPr>
      </w:pPr>
    </w:p>
    <w:p>
      <w:pPr>
        <w:jc w:val="both"/>
        <w:ind w:left="1" w:firstLine="298"/>
        <w:spacing w:after="0" w:line="249" w:lineRule="auto"/>
        <w:rPr>
          <w:sz w:val="20"/>
          <w:szCs w:val="20"/>
          <w:color w:val="auto"/>
        </w:rPr>
      </w:pPr>
      <w:r>
        <w:rPr>
          <w:rFonts w:ascii="Times New Roman" w:cs="Times New Roman" w:eastAsia="Times New Roman" w:hAnsi="Times New Roman"/>
          <w:sz w:val="16"/>
          <w:szCs w:val="16"/>
          <w:color w:val="auto"/>
        </w:rPr>
        <w:t xml:space="preserve">The condensed consolidated statements of change in Redeemable non-controlling interests, Redeemable preferred non-controlling interests and stockholders' equity reflect the reverse recapitalization and Business Combination as mentioned in Note 3,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xml:space="preserve"> As OPAL Fuels was deemed to be the acquirer in the Business Combination, all periods prior to the completion of the Business Combination reflect the balances and activity of OPAL Fuels. The consolidated balances as of December 31, 2021 from the audited financial statements of OPAL Fuels as of that date, share activity (Redeemable preferred units and common units) and per share amounts in these condensed consolidated statements of change in redeemable preferred units and stockholders' equity were retroactively adjusted.</w:t>
      </w:r>
    </w:p>
    <w:p>
      <w:pPr>
        <w:spacing w:after="0" w:line="18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19" w:lineRule="exact"/>
        <w:rPr>
          <w:sz w:val="20"/>
          <w:szCs w:val="20"/>
          <w:color w:val="auto"/>
        </w:rPr>
      </w:pPr>
    </w:p>
    <w:p>
      <w:pPr>
        <w:jc w:val="both"/>
        <w:ind w:left="1" w:firstLine="298"/>
        <w:spacing w:after="0" w:line="236" w:lineRule="auto"/>
        <w:rPr>
          <w:sz w:val="20"/>
          <w:szCs w:val="20"/>
          <w:color w:val="auto"/>
        </w:rPr>
      </w:pPr>
      <w:r>
        <w:rPr>
          <w:rFonts w:ascii="Times New Roman" w:cs="Times New Roman" w:eastAsia="Times New Roman" w:hAnsi="Times New Roman"/>
          <w:sz w:val="17"/>
          <w:szCs w:val="17"/>
          <w:color w:val="auto"/>
        </w:rPr>
        <w:t>After giving effect to the Business Combination, there are currently (i) 25,671,390 shares of Class A common stock issued and outstanding, (ii) 144,399,037 shares of New OPAL Class D common stock issued and outstanding, (iii) no shares of Class B common stock, par value $0.0001 per share, of (“Class B common stock”) issued and outstanding ( Shares of Class B common stock do not have any economic value except voting rights as described below) and (iv) no shares of Class C common stock, par value $0.0001 per share, (“ Class C common stock”) issued and outstanding (shares of Class D common stock do not have any economic value except voting rights as described below)</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ectPr>
          <w:pgSz w:w="11900" w:h="16838" w:orient="portrait"/>
          <w:cols w:equalWidth="0" w:num="1">
            <w:col w:w="11241"/>
          </w:cols>
          <w:pgMar w:left="319" w:top="1440" w:right="339" w:bottom="1440" w:gutter="0" w:footer="0" w:header="0"/>
        </w:sectPr>
      </w:pPr>
    </w:p>
    <w:bookmarkStart w:id="49" w:name="page50"/>
    <w:bookmarkEnd w:id="49"/>
    <w:p>
      <w:pPr>
        <w:spacing w:after="0" w:line="237" w:lineRule="exact"/>
        <w:rPr>
          <w:sz w:val="20"/>
          <w:szCs w:val="20"/>
          <w:color w:val="auto"/>
        </w:rPr>
      </w:pPr>
    </w:p>
    <w:p>
      <w:pPr>
        <w:jc w:val="both"/>
        <w:ind w:firstLine="298"/>
        <w:spacing w:after="0" w:line="253" w:lineRule="auto"/>
        <w:rPr>
          <w:sz w:val="20"/>
          <w:szCs w:val="20"/>
          <w:color w:val="auto"/>
        </w:rPr>
      </w:pPr>
      <w:r>
        <w:rPr>
          <w:rFonts w:ascii="Times New Roman" w:cs="Times New Roman" w:eastAsia="Times New Roman" w:hAnsi="Times New Roman"/>
          <w:sz w:val="17"/>
          <w:szCs w:val="17"/>
          <w:color w:val="auto"/>
        </w:rPr>
        <w:t xml:space="preserve">As part of the Business Combination, $68,257 of Class A common stock and Additional paid-in capital was recorded, net of transaction costs of $6,569. Please see Note 3,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xml:space="preserve"> for additional information</w:t>
      </w:r>
      <w:r>
        <w:rPr>
          <w:rFonts w:ascii="Times New Roman" w:cs="Times New Roman" w:eastAsia="Times New Roman" w:hAnsi="Times New Roman"/>
          <w:sz w:val="17"/>
          <w:szCs w:val="17"/>
          <w:i w:val="1"/>
          <w:iCs w:val="1"/>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Class A common stock</w:t>
      </w:r>
    </w:p>
    <w:p>
      <w:pPr>
        <w:spacing w:after="0" w:line="21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Each holder of Class A common stock is entitled to one vote for each share of Class A common stock held of record by such holder on all matters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stockholders generally are entitled to vote. Further, the holders of the outstanding shares of Class A common stock are entitled to vote separately upon any amendment to the Company's Certificate of Incorporation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Dividends. </w:t>
      </w:r>
      <w:r>
        <w:rPr>
          <w:rFonts w:ascii="Times New Roman" w:cs="Times New Roman" w:eastAsia="Times New Roman" w:hAnsi="Times New Roman"/>
          <w:sz w:val="17"/>
          <w:szCs w:val="17"/>
          <w:color w:val="auto"/>
        </w:rPr>
        <w:t>Dividends and other distributions of cash, stock or property may be declared and paid on the shares of Class A common stock and the shares of Class 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out of the assets of the Company that are by law available therefor, at the times and in the amounts as our board in its discretion may determine.</w:t>
      </w:r>
    </w:p>
    <w:p>
      <w:pPr>
        <w:spacing w:after="0" w:line="1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Liquidation rights. </w:t>
      </w:r>
      <w:r>
        <w:rPr>
          <w:rFonts w:ascii="Times New Roman" w:cs="Times New Roman" w:eastAsia="Times New Roman" w:hAnsi="Times New Roman"/>
          <w:sz w:val="16"/>
          <w:szCs w:val="16"/>
          <w:color w:val="auto"/>
        </w:rPr>
        <w:t>In the event of any voluntary or involuntary liquidation, dissolution or winding-up of the affairs of the Company, after payment or provision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payment of the debts and other liabilities and of the preferential and other amounts to which the holders of preferred stock are entitled, if any, the holders of all outstanding shares of Class A common stock and Class C common stock will be entitled to receive, pari passu, an amount per share equal to the par value thereof, and thereafter the holders of all outstanding shares of Class A common stock and Class C common stock will be entitled to receive the remaining assets of the Company available for distribution ratably in proportion to the number of shares of Class A common stock and Class C common stock, which shall be treated as a single class.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Class B common stock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Class B common stock may, together with the corresponding Class B Units, be exchanged for shares of Class A common stock.</w:t>
      </w:r>
    </w:p>
    <w:p>
      <w:pPr>
        <w:spacing w:after="0" w:line="21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Each holder of Class B common stock will be entitled to one vote for each share of Class B common stock held of record by such holder on all matters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Dividends. </w:t>
      </w:r>
      <w:r>
        <w:rPr>
          <w:rFonts w:ascii="Times New Roman" w:cs="Times New Roman" w:eastAsia="Times New Roman" w:hAnsi="Times New Roman"/>
          <w:sz w:val="17"/>
          <w:szCs w:val="17"/>
          <w:color w:val="auto"/>
        </w:rPr>
        <w:t>Dividends of cash or property may not be declared or paid on shares of Class B common stock.</w:t>
      </w:r>
    </w:p>
    <w:p>
      <w:pPr>
        <w:spacing w:after="0" w:line="2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i w:val="1"/>
          <w:iCs w:val="1"/>
          <w:color w:val="auto"/>
        </w:rPr>
        <w:t xml:space="preserve">Liquidation rights. </w:t>
      </w:r>
      <w:r>
        <w:rPr>
          <w:rFonts w:ascii="Times New Roman" w:cs="Times New Roman" w:eastAsia="Times New Roman" w:hAnsi="Times New Roman"/>
          <w:sz w:val="17"/>
          <w:szCs w:val="17"/>
          <w:color w:val="auto"/>
        </w:rPr>
        <w:t>In the event of any voluntary or involuntary liquidation, dissolution or winding-up of the affairs of the Company, after payment or provision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payment of the debts and other liabilities and of the preferential and other amounts to which the holders of preferred stock are entitled, if any, the holders of shares of Class B common stock will not be entitled to receive, with respect to such shares, any assets of the Company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or for the consideration payable in respect of shares of Class A common stock in such voluntary or involuntary liquidation, dissolution or winding-up.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Class C common stock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Class C common stock may be converted to shares of Class A common stock, as discussed further below</w:t>
      </w:r>
      <w:r>
        <w:rPr>
          <w:rFonts w:ascii="Times New Roman" w:cs="Times New Roman" w:eastAsia="Times New Roman" w:hAnsi="Times New Roman"/>
          <w:sz w:val="17"/>
          <w:szCs w:val="17"/>
          <w:i w:val="1"/>
          <w:iCs w:val="1"/>
          <w:color w:val="auto"/>
        </w:rPr>
        <w:t>.</w:t>
      </w:r>
    </w:p>
    <w:p>
      <w:pPr>
        <w:spacing w:after="0" w:line="227" w:lineRule="exact"/>
        <w:rPr>
          <w:sz w:val="20"/>
          <w:szCs w:val="20"/>
          <w:color w:val="auto"/>
        </w:rPr>
      </w:pPr>
    </w:p>
    <w:p>
      <w:pPr>
        <w:jc w:val="both"/>
        <w:ind w:left="600" w:hanging="302"/>
        <w:spacing w:after="0" w:line="243" w:lineRule="auto"/>
        <w:tabs>
          <w:tab w:leader="none" w:pos="637" w:val="left"/>
        </w:tabs>
        <w:numPr>
          <w:ilvl w:val="0"/>
          <w:numId w:val="2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Voluntary Conversion. </w:t>
      </w:r>
      <w:r>
        <w:rPr>
          <w:rFonts w:ascii="Times New Roman" w:cs="Times New Roman" w:eastAsia="Times New Roman" w:hAnsi="Times New Roman"/>
          <w:sz w:val="17"/>
          <w:szCs w:val="17"/>
          <w:color w:val="auto"/>
        </w:rPr>
        <w:t>Each share of Class C common stock shall be convertible into one share of Class A common stock at the option of the holder thereof,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4" w:lineRule="exact"/>
        <w:rPr>
          <w:sz w:val="20"/>
          <w:szCs w:val="20"/>
          <w:color w:val="auto"/>
        </w:rPr>
      </w:pPr>
    </w:p>
    <w:p>
      <w:pPr>
        <w:ind w:left="300" w:hanging="2"/>
        <w:spacing w:after="0" w:line="256" w:lineRule="auto"/>
        <w:tabs>
          <w:tab w:leader="none" w:pos="594"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Automatic Conversion. </w:t>
      </w:r>
      <w:r>
        <w:rPr>
          <w:rFonts w:ascii="Times New Roman" w:cs="Times New Roman" w:eastAsia="Times New Roman" w:hAnsi="Times New Roman"/>
          <w:sz w:val="17"/>
          <w:szCs w:val="17"/>
          <w:color w:val="auto"/>
        </w:rPr>
        <w:t>Each share of Class C common stock shall automatically, without any further action, convert into one share of Class A common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upon a transfer, other than a Transfer to a qualified stockholder (as defined in the Charter).</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Each holder of Class C common stock will be entitled to five votes for each share of Class C common stock held of record by such holder on all matters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Dividends and other distributions of cash, stock or property may be declared and paid on the shares of Class A common stock and the shares of Class 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out of the assets of the Company that are by law available therefor, at the times and in the amounts as our board in its discretion may determine.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Liquidation rights. </w:t>
      </w:r>
      <w:r>
        <w:rPr>
          <w:rFonts w:ascii="Times New Roman" w:cs="Times New Roman" w:eastAsia="Times New Roman" w:hAnsi="Times New Roman"/>
          <w:sz w:val="16"/>
          <w:szCs w:val="16"/>
          <w:color w:val="auto"/>
        </w:rPr>
        <w:t>In the event of any voluntary or involuntary liquidation, dissolution or winding-up of the affairs of the Company, after payment or provision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payment of the debts and other liabilities and of the preferential and other amounts to which the holders of preferred stock are entitled, if any, the holders of all outstanding shares of Class A common stock and Class C common stock will be entitled to receive, pari passu, an amount per share equal to the par value thereof, and thereafter the holders of all outstanding shares of Class A common stock and Class C common stock will be entitled to receive the remaining assets of the Company available for distribution ratably in proportion to the number of shares of Class A common stock and Class C common stock, which shall be treated as a single class.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Class D common stock</w:t>
      </w:r>
    </w:p>
    <w:p>
      <w:pPr>
        <w:spacing w:after="0" w:line="2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Shares of Class D common stock may be converted into shares of Class B common stock pursuant to the Charter. Further, shares of Class D common stock, together with the corresponding Class B Units may be exchanged for shares of Class C common stock or converted into shares of Class A common stock as further discussed below.</w:t>
      </w:r>
    </w:p>
    <w:p>
      <w:pPr>
        <w:spacing w:after="0" w:line="159" w:lineRule="exact"/>
        <w:rPr>
          <w:sz w:val="20"/>
          <w:szCs w:val="20"/>
          <w:color w:val="auto"/>
        </w:rPr>
      </w:pPr>
    </w:p>
    <w:p>
      <w:pPr>
        <w:jc w:val="both"/>
        <w:ind w:firstLine="203"/>
        <w:spacing w:after="0" w:line="248" w:lineRule="auto"/>
        <w:rPr>
          <w:sz w:val="20"/>
          <w:szCs w:val="20"/>
          <w:color w:val="auto"/>
        </w:rPr>
      </w:pPr>
      <w:r>
        <w:rPr>
          <w:rFonts w:ascii="Times New Roman" w:cs="Times New Roman" w:eastAsia="Times New Roman" w:hAnsi="Times New Roman"/>
          <w:sz w:val="17"/>
          <w:szCs w:val="17"/>
          <w:i w:val="1"/>
          <w:iCs w:val="1"/>
          <w:color w:val="auto"/>
        </w:rPr>
        <w:t>Voluntary Conversion</w:t>
      </w:r>
      <w:r>
        <w:rPr>
          <w:rFonts w:ascii="Times New Roman" w:cs="Times New Roman" w:eastAsia="Times New Roman" w:hAnsi="Times New Roman"/>
          <w:sz w:val="17"/>
          <w:szCs w:val="17"/>
          <w:color w:val="auto"/>
        </w:rPr>
        <w:t>. Each share of Class D common stock shall be convertible into one share of Class B common stock at the option of the holder thereof at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 upon written notice to the Company;</w:t>
      </w:r>
    </w:p>
    <w:p>
      <w:pPr>
        <w:spacing w:after="0" w:line="1" w:lineRule="exact"/>
        <w:rPr>
          <w:sz w:val="20"/>
          <w:szCs w:val="20"/>
          <w:color w:val="auto"/>
        </w:rPr>
      </w:pPr>
    </w:p>
    <w:p>
      <w:pPr>
        <w:jc w:val="both"/>
        <w:ind w:firstLine="178"/>
        <w:spacing w:after="0" w:line="235" w:lineRule="auto"/>
        <w:rPr>
          <w:sz w:val="20"/>
          <w:szCs w:val="20"/>
          <w:color w:val="auto"/>
        </w:rPr>
      </w:pPr>
      <w:r>
        <w:rPr>
          <w:rFonts w:ascii="Times New Roman" w:cs="Times New Roman" w:eastAsia="Times New Roman" w:hAnsi="Times New Roman"/>
          <w:sz w:val="17"/>
          <w:szCs w:val="17"/>
          <w:i w:val="1"/>
          <w:iCs w:val="1"/>
          <w:color w:val="auto"/>
        </w:rPr>
        <w:t>Automatic Conversion</w:t>
      </w:r>
      <w:r>
        <w:rPr>
          <w:rFonts w:ascii="Times New Roman" w:cs="Times New Roman" w:eastAsia="Times New Roman" w:hAnsi="Times New Roman"/>
          <w:sz w:val="17"/>
          <w:szCs w:val="17"/>
          <w:color w:val="auto"/>
        </w:rPr>
        <w:t>. Each share of Class D common stock shall automatically, without any further action, convert into one share of Class B common stock upon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transfer, other than a transfer to a qualified stockholder.</w:t>
      </w:r>
    </w:p>
    <w:p>
      <w:pPr>
        <w:spacing w:after="0" w:line="19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Each holder of Class D common stock will be entitled to five votes for each share of Class D common stock held of record by such holder on all matters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Dividends. </w:t>
      </w:r>
      <w:r>
        <w:rPr>
          <w:rFonts w:ascii="Times New Roman" w:cs="Times New Roman" w:eastAsia="Times New Roman" w:hAnsi="Times New Roman"/>
          <w:sz w:val="17"/>
          <w:szCs w:val="17"/>
          <w:color w:val="auto"/>
        </w:rPr>
        <w:t>Dividends of cash or property may not be declared or paid on shares of Class D common stock.</w:t>
      </w:r>
    </w:p>
    <w:p>
      <w:pPr>
        <w:spacing w:after="0" w:line="2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i w:val="1"/>
          <w:iCs w:val="1"/>
          <w:color w:val="auto"/>
        </w:rPr>
        <w:t xml:space="preserve">Liquidation rights. </w:t>
      </w:r>
      <w:r>
        <w:rPr>
          <w:rFonts w:ascii="Times New Roman" w:cs="Times New Roman" w:eastAsia="Times New Roman" w:hAnsi="Times New Roman"/>
          <w:sz w:val="17"/>
          <w:szCs w:val="17"/>
          <w:color w:val="auto"/>
        </w:rPr>
        <w:t>In the event of any voluntary or involuntary liquidation, dissolution or winding-up of the affairs of the Company, after payment or provision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payment of the debts and other liabilities and of the preferential and other amounts to which the holders of preferred stock are entitled, if any, the holders of shares of Class D common stock will not be entitled to receive, with respect to such shares, any assets of the Company in excess of the par value thereof. Notwithstanding the foregoing, the holders of Class D common stock will have the right to exchange their shares of Class B common stock, together with the corresponding Class B Units constituting the remainder of any paired interests (as defined in the Charter) in which such shares are included, for shares of Class C common stock or for the consideration payable in respect of shares of Class C common stock in such voluntary or involuntary liquidation, dissolution or winding-up.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Redeemable preferred non-controlling interests</w:t>
      </w:r>
    </w:p>
    <w:p>
      <w:pPr>
        <w:spacing w:after="0" w:line="219" w:lineRule="exact"/>
        <w:rPr>
          <w:sz w:val="20"/>
          <w:szCs w:val="20"/>
          <w:color w:val="auto"/>
        </w:rPr>
      </w:pPr>
    </w:p>
    <w:p>
      <w:pPr>
        <w:jc w:val="both"/>
        <w:ind w:firstLine="298"/>
        <w:spacing w:after="0" w:line="253" w:lineRule="auto"/>
        <w:rPr>
          <w:sz w:val="20"/>
          <w:szCs w:val="20"/>
          <w:color w:val="auto"/>
        </w:rPr>
      </w:pPr>
      <w:r>
        <w:rPr>
          <w:rFonts w:ascii="Times New Roman" w:cs="Times New Roman" w:eastAsia="Times New Roman" w:hAnsi="Times New Roman"/>
          <w:sz w:val="17"/>
          <w:szCs w:val="17"/>
          <w:color w:val="auto"/>
        </w:rPr>
        <w:t>On November 29, 2021, as part of an exchange agreement (“Hillman exchange”), the Company issued 300,000 Series A-1 preferred units to Hillman in return for Hillman’s non-controlling interest in four RNG project subsidiaries.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50"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On November 29, 2021, Mendocino Capital LLC (“NextEra”) subscribed for up to 1,000,000 Series A preferred units, which are issuable (in whole or in increments) at the Company’s discretion prior to June 30, 2022. As of December 31, 2021, no Series A preferred units were issued. During the nine months ended September 30, 2022, the Company had drawn $100,000 and issued 1,000,000 Series A preferred units.</w:t>
      </w:r>
    </w:p>
    <w:p>
      <w:pPr>
        <w:spacing w:after="0" w:line="195" w:lineRule="exact"/>
        <w:rPr>
          <w:sz w:val="20"/>
          <w:szCs w:val="20"/>
          <w:color w:val="auto"/>
        </w:rPr>
      </w:pPr>
    </w:p>
    <w:p>
      <w:pPr>
        <w:jc w:val="both"/>
        <w:ind w:firstLine="298"/>
        <w:spacing w:after="0" w:line="249" w:lineRule="auto"/>
        <w:rPr>
          <w:sz w:val="20"/>
          <w:szCs w:val="20"/>
          <w:color w:val="auto"/>
        </w:rPr>
      </w:pPr>
      <w:r>
        <w:rPr>
          <w:rFonts w:ascii="Times New Roman" w:cs="Times New Roman" w:eastAsia="Times New Roman" w:hAnsi="Times New Roman"/>
          <w:sz w:val="17"/>
          <w:szCs w:val="17"/>
          <w:color w:val="auto"/>
        </w:rPr>
        <w:t>Upon completion of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incurred issuance costs of $267 in third-party legal fees in the fourth quarter of 2021, which was presented as Deferred financing costs in the consolidated balance sheet as of December 31, 2021. The Company has elected to adjust the carrying value of the preferred units to the redemption value at the end of each reporting period by immediately amortizing the issuance costs in the first reporting period after issuance of the preferred units. Therefore, the Company amortized the $267 to Retained earnings component of Members' equity as of September 30, 2022.</w:t>
      </w:r>
    </w:p>
    <w:p>
      <w:pPr>
        <w:spacing w:after="0" w:line="337"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The following table summarizes the changes in the redeemable preferred non-controlling interests which represent Series A and Series A-1 preferred units outstanding at OPAL Fuels level from December 31, 2021 to September 30,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940" w:type="dxa"/>
            <w:vAlign w:val="bottom"/>
          </w:tcPr>
          <w:p>
            <w:pPr>
              <w:spacing w:after="0"/>
              <w:rPr>
                <w:sz w:val="19"/>
                <w:szCs w:val="19"/>
                <w:color w:val="auto"/>
              </w:rPr>
            </w:pPr>
          </w:p>
        </w:tc>
        <w:tc>
          <w:tcPr>
            <w:tcW w:w="3160" w:type="dxa"/>
            <w:vAlign w:val="bottom"/>
            <w:gridSpan w:val="5"/>
          </w:tcPr>
          <w:p>
            <w:pPr>
              <w:ind w:left="620"/>
              <w:spacing w:after="0"/>
              <w:rPr>
                <w:sz w:val="20"/>
                <w:szCs w:val="20"/>
                <w:color w:val="auto"/>
              </w:rPr>
            </w:pPr>
            <w:r>
              <w:rPr>
                <w:rFonts w:ascii="Times New Roman" w:cs="Times New Roman" w:eastAsia="Times New Roman" w:hAnsi="Times New Roman"/>
                <w:sz w:val="17"/>
                <w:szCs w:val="17"/>
                <w:b w:val="1"/>
                <w:bCs w:val="1"/>
                <w:color w:val="auto"/>
              </w:rPr>
              <w:t>Series A-1 preferred units</w:t>
            </w:r>
          </w:p>
        </w:tc>
        <w:tc>
          <w:tcPr>
            <w:tcW w:w="3140" w:type="dxa"/>
            <w:vAlign w:val="bottom"/>
            <w:gridSpan w:val="4"/>
          </w:tcPr>
          <w:p>
            <w:pPr>
              <w:jc w:val="right"/>
              <w:ind w:right="637"/>
              <w:spacing w:after="0"/>
              <w:rPr>
                <w:sz w:val="20"/>
                <w:szCs w:val="20"/>
                <w:color w:val="auto"/>
              </w:rPr>
            </w:pPr>
            <w:r>
              <w:rPr>
                <w:rFonts w:ascii="Times New Roman" w:cs="Times New Roman" w:eastAsia="Times New Roman" w:hAnsi="Times New Roman"/>
                <w:sz w:val="17"/>
                <w:szCs w:val="17"/>
                <w:b w:val="1"/>
                <w:bCs w:val="1"/>
                <w:color w:val="auto"/>
              </w:rPr>
              <w:t>Series A preferred units</w:t>
            </w:r>
          </w:p>
        </w:tc>
      </w:tr>
      <w:tr>
        <w:trPr>
          <w:trHeight w:val="204"/>
        </w:trPr>
        <w:tc>
          <w:tcPr>
            <w:tcW w:w="4940" w:type="dxa"/>
            <w:vAlign w:val="bottom"/>
          </w:tcPr>
          <w:p>
            <w:pPr>
              <w:spacing w:after="0"/>
              <w:rPr>
                <w:sz w:val="17"/>
                <w:szCs w:val="17"/>
                <w:color w:val="auto"/>
              </w:rPr>
            </w:pPr>
          </w:p>
        </w:tc>
        <w:tc>
          <w:tcPr>
            <w:tcW w:w="1580" w:type="dxa"/>
            <w:vAlign w:val="bottom"/>
            <w:tcBorders>
              <w:top w:val="single" w:sz="8" w:color="auto"/>
            </w:tcBorders>
            <w:gridSpan w:val="2"/>
          </w:tcPr>
          <w:p>
            <w:pPr>
              <w:ind w:left="56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7"/>
                <w:szCs w:val="17"/>
                <w:color w:val="auto"/>
              </w:rPr>
            </w:pPr>
          </w:p>
        </w:tc>
        <w:tc>
          <w:tcPr>
            <w:tcW w:w="16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04"/>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31, 2021</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30,210</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49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Series A units issued by OPAL Fuels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r>
      <w:tr>
        <w:trPr>
          <w:trHeight w:val="21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Paid-in-kind dividends attributable to OPAL Fuels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3,031</w:t>
            </w:r>
          </w:p>
        </w:tc>
      </w:tr>
      <w:tr>
        <w:trPr>
          <w:trHeight w:val="211"/>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Paid-in kind dividends attributable to Class A common stockholders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29"/>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September 30, 2022</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103,273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Terms of Redeemable preferred units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Series A and Series A-1 preferred units (together the “Preferred Units”) have substantially the same terms and features which are listed below:</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 of assets and (iv) major acquisition of assets outside of the Company’s primary business.</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Liquidation preference: In the event of liquidation of the Company, each holder of a unit of Series A and Series A-1 is entitled to be paid on pro-rata basis the original issue price of $100 per unit plus any accrued and unpaid dividends out of the assets of the Company available for distribution after payment of the Company’s debt and liabilities and liquidation expenses.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Redemption: At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6" w:lineRule="exact"/>
        <w:rPr>
          <w:sz w:val="20"/>
          <w:szCs w:val="20"/>
          <w:color w:val="auto"/>
        </w:rPr>
      </w:pPr>
    </w:p>
    <w:p>
      <w:pPr>
        <w:jc w:val="both"/>
        <w:ind w:left="1"/>
        <w:spacing w:after="0" w:line="280" w:lineRule="auto"/>
        <w:rPr>
          <w:sz w:val="20"/>
          <w:szCs w:val="20"/>
          <w:color w:val="auto"/>
        </w:rPr>
      </w:pPr>
      <w:r>
        <w:rPr>
          <w:rFonts w:ascii="Times New Roman" w:cs="Times New Roman" w:eastAsia="Times New Roman" w:hAnsi="Times New Roman"/>
          <w:sz w:val="16"/>
          <w:szCs w:val="16"/>
          <w:color w:val="auto"/>
        </w:rPr>
        <w:t>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spacing w:after="0" w:line="176" w:lineRule="exact"/>
        <w:rPr>
          <w:sz w:val="20"/>
          <w:szCs w:val="20"/>
          <w:color w:val="auto"/>
        </w:rPr>
      </w:pPr>
    </w:p>
    <w:p>
      <w:pPr>
        <w:jc w:val="both"/>
        <w:ind w:left="1"/>
        <w:spacing w:after="0" w:line="248" w:lineRule="auto"/>
        <w:rPr>
          <w:sz w:val="20"/>
          <w:szCs w:val="20"/>
          <w:color w:val="auto"/>
        </w:rPr>
      </w:pPr>
      <w:r>
        <w:rPr>
          <w:rFonts w:ascii="Times New Roman" w:cs="Times New Roman" w:eastAsia="Times New Roman" w:hAnsi="Times New Roman"/>
          <w:sz w:val="17"/>
          <w:szCs w:val="17"/>
          <w:color w:val="auto"/>
        </w:rPr>
        <w:t>Conversion: Holder’s may elect to convert Preferred Units into common units in the limited chance that the Company fails to redeem the Preferred 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2nd year, and a 30% discount thereafter:</w:t>
      </w:r>
    </w:p>
    <w:p>
      <w:pPr>
        <w:spacing w:after="0" w:line="202" w:lineRule="exact"/>
        <w:rPr>
          <w:sz w:val="20"/>
          <w:szCs w:val="20"/>
          <w:color w:val="auto"/>
        </w:rPr>
      </w:pPr>
    </w:p>
    <w:p>
      <w:pPr>
        <w:ind w:left="161" w:hanging="161"/>
        <w:spacing w:after="0"/>
        <w:tabs>
          <w:tab w:leader="none" w:pos="16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Using 20-day volume-weighted average price (“VWAP”) of the Company's common shares.</w:t>
      </w:r>
    </w:p>
    <w:p>
      <w:pPr>
        <w:spacing w:after="0" w:line="227" w:lineRule="exact"/>
        <w:rPr>
          <w:rFonts w:ascii="Times New Roman" w:cs="Times New Roman" w:eastAsia="Times New Roman" w:hAnsi="Times New Roman"/>
          <w:sz w:val="17"/>
          <w:szCs w:val="17"/>
          <w:color w:val="auto"/>
        </w:rPr>
      </w:pPr>
    </w:p>
    <w:p>
      <w:pPr>
        <w:ind w:left="161" w:hanging="161"/>
        <w:spacing w:after="0"/>
        <w:tabs>
          <w:tab w:leader="none" w:pos="16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the estimated proceeds to be received by the holder of a common unit if the net assets of the Company were sold at fair market value and distributed.</w:t>
      </w:r>
    </w:p>
    <w:p>
      <w:pPr>
        <w:spacing w:after="0" w:line="22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Redeemable non-controlling interests</w:t>
      </w:r>
    </w:p>
    <w:p>
      <w:pPr>
        <w:spacing w:after="0" w:line="231" w:lineRule="exact"/>
        <w:rPr>
          <w:sz w:val="20"/>
          <w:szCs w:val="20"/>
          <w:color w:val="auto"/>
        </w:rPr>
      </w:pPr>
    </w:p>
    <w:p>
      <w:pPr>
        <w:jc w:val="both"/>
        <w:ind w:left="1" w:firstLine="298"/>
        <w:spacing w:after="0" w:line="250" w:lineRule="auto"/>
        <w:rPr>
          <w:sz w:val="20"/>
          <w:szCs w:val="20"/>
          <w:color w:val="auto"/>
        </w:rPr>
      </w:pPr>
      <w:r>
        <w:rPr>
          <w:rFonts w:ascii="Times New Roman" w:cs="Times New Roman" w:eastAsia="Times New Roman" w:hAnsi="Times New Roman"/>
          <w:sz w:val="17"/>
          <w:szCs w:val="17"/>
          <w:color w:val="auto"/>
        </w:rPr>
        <w:t>Upon consummation of Business Combination, OPAL Fuels and its members caused the existing limited liability company agreement to be amended and restated and in connection therewith, all of the common units of OPAL Fuels LLC issued and outstanding immediately prior to the closing were re-classified into 144,399,037 Class B Units ("OPAL Class B Units"). Each Class B Unit is paired with 1 non-economic share of Class D common stock issued by the Company. Each pair of Class B Unit and 1 share of Class D common stock is exchangeable to either 1 share of Class A common stock or 1 share of Class C common stock at the holder's option. Upon an exchange for Class A common stock, the Company has the option to redeem shares for cash at their market value.</w:t>
      </w:r>
    </w:p>
    <w:p>
      <w:pPr>
        <w:spacing w:after="0" w:line="200" w:lineRule="exact"/>
        <w:rPr>
          <w:sz w:val="20"/>
          <w:szCs w:val="20"/>
          <w:color w:val="auto"/>
        </w:rPr>
      </w:pPr>
    </w:p>
    <w:p>
      <w:pPr>
        <w:jc w:val="both"/>
        <w:ind w:left="1" w:firstLine="298"/>
        <w:spacing w:after="0" w:line="252" w:lineRule="auto"/>
        <w:rPr>
          <w:sz w:val="20"/>
          <w:szCs w:val="20"/>
          <w:color w:val="auto"/>
        </w:rPr>
      </w:pPr>
      <w:r>
        <w:rPr>
          <w:rFonts w:ascii="Times New Roman" w:cs="Times New Roman" w:eastAsia="Times New Roman" w:hAnsi="Times New Roman"/>
          <w:sz w:val="17"/>
          <w:szCs w:val="17"/>
          <w:color w:val="auto"/>
        </w:rPr>
        <w:t>Redeemable non-controlling interests have been presented as mezzanine equity in the condensed consolidated statements of change in Redeemable non-controlling interests, Redeemable preferred non-controlling interests and stockholders' equity.At each balance sheet date, the Redeemable non-controlling interests are adjusted up to their redemption value if necessary, with an offset in Stockholders' equity. As of September 30, 2022, the Company recorded $1,160,723 to adjust the carrying value to their redemption value based on a 5 day VWAP of $8.47 per share.</w:t>
      </w:r>
    </w:p>
    <w:p>
      <w:pPr>
        <w:spacing w:after="0" w:line="16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15. Net Income (loss) Per Share</w:t>
      </w:r>
    </w:p>
    <w:p>
      <w:pPr>
        <w:spacing w:after="0" w:line="206" w:lineRule="exact"/>
        <w:rPr>
          <w:sz w:val="20"/>
          <w:szCs w:val="20"/>
          <w:color w:val="auto"/>
        </w:rPr>
      </w:pPr>
    </w:p>
    <w:p>
      <w:pPr>
        <w:jc w:val="both"/>
        <w:ind w:left="1" w:firstLine="298"/>
        <w:spacing w:after="0" w:line="249" w:lineRule="auto"/>
        <w:rPr>
          <w:sz w:val="20"/>
          <w:szCs w:val="20"/>
          <w:color w:val="auto"/>
        </w:rPr>
      </w:pPr>
      <w:r>
        <w:rPr>
          <w:rFonts w:ascii="Times New Roman" w:cs="Times New Roman" w:eastAsia="Times New Roman" w:hAnsi="Times New Roman"/>
          <w:sz w:val="17"/>
          <w:szCs w:val="17"/>
          <w:color w:val="auto"/>
        </w:rPr>
        <w:t>The basic loss per share of Class A common stock is computed by dividing the net loss attributable to Class A common stockholders by the weighted average number of Class A common stock outstanding during the period. Prior to the Business Combination, the membership structure of OPAL Fuels included common units which shared in the profits and losses of OPAL Fuels LLC. The Company analyzed the calculation of earnings per units for periods prior to the consummation of the Business Combination and determined that such information would not be meaningful to the users of these unaudited condensed consolidated financial statements. Therefore net loss per share information has not been presented for periods prior to Business Combination on July 21, 2022. The basic and diluted net loss per share for the three and nine months ended September 30, 2022 represent only the period from July 21, 2022 to September 30, 2022.</w:t>
      </w:r>
    </w:p>
    <w:p>
      <w:pPr>
        <w:spacing w:after="0" w:line="175" w:lineRule="exact"/>
        <w:rPr>
          <w:sz w:val="20"/>
          <w:szCs w:val="20"/>
          <w:color w:val="auto"/>
        </w:rPr>
      </w:pPr>
    </w:p>
    <w:p>
      <w:pPr>
        <w:jc w:val="both"/>
        <w:ind w:left="1" w:firstLine="298"/>
        <w:spacing w:after="0" w:line="249" w:lineRule="auto"/>
        <w:rPr>
          <w:sz w:val="20"/>
          <w:szCs w:val="20"/>
          <w:color w:val="auto"/>
        </w:rPr>
      </w:pPr>
      <w:r>
        <w:rPr>
          <w:rFonts w:ascii="Times New Roman" w:cs="Times New Roman" w:eastAsia="Times New Roman" w:hAnsi="Times New Roman"/>
          <w:sz w:val="17"/>
          <w:szCs w:val="17"/>
          <w:color w:val="auto"/>
        </w:rPr>
        <w:t>The diluted loss per share of Class A common stock for the three and nine months ended September 30, 2022 does not include Redeemable preferred non-controlling interests, Convertible Note Payable because the substantive contingency for conversion has not been met as of September 30, 2022. It does not include 9,223,261 Private Warrants and 6,223,261 Public Warrants as their strike price at $11.50 exceeded the average market price for the Company during the measurement period. It does not include 144,399,037 OPAL Fuels Class B units representing Redeemable non-controlling interest as its impact is anti-dilutive. It does not include 763,908 Sponsor Earnout Awards and 10,000,000 OPAL Earnout Awards as their target share price and adjusted EBITDA contingencies have not been met as of September 30, 2022.</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F-47</w:t>
      </w:r>
    </w:p>
    <w:p>
      <w:pPr>
        <w:sectPr>
          <w:pgSz w:w="11900" w:h="16838" w:orient="portrait"/>
          <w:cols w:equalWidth="0" w:num="1">
            <w:col w:w="11241"/>
          </w:cols>
          <w:pgMar w:left="319" w:top="1440" w:right="339" w:bottom="1440" w:gutter="0" w:footer="0" w:header="0"/>
        </w:sectPr>
      </w:pPr>
    </w:p>
    <w:bookmarkStart w:id="53" w:name="page54"/>
    <w:bookmarkEnd w:id="53"/>
    <w:p>
      <w:pPr>
        <w:spacing w:after="0" w:line="163" w:lineRule="exact"/>
        <w:rPr>
          <w:sz w:val="20"/>
          <w:szCs w:val="20"/>
          <w:color w:val="auto"/>
        </w:rPr>
      </w:pPr>
    </w:p>
    <w:p>
      <w:pPr>
        <w:jc w:val="both"/>
        <w:ind w:left="1" w:firstLine="298"/>
        <w:spacing w:after="0" w:line="268" w:lineRule="auto"/>
        <w:rPr>
          <w:sz w:val="20"/>
          <w:szCs w:val="20"/>
          <w:color w:val="auto"/>
        </w:rPr>
      </w:pPr>
      <w:r>
        <w:rPr>
          <w:rFonts w:ascii="Times New Roman" w:cs="Times New Roman" w:eastAsia="Times New Roman" w:hAnsi="Times New Roman"/>
          <w:sz w:val="17"/>
          <w:szCs w:val="17"/>
          <w:color w:val="auto"/>
        </w:rPr>
        <w:t>The Class D common stock does not participate in the earnings or losses of the Company and are therefore not participating securities. As such, separate presentation of basic and diluted earnings per share of Class D common stock under the two-class method has not been presented.</w:t>
      </w:r>
    </w:p>
    <w:p>
      <w:pPr>
        <w:spacing w:after="0" w:line="85" w:lineRule="exact"/>
        <w:rPr>
          <w:sz w:val="20"/>
          <w:szCs w:val="20"/>
          <w:color w:val="auto"/>
        </w:rPr>
      </w:pPr>
    </w:p>
    <w:tbl>
      <w:tblPr>
        <w:tblLayout w:type="fixed"/>
        <w:tblInd w:w="301" w:type="dxa"/>
        <w:tblCellMar>
          <w:top w:w="0" w:type="dxa"/>
          <w:left w:w="0" w:type="dxa"/>
          <w:bottom w:w="0" w:type="dxa"/>
          <w:right w:w="0" w:type="dxa"/>
        </w:tblCellMar>
      </w:tblP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summarizes the calculation of basic and diluted net loss per share:</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8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78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66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Class A common stockholders</w:t>
            </w:r>
          </w:p>
        </w:tc>
        <w:tc>
          <w:tcPr>
            <w:tcW w:w="18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Less: change in fair value of the put option on the forward purchase agreement</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 Net loss attributable to Class A common stockholders</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number of shares of Class A common stock - basic</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25,671,390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25,671,390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Effect of the dilutive put option on a forward purchase agreement</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152,382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152,382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number of shares of Class A common stock - diluted</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25,823,772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25,823,772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Net loss per share of Class A common stock</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66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80" w:type="dxa"/>
            <w:vAlign w:val="bottom"/>
          </w:tcPr>
          <w:p>
            <w:pPr>
              <w:spacing w:after="0"/>
              <w:rPr>
                <w:sz w:val="24"/>
                <w:szCs w:val="24"/>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7"/>
                <w:szCs w:val="17"/>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80" w:type="dxa"/>
            <w:vAlign w:val="bottom"/>
          </w:tcPr>
          <w:p>
            <w:pPr>
              <w:spacing w:after="0"/>
              <w:rPr>
                <w:sz w:val="24"/>
                <w:szCs w:val="24"/>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16. Income taxes</w:t>
      </w:r>
    </w:p>
    <w:p>
      <w:pPr>
        <w:spacing w:after="0" w:line="206" w:lineRule="exact"/>
        <w:rPr>
          <w:sz w:val="20"/>
          <w:szCs w:val="20"/>
          <w:color w:val="auto"/>
        </w:rPr>
      </w:pPr>
    </w:p>
    <w:p>
      <w:pPr>
        <w:jc w:val="both"/>
        <w:ind w:left="1"/>
        <w:spacing w:after="0" w:line="246" w:lineRule="auto"/>
        <w:rPr>
          <w:sz w:val="20"/>
          <w:szCs w:val="20"/>
          <w:color w:val="auto"/>
        </w:rPr>
      </w:pPr>
      <w:r>
        <w:rPr>
          <w:rFonts w:ascii="Times New Roman" w:cs="Times New Roman" w:eastAsia="Times New Roman" w:hAnsi="Times New Roman"/>
          <w:sz w:val="17"/>
          <w:szCs w:val="17"/>
          <w:color w:val="auto"/>
        </w:rPr>
        <w:t>As a result of the Company’s up-C structure effective with the Business Combinations, the Company expects to be a tax-paying entity. However, as the Company has historically been loss-making, any deferred tax assets created as a result of net operating losses and other deferred tax assets for the excess of tax basis in the Company's investment in Opal Fuels would be offset by a full valuation allowance. Prior to the Business Combination, OPAL Fuels was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various tax returns are subject to audit by various tax authorities. Although the Company believes that its estimates are reasonable, actual results could differ from these estimates.</w:t>
      </w:r>
    </w:p>
    <w:p>
      <w:pPr>
        <w:spacing w:after="0" w:line="182" w:lineRule="exact"/>
        <w:rPr>
          <w:sz w:val="20"/>
          <w:szCs w:val="20"/>
          <w:color w:val="auto"/>
        </w:rPr>
      </w:pPr>
    </w:p>
    <w:p>
      <w:pPr>
        <w:jc w:val="both"/>
        <w:ind w:left="1" w:firstLine="597"/>
        <w:spacing w:after="0" w:line="249" w:lineRule="auto"/>
        <w:rPr>
          <w:sz w:val="20"/>
          <w:szCs w:val="20"/>
          <w:color w:val="auto"/>
        </w:rPr>
      </w:pPr>
      <w:r>
        <w:rPr>
          <w:rFonts w:ascii="Times New Roman" w:cs="Times New Roman" w:eastAsia="Times New Roman" w:hAnsi="Times New Roman"/>
          <w:sz w:val="17"/>
          <w:szCs w:val="17"/>
          <w:color w:val="auto"/>
        </w:rPr>
        <w:t>For the three and nine months ended September 30, 2022, the Company recorded zero income tax expense. The effective tax rate for the three months ended September 30, 2022 was 0%. The difference between the Company’s effective tax rate for the three and nine months ended September 30, 2022 and the U.S. statutory tax rate of 21% was primarily due to a full valuation allowance recorded on the Company’s net U.S. deferred tax assets. The Company did not record a tax provision for the three and nine months ended September 30, 2021 primarily due to OPAL Fuels' status as a pass-through entity for U.S. federal income tax purposes. The Company evaluates the realizability of the deferred tax assets on a quarterly basis and establishes a valuation allowance when it is more likely than not that all or a portion of a deferred tax asset may not be realized.</w:t>
      </w:r>
    </w:p>
    <w:p>
      <w:pPr>
        <w:spacing w:after="0" w:line="109" w:lineRule="exact"/>
        <w:rPr>
          <w:sz w:val="20"/>
          <w:szCs w:val="20"/>
          <w:color w:val="auto"/>
        </w:rPr>
      </w:pPr>
    </w:p>
    <w:p>
      <w:pPr>
        <w:ind w:left="1" w:right="8640" w:hanging="1"/>
        <w:spacing w:after="0" w:line="517" w:lineRule="auto"/>
        <w:tabs>
          <w:tab w:leader="none" w:pos="249"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Letters of Credit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ectPr>
          <w:pgSz w:w="11900" w:h="16838" w:orient="portrait"/>
          <w:cols w:equalWidth="0" w:num="1">
            <w:col w:w="11241"/>
          </w:cols>
          <w:pgMar w:left="319" w:top="1440" w:right="339" w:bottom="1440" w:gutter="0" w:footer="0" w:header="0"/>
        </w:sectPr>
      </w:pPr>
    </w:p>
    <w:bookmarkStart w:id="54" w:name="page55"/>
    <w:bookmarkEnd w:id="54"/>
    <w:p>
      <w:pPr>
        <w:spacing w:after="0" w:line="163" w:lineRule="exact"/>
        <w:rPr>
          <w:sz w:val="20"/>
          <w:szCs w:val="20"/>
          <w:color w:val="auto"/>
        </w:rPr>
      </w:pPr>
    </w:p>
    <w:p>
      <w:pPr>
        <w:jc w:val="both"/>
        <w:ind w:firstLine="298"/>
        <w:spacing w:after="0" w:line="280" w:lineRule="auto"/>
        <w:rPr>
          <w:sz w:val="20"/>
          <w:szCs w:val="20"/>
          <w:color w:val="auto"/>
        </w:rPr>
      </w:pPr>
      <w:r>
        <w:rPr>
          <w:rFonts w:ascii="Times New Roman" w:cs="Times New Roman" w:eastAsia="Times New Roman" w:hAnsi="Times New Roman"/>
          <w:sz w:val="16"/>
          <w:szCs w:val="16"/>
          <w:color w:val="auto"/>
        </w:rPr>
        <w:t>As of September 30, 2022 and December 31, 2021, the Company was required to maintain nine standby letters of credit totaling $9,348 and $9,023,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 Options</w:t>
      </w:r>
    </w:p>
    <w:p>
      <w:pPr>
        <w:spacing w:after="0" w:line="144"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85"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32"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The Company is involved in various claims arising in the normal course of business. Management believes that the outcome of these claims will not have a material adverse effect on the Company's financial position, results of operations or cash flows.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Subsequent Events</w:t>
      </w:r>
    </w:p>
    <w:p>
      <w:pPr>
        <w:spacing w:after="0" w:line="144"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17"/>
          <w:szCs w:val="17"/>
          <w:color w:val="auto"/>
        </w:rPr>
        <w:t>On October 4, 2022, the Company granted 428,902 restricted stock units for certain eligible employees and board of directors under the OPAL Fuels Inc. 2022 Omnibus Equity Incentive Plan. The aggregate fair value of the grant was $3,405 based on the closing share price of $7.94 on October 3, 2022. The shares will vest in full on October 3, 2023. The amortization of the above grants will be included in the selling, general and administrative expenses in the condensed consolidated statement of operations beginning in the fourth quarter of 2022.</w:t>
      </w:r>
    </w:p>
    <w:p>
      <w:pPr>
        <w:spacing w:after="0" w:line="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October 12, 2022, the Company borrowed $12,500 under the OPAL Term Loan.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F-49</w:t>
      </w:r>
    </w:p>
    <w:p>
      <w:pPr>
        <w:sectPr>
          <w:pgSz w:w="11900" w:h="16838" w:orient="portrait"/>
          <w:cols w:equalWidth="0" w:num="1">
            <w:col w:w="11240"/>
          </w:cols>
          <w:pgMar w:left="320" w:top="144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30" w:lineRule="exact"/>
        <w:rPr>
          <w:sz w:val="20"/>
          <w:szCs w:val="20"/>
          <w:color w:val="auto"/>
        </w:rPr>
      </w:pPr>
    </w:p>
    <w:p>
      <w:pPr>
        <w:jc w:val="both"/>
        <w:ind w:firstLine="298"/>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In this Management's Discussion and Analysis of Financial Condition and Results of Operations section, references to "OPAL", "we", "us", "our", and the "Company" refer to </w:t>
      </w:r>
      <w:r>
        <w:rPr>
          <w:rFonts w:ascii="Times New Roman" w:cs="Times New Roman" w:eastAsia="Times New Roman" w:hAnsi="Times New Roman"/>
          <w:sz w:val="17"/>
          <w:szCs w:val="17"/>
          <w:color w:val="auto"/>
        </w:rPr>
        <w:t>OPAL Fuels Inc.</w:t>
      </w:r>
      <w:r>
        <w:rPr>
          <w:rFonts w:ascii="Times New Roman" w:cs="Times New Roman" w:eastAsia="Times New Roman" w:hAnsi="Times New Roman"/>
          <w:sz w:val="17"/>
          <w:szCs w:val="17"/>
          <w:i w:val="1"/>
          <w:iCs w:val="1"/>
          <w:color w:val="auto"/>
        </w:rPr>
        <w:t xml:space="preserve"> and its consolidated subsidiaries. The following discussion and analysis should be read in conjunction with the Company's unaudited condensed consolidated financial statements as of September 30, 2022 and for the three and nine months ended September 30, 2022 and 2021, audited consolidated financial statements and notes thereto included in the Company's Current Report on Form 8K, which was filed with Securities and Exchange Commission (the "SEC") on July 27, 2022. In addition to historical information, this discussion and analysis includes certain forward-looking statements which reflect our current expectations. The Company's actual results may materially differ from these forward-looking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 w:lineRule="exact"/>
        <w:rPr>
          <w:sz w:val="20"/>
          <w:szCs w:val="20"/>
          <w:color w:val="auto"/>
        </w:rPr>
      </w:pPr>
    </w:p>
    <w:p>
      <w:pPr>
        <w:jc w:val="both"/>
        <w:ind w:firstLine="298"/>
        <w:spacing w:after="0" w:line="261" w:lineRule="auto"/>
        <w:rPr>
          <w:sz w:val="20"/>
          <w:szCs w:val="20"/>
          <w:color w:val="auto"/>
        </w:rPr>
      </w:pPr>
      <w:r>
        <w:rPr>
          <w:rFonts w:ascii="Times New Roman" w:cs="Times New Roman" w:eastAsia="Times New Roman" w:hAnsi="Times New Roman"/>
          <w:sz w:val="16"/>
          <w:szCs w:val="16"/>
          <w:color w:val="auto"/>
        </w:rPr>
        <w:t>We are a renewable energy company specializing in the capture and conversion of biogas for the (i) production of renewable natural gas ("RNG") for use as a vehicle fuel for heavy and medium-duty trucking fleets, (ii) generation of electricity generated from renewable sources ("Renewable Power") for sale to utilities, (iii) generation and sale of Environmental Attributes (as defined below)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LFG and dairy manure as the source of the biogas. In addition, we have has recently begun implementing design, development, and construction services for hydrogen Fueling Stations, and we are pursuing opportunities to diversify its sources of biogas to other waste streams. The term “Environmental Attributes” refers to federal, state and local government incentives in the United States, provided in the form of renewable identification numbers (“RINs,”) renewable energy credits (“RECs”), low carbon fuel standard (“LCFS”) credits, rebates, tax credits and other incentives to end users, distributors, system integrators and manufacturers of renewable energy projects, that promote the use of renewable energy.We separately design, develop, construct, operate and service Fueling Stations for vehicle fleets across the country that dispense RNG and/or compressed natural gas ("CNG") to displace diesel as a fleet transportation fuel.</w:t>
      </w:r>
    </w:p>
    <w:p>
      <w:pPr>
        <w:spacing w:after="0" w:line="108" w:lineRule="exact"/>
        <w:rPr>
          <w:sz w:val="20"/>
          <w:szCs w:val="20"/>
          <w:color w:val="auto"/>
        </w:rPr>
      </w:pPr>
    </w:p>
    <w:p>
      <w:pPr>
        <w:jc w:val="both"/>
        <w:ind w:firstLine="298"/>
        <w:spacing w:after="0" w:line="248" w:lineRule="auto"/>
        <w:rPr>
          <w:sz w:val="20"/>
          <w:szCs w:val="20"/>
          <w:color w:val="auto"/>
        </w:rPr>
      </w:pPr>
      <w:r>
        <w:rPr>
          <w:rFonts w:ascii="Times New Roman" w:cs="Times New Roman" w:eastAsia="Times New Roman" w:hAnsi="Times New Roman"/>
          <w:sz w:val="17"/>
          <w:szCs w:val="17"/>
          <w:color w:val="auto"/>
        </w:rPr>
        <w:t>The Company was formerly known as Arclight Clean Transition Corp II ("Arclight"), which was a blank check company incorporated in Cayman Islands on January 13, 2021. Arclight was formed for the purpose of effecting a merger, share exchange, asset acquisition, reorganization or similar business combination with one or more businesses. OPAL Fuels LLC was formed in December 2020 as a wholly owned subsidiary of OPAL HoldCo under the laws of the State of Delaware. On December 31, 2020, Fortistar LLC and certain of its affiliated entities contributed their respective ownership interests in the following legal entities to OPAL Fuels in a common-control reorganization: TruStar Energy Holdings LLC, Fortistar RNG LLC, Fortistar Methane 3 Holdings LLC, Fortistar Methane 3 LLC, Fortistar Contracting LLC, and Fortistar Methane 4 LLC. On December 2, 2021, the Company, OPAL Holdco and OPAL Fuels entered into a business combination agreement ("Business Combination Agreement").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combination</w:t>
      </w:r>
    </w:p>
    <w:p>
      <w:pPr>
        <w:spacing w:after="0" w:line="13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On July 21, 2022, we completed the Business Combination. After giving effect to the Business Combination, the redemption of public shares as described below, the consummation of the related PIPE investment, and the separation of the former ArcLight units, there are currently (i) 25,171,390 shares of our Class A common stock issued and outstanding, (ii) 144,399,037 shares of our Class D common stock issued and outstanding, (iii) no shares of Class B common stock, par value $0.0001 per share (“Class B common stock”) issued and outstanding (shares of Class B common stock do not have any economic value but entitle the holder thereof to one vote per share) and (iv) no shares of our Class C common stock, par value $0.0001 per share, (“Class C common stock”) issued and outstanding (shares of Class C common stock entitle the holder thereof to five votes per share). The Class A common stock and warrants commenced trading on the Nasdaq Global Select Market under the symbols “OPAL” and “OPALW,” respectively, on July 22,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 developments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Construction Update</w:t>
      </w:r>
    </w:p>
    <w:p>
      <w:pPr>
        <w:spacing w:after="0" w:line="206" w:lineRule="exact"/>
        <w:rPr>
          <w:sz w:val="20"/>
          <w:szCs w:val="20"/>
          <w:color w:val="auto"/>
        </w:rPr>
      </w:pPr>
    </w:p>
    <w:p>
      <w:pPr>
        <w:jc w:val="both"/>
        <w:ind w:left="600" w:hanging="302"/>
        <w:spacing w:after="0" w:line="241" w:lineRule="auto"/>
        <w:tabs>
          <w:tab w:leader="none" w:pos="59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begun construction on a renewable power to RNG conversion project in the Northeast bringing to seven the number of RNG facilities under construction as of September 30, 2022, with anticipated aggregate nameplate capacity of 4.2 million MMBtu of landfill biogas and 0.6 million MMBtu of dairy biogas.</w:t>
      </w:r>
    </w:p>
    <w:p>
      <w:pPr>
        <w:spacing w:after="0" w:line="194" w:lineRule="exact"/>
        <w:rPr>
          <w:rFonts w:ascii="Times New Roman" w:cs="Times New Roman" w:eastAsia="Times New Roman" w:hAnsi="Times New Roman"/>
          <w:sz w:val="17"/>
          <w:szCs w:val="17"/>
          <w:color w:val="auto"/>
        </w:rPr>
      </w:pPr>
    </w:p>
    <w:p>
      <w:pPr>
        <w:ind w:left="600" w:hanging="302"/>
        <w:spacing w:after="0"/>
        <w:tabs>
          <w:tab w:leader="none" w:pos="600"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7"/>
          <w:szCs w:val="17"/>
          <w:color w:val="auto"/>
        </w:rPr>
        <w:t>Received RIN certification for New River in October and anticipate receiving RIN certification for Pine Bend by end of 2022.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865" w:right="339" w:bottom="1440" w:gutter="0" w:footer="0" w:header="0"/>
        </w:sectPr>
      </w:pPr>
    </w:p>
    <w:bookmarkStart w:id="56" w:name="page57"/>
    <w:bookmarkEnd w:id="56"/>
    <w:p>
      <w:pPr>
        <w:ind w:left="600" w:hanging="302"/>
        <w:spacing w:after="0" w:line="252" w:lineRule="auto"/>
        <w:tabs>
          <w:tab w:leader="none" w:pos="596" w:val="left"/>
        </w:tabs>
        <w:numPr>
          <w:ilvl w:val="0"/>
          <w:numId w:val="32"/>
        </w:numPr>
        <w:rPr>
          <w:rFonts w:ascii="Arial" w:cs="Arial" w:eastAsia="Arial" w:hAnsi="Arial"/>
          <w:sz w:val="17"/>
          <w:szCs w:val="17"/>
          <w:color w:val="auto"/>
        </w:rPr>
      </w:pPr>
      <w:r>
        <w:rPr>
          <w:rFonts w:ascii="Times New Roman" w:cs="Times New Roman" w:eastAsia="Times New Roman" w:hAnsi="Times New Roman"/>
          <w:sz w:val="17"/>
          <w:szCs w:val="17"/>
          <w:color w:val="auto"/>
        </w:rPr>
        <w:t>Emerald and Prince William RNG projects are expected to commence commercial operations by mid-2023 and the Sapphire RNG project by early 2024. OPAL Fuels’ share of annual nameplate capacity for these landfill projects is 3.8 million MMBtu.</w:t>
      </w:r>
    </w:p>
    <w:p>
      <w:pPr>
        <w:spacing w:after="0" w:line="185" w:lineRule="exact"/>
        <w:rPr>
          <w:rFonts w:ascii="Arial" w:cs="Arial" w:eastAsia="Arial" w:hAnsi="Arial"/>
          <w:sz w:val="17"/>
          <w:szCs w:val="17"/>
          <w:color w:val="auto"/>
        </w:rPr>
      </w:pPr>
    </w:p>
    <w:p>
      <w:pPr>
        <w:ind w:left="600" w:hanging="302"/>
        <w:spacing w:after="0"/>
        <w:tabs>
          <w:tab w:leader="none" w:pos="600" w:val="left"/>
        </w:tabs>
        <w:numPr>
          <w:ilvl w:val="0"/>
          <w:numId w:val="32"/>
        </w:numPr>
        <w:rPr>
          <w:rFonts w:ascii="Arial" w:cs="Arial" w:eastAsia="Arial" w:hAnsi="Arial"/>
          <w:sz w:val="17"/>
          <w:szCs w:val="17"/>
          <w:color w:val="auto"/>
        </w:rPr>
      </w:pPr>
      <w:r>
        <w:rPr>
          <w:rFonts w:ascii="Times New Roman" w:cs="Times New Roman" w:eastAsia="Times New Roman" w:hAnsi="Times New Roman"/>
          <w:sz w:val="17"/>
          <w:szCs w:val="17"/>
          <w:color w:val="auto"/>
        </w:rPr>
        <w:t>Construction is progressing at two Central Valley California dairy RNG projects with commercial operations anticipated in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Development Update</w:t>
      </w:r>
    </w:p>
    <w:p>
      <w:pPr>
        <w:spacing w:after="0" w:line="219" w:lineRule="exact"/>
        <w:rPr>
          <w:sz w:val="20"/>
          <w:szCs w:val="20"/>
          <w:color w:val="auto"/>
        </w:rPr>
      </w:pPr>
    </w:p>
    <w:p>
      <w:pPr>
        <w:ind w:left="600" w:hanging="302"/>
        <w:spacing w:after="0" w:line="252" w:lineRule="auto"/>
        <w:tabs>
          <w:tab w:leader="none" w:pos="596" w:val="left"/>
        </w:tabs>
        <w:numPr>
          <w:ilvl w:val="0"/>
          <w:numId w:val="33"/>
        </w:numPr>
        <w:rPr>
          <w:rFonts w:ascii="Arial" w:cs="Arial" w:eastAsia="Arial" w:hAnsi="Arial"/>
          <w:sz w:val="17"/>
          <w:szCs w:val="17"/>
          <w:color w:val="auto"/>
        </w:rPr>
      </w:pPr>
      <w:r>
        <w:rPr>
          <w:rFonts w:ascii="Times New Roman" w:cs="Times New Roman" w:eastAsia="Times New Roman" w:hAnsi="Times New Roman"/>
          <w:sz w:val="17"/>
          <w:szCs w:val="17"/>
          <w:color w:val="auto"/>
        </w:rPr>
        <w:t>The Company's Advanced Development Pipeline comprises 16 projects representing 7.4 million MMBtu of feedstock biogas per year consisting of 6.2 million MMBtu of landfill biogas, 0.5 million MMBtu dairy biogas, and 0.7 million MMBtu of food waste and wastewater biogas.</w:t>
      </w:r>
    </w:p>
    <w:p>
      <w:pPr>
        <w:spacing w:after="0" w:line="185" w:lineRule="exact"/>
        <w:rPr>
          <w:rFonts w:ascii="Arial" w:cs="Arial" w:eastAsia="Arial" w:hAnsi="Arial"/>
          <w:sz w:val="17"/>
          <w:szCs w:val="17"/>
          <w:color w:val="auto"/>
        </w:rPr>
      </w:pPr>
    </w:p>
    <w:p>
      <w:pPr>
        <w:ind w:left="600" w:hanging="302"/>
        <w:spacing w:after="0" w:line="239" w:lineRule="auto"/>
        <w:tabs>
          <w:tab w:leader="none" w:pos="59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evaluating nine of our existing renewable power projects comprising 3.2 million MMBtu per year of landfill biogas in light of the incentives in the Inflation Reduction Act.</w:t>
      </w:r>
    </w:p>
    <w:p>
      <w:pPr>
        <w:spacing w:after="0" w:line="194" w:lineRule="exact"/>
        <w:rPr>
          <w:rFonts w:ascii="Times New Roman" w:cs="Times New Roman" w:eastAsia="Times New Roman" w:hAnsi="Times New Roman"/>
          <w:sz w:val="17"/>
          <w:szCs w:val="17"/>
          <w:color w:val="auto"/>
        </w:rPr>
      </w:pPr>
    </w:p>
    <w:p>
      <w:pPr>
        <w:ind w:left="600" w:hanging="302"/>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total number of RNG dispensing stations grew from 69 at December 31, 2021, to 123 at September 30,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Impact of COVID-19</w:t>
      </w:r>
    </w:p>
    <w:p>
      <w:pPr>
        <w:spacing w:after="0" w:line="142" w:lineRule="exact"/>
        <w:rPr>
          <w:sz w:val="20"/>
          <w:szCs w:val="20"/>
          <w:color w:val="auto"/>
        </w:rPr>
      </w:pPr>
    </w:p>
    <w:p>
      <w:pPr>
        <w:jc w:val="both"/>
        <w:ind w:firstLine="298"/>
        <w:spacing w:after="0" w:line="250" w:lineRule="auto"/>
        <w:rPr>
          <w:sz w:val="20"/>
          <w:szCs w:val="20"/>
          <w:color w:val="auto"/>
        </w:rPr>
      </w:pPr>
      <w:r>
        <w:rPr>
          <w:rFonts w:ascii="Times New Roman" w:cs="Times New Roman" w:eastAsia="Times New Roman" w:hAnsi="Times New Roman"/>
          <w:sz w:val="17"/>
          <w:szCs w:val="17"/>
          <w:color w:val="auto"/>
        </w:rPr>
        <w:t>In response to the COVID-19 pandemic, we instituted a safety committee that oversees our compliance with federal, state, and local government mandates, and ensures that the Company adheres to Centers for Disease Control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the date of this report, the COVID-19 pandemic has had a relatively minimal economic impact on our results of operations.</w:t>
      </w:r>
    </w:p>
    <w:p>
      <w:pPr>
        <w:spacing w:after="0" w:line="128"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The duration and future economic severity of the COVID-19 remains uncertain, and our results of operations and financial condition could potentially face material adverse effect(s) in the future due to COVID-19.</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Accounting Policies</w:t>
      </w:r>
    </w:p>
    <w:p>
      <w:pPr>
        <w:spacing w:after="0" w:line="341" w:lineRule="exact"/>
        <w:rPr>
          <w:sz w:val="20"/>
          <w:szCs w:val="20"/>
          <w:color w:val="auto"/>
        </w:rPr>
      </w:pPr>
    </w:p>
    <w:p>
      <w:pPr>
        <w:jc w:val="both"/>
        <w:ind w:firstLine="597"/>
        <w:spacing w:after="0" w:line="239"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is based upon our interim unaudited condensed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w:t>
      </w:r>
    </w:p>
    <w:p>
      <w:pPr>
        <w:spacing w:after="0" w:line="195" w:lineRule="exact"/>
        <w:rPr>
          <w:sz w:val="20"/>
          <w:szCs w:val="20"/>
          <w:color w:val="auto"/>
        </w:rPr>
      </w:pPr>
    </w:p>
    <w:p>
      <w:pPr>
        <w:jc w:val="both"/>
        <w:ind w:firstLine="597"/>
        <w:spacing w:after="0" w:line="242" w:lineRule="auto"/>
        <w:rPr>
          <w:sz w:val="20"/>
          <w:szCs w:val="20"/>
          <w:color w:val="auto"/>
        </w:rPr>
      </w:pPr>
      <w:r>
        <w:rPr>
          <w:rFonts w:ascii="Times New Roman" w:cs="Times New Roman" w:eastAsia="Times New Roman" w:hAnsi="Times New Roman"/>
          <w:sz w:val="17"/>
          <w:szCs w:val="17"/>
          <w:color w:val="auto"/>
        </w:rPr>
        <w:t xml:space="preserve">Critical accounting policies are those that reflect significant judgments of uncertainties and potentially result in materially different results under different assumptions and conditions. As the discussion and analysis of our financial condition and results of operations are based upon our interim unaudited condensed consolidated financial statements, they do not include all of the information on critical accounting policies normally included in consolidated financial statements. Accordingly, a detailed description of these critical accounting policies should be read in conjunction with the consolidated financial statements and notes thereto included in the Company’s Current Report on 8-K, which was filed with </w:t>
      </w:r>
      <w:r>
        <w:rPr>
          <w:rFonts w:ascii="Times New Roman" w:cs="Times New Roman" w:eastAsia="Times New Roman" w:hAnsi="Times New Roman"/>
          <w:sz w:val="17"/>
          <w:szCs w:val="17"/>
          <w:i w:val="1"/>
          <w:iCs w:val="1"/>
          <w:color w:val="auto"/>
        </w:rPr>
        <w:t>SEC</w:t>
      </w:r>
      <w:r>
        <w:rPr>
          <w:rFonts w:ascii="Times New Roman" w:cs="Times New Roman" w:eastAsia="Times New Roman" w:hAnsi="Times New Roman"/>
          <w:sz w:val="17"/>
          <w:szCs w:val="17"/>
          <w:color w:val="auto"/>
        </w:rPr>
        <w:t xml:space="preserve"> on July 27,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353" w:lineRule="exact"/>
        <w:rPr>
          <w:sz w:val="20"/>
          <w:szCs w:val="20"/>
          <w:color w:val="auto"/>
        </w:rPr>
      </w:pPr>
    </w:p>
    <w:p>
      <w:pPr>
        <w:jc w:val="both"/>
        <w:ind w:firstLine="597"/>
        <w:spacing w:after="0" w:line="239" w:lineRule="auto"/>
        <w:rPr>
          <w:sz w:val="20"/>
          <w:szCs w:val="20"/>
          <w:color w:val="auto"/>
        </w:rPr>
      </w:pPr>
      <w:r>
        <w:rPr>
          <w:rFonts w:ascii="Times New Roman" w:cs="Times New Roman" w:eastAsia="Times New Roman" w:hAnsi="Times New Roman"/>
          <w:sz w:val="17"/>
          <w:szCs w:val="17"/>
          <w:color w:val="auto"/>
        </w:rPr>
        <w:t>The preparation of the condensed consolidated financial statements in conformity with U.S. GAAP requires management to make estimates and assumptions that affect the reported amounts of assets and liabilities,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relate to the useful lives of property, plant and equipment, the value of stock-based compensation and the fair value of derivatives including warrant liabilities, earnout liabilities, put option on a</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85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color w:val="auto"/>
        </w:rPr>
        <w:t>forward purchase agreement, interest rate swaps and commodity swap contracts. Actual results could differ from those estimates.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and Trends Influencing our Results of Operations</w:t>
      </w:r>
    </w:p>
    <w:p>
      <w:pPr>
        <w:spacing w:after="0" w:line="132"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elsewhere in this report.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Demand for RNG</w:t>
      </w:r>
    </w:p>
    <w:p>
      <w:pPr>
        <w:spacing w:after="0" w:line="204" w:lineRule="exact"/>
        <w:rPr>
          <w:sz w:val="20"/>
          <w:szCs w:val="20"/>
          <w:color w:val="auto"/>
        </w:rPr>
      </w:pPr>
    </w:p>
    <w:p>
      <w:pPr>
        <w:jc w:val="both"/>
        <w:ind w:firstLine="298"/>
        <w:spacing w:after="0" w:line="246" w:lineRule="auto"/>
        <w:rPr>
          <w:sz w:val="20"/>
          <w:szCs w:val="20"/>
          <w:color w:val="auto"/>
        </w:rPr>
      </w:pPr>
      <w:r>
        <w:rPr>
          <w:rFonts w:ascii="Times New Roman" w:cs="Times New Roman" w:eastAsia="Times New Roman" w:hAnsi="Times New Roman"/>
          <w:sz w:val="17"/>
          <w:szCs w:val="17"/>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(cellulosic biofuel with a 60% greenhouse gas (“GHG”) reduction requirement) RINs in accordance with the mandates established by the Energy Independence and Security Act of 2007. The Environmental Protection Agency's issuance of timely and sufficient annual RVOs to accommodate the RNG industry's growing production levels is necessary to stabilize the RIN market. The current authorization for the EPA's issuance of RVOs will expire beginning in 2023, and the EPA may issue RVOs under a modified system that has yet to be developed, which creates additional uncertainty as to RIN pricing. On the state level, the economics of RNG are enhanced by low-carbon fuel initiatives, particularly well-established programs in California and Oregon (with several other states also actively considering LCFS initiatives similar to those in California and Oregon). Federal and state regulatory developments could result in significant future changes to market demand for the RINs and LCFS credits we produce. This would have a corresponding impact to our revenue, net income, and cash flow.</w:t>
      </w:r>
    </w:p>
    <w:p>
      <w:pPr>
        <w:spacing w:after="0" w:line="96" w:lineRule="exact"/>
        <w:rPr>
          <w:sz w:val="20"/>
          <w:szCs w:val="20"/>
          <w:color w:val="auto"/>
        </w:rPr>
      </w:pPr>
    </w:p>
    <w:p>
      <w:pPr>
        <w:jc w:val="both"/>
        <w:ind w:firstLine="298"/>
        <w:spacing w:after="0" w:line="213" w:lineRule="exact"/>
        <w:rPr>
          <w:sz w:val="20"/>
          <w:szCs w:val="20"/>
          <w:color w:val="auto"/>
        </w:rPr>
      </w:pPr>
      <w:r>
        <w:rPr>
          <w:rFonts w:ascii="Times New Roman" w:cs="Times New Roman" w:eastAsia="Times New Roman" w:hAnsi="Times New Roman"/>
          <w:sz w:val="17"/>
          <w:szCs w:val="17"/>
          <w:color w:val="auto"/>
        </w:rPr>
        <w:t>Commercial transportation, including heavy-duty trucking, generates approximately 30% emissions of overall CO</w:t>
      </w:r>
      <w:r>
        <w:rPr>
          <w:rFonts w:ascii="MS PGothic" w:cs="MS PGothic" w:eastAsia="MS PGothic" w:hAnsi="MS PGothic"/>
          <w:sz w:val="17"/>
          <w:szCs w:val="17"/>
          <w:color w:val="auto"/>
        </w:rPr>
        <w:t>₂</w:t>
      </w:r>
      <w:r>
        <w:rPr>
          <w:rFonts w:ascii="Times New Roman" w:cs="Times New Roman" w:eastAsia="Times New Roman" w:hAnsi="Times New Roman"/>
          <w:sz w:val="17"/>
          <w:szCs w:val="17"/>
          <w:color w:val="auto"/>
        </w:rPr>
        <w:t xml:space="preserve"> and other climate-harming GHGs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are also exposed to the commodity prices of natural gas and diesel, which serve as alternative fuel for RNG and therefore impact the demand for RNG.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Renewable Power Markets</w:t>
      </w:r>
    </w:p>
    <w:p>
      <w:pPr>
        <w:spacing w:after="0" w:line="130" w:lineRule="exact"/>
        <w:rPr>
          <w:sz w:val="20"/>
          <w:szCs w:val="20"/>
          <w:color w:val="auto"/>
        </w:rPr>
      </w:pPr>
    </w:p>
    <w:p>
      <w:pPr>
        <w:jc w:val="both"/>
        <w:ind w:firstLine="298"/>
        <w:spacing w:after="0" w:line="248" w:lineRule="auto"/>
        <w:rPr>
          <w:sz w:val="20"/>
          <w:szCs w:val="20"/>
          <w:color w:val="auto"/>
        </w:rPr>
      </w:pPr>
      <w:r>
        <w:rPr>
          <w:rFonts w:ascii="Times New Roman" w:cs="Times New Roman" w:eastAsia="Times New Roman" w:hAnsi="Times New Roman"/>
          <w:sz w:val="17"/>
          <w:szCs w:val="17"/>
          <w:color w:val="auto"/>
        </w:rPr>
        <w:t>We also generate revenues from sales of RECs and Renewable Power generated by our biogas-to-Renewable Power projects. RECs exist because of legal and governmental regulatory requirements, and a change in law or in governmental policies concerning Renewable Power, landfill gas ("LFG"), or the sale of RECs could affect the market for, and the pricing of, the RECs that we generate through production at our Biogas Conversion Projects. We periodically evaluate opportunities to convert existing biogas-to-Renewable Power projects to RNG production. This strategy has been an increasingly attractive avenue for growth when RNG from landfills become eligible for D3 RINs. We have been negotiating with several of our Renewable Power off-takers to enter arrangements that would free up the LFG resource to produce RNG. Changes in the price we receive for RECs and Renewable Power, together with the revenue opportunities and conversion costs associated with converting our LFG sites to RNG production, could have a significant impact on our future profitability.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Components of Our Results of Operations</w:t>
      </w:r>
    </w:p>
    <w:p>
      <w:pPr>
        <w:spacing w:after="0" w:line="144" w:lineRule="exact"/>
        <w:rPr>
          <w:sz w:val="20"/>
          <w:szCs w:val="20"/>
          <w:color w:val="auto"/>
        </w:rPr>
      </w:pPr>
    </w:p>
    <w:p>
      <w:pPr>
        <w:jc w:val="both"/>
        <w:ind w:firstLine="298"/>
        <w:spacing w:after="0" w:line="246" w:lineRule="auto"/>
        <w:rPr>
          <w:sz w:val="20"/>
          <w:szCs w:val="20"/>
          <w:color w:val="auto"/>
        </w:rPr>
      </w:pPr>
      <w:r>
        <w:rPr>
          <w:rFonts w:ascii="Times New Roman" w:cs="Times New Roman" w:eastAsia="Times New Roman" w:hAnsi="Times New Roman"/>
          <w:sz w:val="17"/>
          <w:szCs w:val="17"/>
          <w:color w:val="auto"/>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statement of operations under the following captions:</w:t>
      </w:r>
    </w:p>
    <w:p>
      <w:pPr>
        <w:spacing w:after="0" w:line="1" w:lineRule="exact"/>
        <w:rPr>
          <w:sz w:val="20"/>
          <w:szCs w:val="20"/>
          <w:color w:val="auto"/>
        </w:rPr>
      </w:pPr>
    </w:p>
    <w:p>
      <w:pPr>
        <w:ind w:left="740" w:hanging="442"/>
        <w:spacing w:after="0" w:line="235" w:lineRule="auto"/>
        <w:tabs>
          <w:tab w:leader="none" w:pos="7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RNG Fuel. </w:t>
      </w:r>
      <w:r>
        <w:rPr>
          <w:rFonts w:ascii="Times New Roman" w:cs="Times New Roman" w:eastAsia="Times New Roman" w:hAnsi="Times New Roman"/>
          <w:sz w:val="17"/>
          <w:szCs w:val="17"/>
          <w:color w:val="auto"/>
        </w:rPr>
        <w:t>The RNG Fuel segment includes RNG supply and dispensing activities as well as the associated generation and sale of commodity natural gas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environmental credits, and consists of</w:t>
      </w:r>
    </w:p>
    <w:p>
      <w:pPr>
        <w:spacing w:after="0" w:line="208" w:lineRule="exact"/>
        <w:rPr>
          <w:rFonts w:ascii="Times New Roman" w:cs="Times New Roman" w:eastAsia="Times New Roman" w:hAnsi="Times New Roman"/>
          <w:sz w:val="17"/>
          <w:szCs w:val="17"/>
          <w:color w:val="auto"/>
        </w:rPr>
      </w:pPr>
    </w:p>
    <w:p>
      <w:pPr>
        <w:ind w:left="1340" w:right="320" w:hanging="446"/>
        <w:spacing w:after="0" w:line="254" w:lineRule="auto"/>
        <w:tabs>
          <w:tab w:leader="none" w:pos="133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RNG Production Facilities – the design, development, construction, maintenance and operation of facilities that convert raw biogas into pipeline quality natural gas</w:t>
      </w:r>
    </w:p>
    <w:p>
      <w:pPr>
        <w:ind w:left="1340" w:hanging="446"/>
        <w:spacing w:after="0"/>
        <w:tabs>
          <w:tab w:leader="none" w:pos="134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here are the Company's interests in both operating and construction projects.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869" w:right="339" w:bottom="1440" w:gutter="0" w:footer="0" w:header="0"/>
        </w:sectPr>
      </w:pPr>
    </w:p>
    <w:bookmarkStart w:id="58" w:name="page59"/>
    <w:bookmarkEnd w:id="58"/>
    <w:p>
      <w:pPr>
        <w:ind w:left="1340" w:hanging="446"/>
        <w:spacing w:after="0" w:line="268" w:lineRule="auto"/>
        <w:tabs>
          <w:tab w:leader="none" w:pos="1349"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RNG and CNG Fuel Dispensing Stations - This includes both the dispensing (or sale) of RNG, commodity natural gas, and environmental credit generation and monetization. The Company operates Fueling Stations that dispense both CNG and RNG fuel for vehicles.</w:t>
      </w:r>
    </w:p>
    <w:p>
      <w:pPr>
        <w:spacing w:after="0" w:line="168" w:lineRule="exact"/>
        <w:rPr>
          <w:rFonts w:ascii="Times New Roman" w:cs="Times New Roman" w:eastAsia="Times New Roman" w:hAnsi="Times New Roman"/>
          <w:sz w:val="17"/>
          <w:szCs w:val="17"/>
          <w:color w:val="auto"/>
        </w:rPr>
      </w:pPr>
    </w:p>
    <w:p>
      <w:pPr>
        <w:ind w:left="740" w:hanging="442"/>
        <w:spacing w:after="0" w:line="258" w:lineRule="auto"/>
        <w:tabs>
          <w:tab w:leader="none" w:pos="7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Fuel Station Services. </w:t>
      </w:r>
      <w:r>
        <w:rPr>
          <w:rFonts w:ascii="Times New Roman" w:cs="Times New Roman" w:eastAsia="Times New Roman" w:hAnsi="Times New Roman"/>
          <w:sz w:val="17"/>
          <w:szCs w:val="17"/>
          <w:color w:val="auto"/>
        </w:rPr>
        <w:t>Through its Fuel Station Services segment</w:t>
      </w:r>
      <w:r>
        <w:rPr>
          <w:rFonts w:ascii="Times New Roman" w:cs="Times New Roman" w:eastAsia="Times New Roman" w:hAnsi="Times New Roman"/>
          <w:sz w:val="17"/>
          <w:szCs w:val="17"/>
          <w:b w:val="1"/>
          <w:bCs w:val="1"/>
          <w:color w:val="auto"/>
        </w:rPr>
        <w:t>, t</w:t>
      </w:r>
      <w:r>
        <w:rPr>
          <w:rFonts w:ascii="Times New Roman" w:cs="Times New Roman" w:eastAsia="Times New Roman" w:hAnsi="Times New Roman"/>
          <w:sz w:val="17"/>
          <w:szCs w:val="17"/>
          <w:color w:val="auto"/>
        </w:rPr>
        <w:t>he Company provides construction and maintenance services to third-party owners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Fueling Stations. This segment includes:</w:t>
      </w:r>
    </w:p>
    <w:p>
      <w:pPr>
        <w:spacing w:after="0" w:line="180" w:lineRule="exact"/>
        <w:rPr>
          <w:rFonts w:ascii="Times New Roman" w:cs="Times New Roman" w:eastAsia="Times New Roman" w:hAnsi="Times New Roman"/>
          <w:sz w:val="17"/>
          <w:szCs w:val="17"/>
          <w:color w:val="auto"/>
        </w:rPr>
      </w:pPr>
    </w:p>
    <w:p>
      <w:pPr>
        <w:ind w:left="1340" w:hanging="446"/>
        <w:spacing w:after="0"/>
        <w:tabs>
          <w:tab w:leader="none" w:pos="134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and maintenance contracts for RNG/CNG Fueling Stations.</w:t>
      </w:r>
    </w:p>
    <w:p>
      <w:pPr>
        <w:spacing w:after="0" w:line="8" w:lineRule="exact"/>
        <w:rPr>
          <w:rFonts w:ascii="Times New Roman" w:cs="Times New Roman" w:eastAsia="Times New Roman" w:hAnsi="Times New Roman"/>
          <w:sz w:val="17"/>
          <w:szCs w:val="17"/>
          <w:color w:val="auto"/>
        </w:rPr>
      </w:pPr>
    </w:p>
    <w:p>
      <w:pPr>
        <w:ind w:left="1340" w:hanging="446"/>
        <w:spacing w:after="0"/>
        <w:tabs>
          <w:tab w:leader="none" w:pos="134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division that builds Compact Fueling Systems and Defueling systems.</w:t>
      </w:r>
    </w:p>
    <w:p>
      <w:pPr>
        <w:spacing w:after="0" w:line="2" w:lineRule="exact"/>
        <w:rPr>
          <w:rFonts w:ascii="Times New Roman" w:cs="Times New Roman" w:eastAsia="Times New Roman" w:hAnsi="Times New Roman"/>
          <w:sz w:val="17"/>
          <w:szCs w:val="17"/>
          <w:color w:val="auto"/>
        </w:rPr>
      </w:pPr>
    </w:p>
    <w:p>
      <w:pPr>
        <w:ind w:left="1340" w:right="460" w:hanging="446"/>
        <w:spacing w:after="0" w:line="236" w:lineRule="auto"/>
        <w:tabs>
          <w:tab w:leader="none" w:pos="133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Design/Build contracts where the Company serves as general contractor for construction of Fueling Stations, typically structured as Guarantee Maximum Price or fixed priced contracts for customers, generally lasting less than one year.</w:t>
      </w:r>
    </w:p>
    <w:p>
      <w:pPr>
        <w:spacing w:after="0" w:line="191" w:lineRule="exact"/>
        <w:rPr>
          <w:rFonts w:ascii="Times New Roman" w:cs="Times New Roman" w:eastAsia="Times New Roman" w:hAnsi="Times New Roman"/>
          <w:sz w:val="17"/>
          <w:szCs w:val="17"/>
          <w:color w:val="auto"/>
        </w:rPr>
      </w:pPr>
    </w:p>
    <w:p>
      <w:pPr>
        <w:ind w:left="740" w:hanging="442"/>
        <w:spacing w:after="0" w:line="305" w:lineRule="auto"/>
        <w:tabs>
          <w:tab w:leader="none" w:pos="73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Renewable Power Portfolio. </w:t>
      </w:r>
      <w:r>
        <w:rPr>
          <w:rFonts w:ascii="Times New Roman" w:cs="Times New Roman" w:eastAsia="Times New Roman" w:hAnsi="Times New Roman"/>
          <w:sz w:val="16"/>
          <w:szCs w:val="16"/>
          <w:color w:val="auto"/>
        </w:rPr>
        <w:t>The Renewable Power portfolio segment generates renewable power through combustion of biogas from landfills and digester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gas collection systems which is then sold to public utilities throughout the United States. The Renewable portfolio operates primarily in Southern California.</w:t>
      </w:r>
    </w:p>
    <w:p>
      <w:pPr>
        <w:spacing w:after="0" w:line="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costs of sales associated with each revenue category are as follows:</w:t>
      </w:r>
    </w:p>
    <w:p>
      <w:pPr>
        <w:spacing w:after="0" w:line="136" w:lineRule="exact"/>
        <w:rPr>
          <w:sz w:val="20"/>
          <w:szCs w:val="20"/>
          <w:color w:val="auto"/>
        </w:rPr>
      </w:pPr>
    </w:p>
    <w:p>
      <w:pPr>
        <w:ind w:left="740" w:hanging="442"/>
        <w:spacing w:after="0" w:line="273" w:lineRule="auto"/>
        <w:tabs>
          <w:tab w:leader="none" w:pos="7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RNG Fuel. </w:t>
      </w:r>
      <w:r>
        <w:rPr>
          <w:rFonts w:ascii="Times New Roman" w:cs="Times New Roman" w:eastAsia="Times New Roman" w:hAnsi="Times New Roman"/>
          <w:sz w:val="17"/>
          <w:szCs w:val="17"/>
          <w:color w:val="auto"/>
        </w:rPr>
        <w:t>Includes royalty payments to biogas site owners for the biogas we use; service provider costs; salaries and other indirect expenses related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production process, utilities, transportation, storage, and insurance; and depreciation of production facilities.</w:t>
      </w:r>
    </w:p>
    <w:p>
      <w:pPr>
        <w:spacing w:after="0" w:line="77" w:lineRule="exact"/>
        <w:rPr>
          <w:rFonts w:ascii="Times New Roman" w:cs="Times New Roman" w:eastAsia="Times New Roman" w:hAnsi="Times New Roman"/>
          <w:sz w:val="17"/>
          <w:szCs w:val="17"/>
          <w:color w:val="auto"/>
        </w:rPr>
      </w:pPr>
    </w:p>
    <w:p>
      <w:pPr>
        <w:ind w:left="740" w:hanging="442"/>
        <w:spacing w:after="0"/>
        <w:tabs>
          <w:tab w:leader="none" w:pos="7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Fuel Station Services. </w:t>
      </w:r>
      <w:r>
        <w:rPr>
          <w:rFonts w:ascii="Times New Roman" w:cs="Times New Roman" w:eastAsia="Times New Roman" w:hAnsi="Times New Roman"/>
          <w:sz w:val="17"/>
          <w:szCs w:val="17"/>
          <w:color w:val="auto"/>
        </w:rPr>
        <w:t>Includes equipment supplier costs; service provider costs; and salaries and other indirect expenses.</w:t>
      </w:r>
    </w:p>
    <w:p>
      <w:pPr>
        <w:spacing w:after="0" w:line="140" w:lineRule="exact"/>
        <w:rPr>
          <w:rFonts w:ascii="Times New Roman" w:cs="Times New Roman" w:eastAsia="Times New Roman" w:hAnsi="Times New Roman"/>
          <w:sz w:val="17"/>
          <w:szCs w:val="17"/>
          <w:color w:val="auto"/>
        </w:rPr>
      </w:pPr>
    </w:p>
    <w:p>
      <w:pPr>
        <w:ind w:left="740" w:hanging="442"/>
        <w:spacing w:after="0" w:line="273" w:lineRule="auto"/>
        <w:tabs>
          <w:tab w:leader="none" w:pos="7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Renewable Power. </w:t>
      </w:r>
      <w:r>
        <w:rPr>
          <w:rFonts w:ascii="Times New Roman" w:cs="Times New Roman" w:eastAsia="Times New Roman" w:hAnsi="Times New Roman"/>
          <w:sz w:val="17"/>
          <w:szCs w:val="17"/>
          <w:color w:val="auto"/>
        </w:rPr>
        <w:t>Includes land usage costs; service provider costs; salaries and other indirect expenses related to the production process; utilities;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depreciation of production facilities.</w:t>
      </w:r>
    </w:p>
    <w:p>
      <w:pPr>
        <w:spacing w:after="0" w:line="94" w:lineRule="exact"/>
        <w:rPr>
          <w:sz w:val="20"/>
          <w:szCs w:val="20"/>
          <w:color w:val="auto"/>
        </w:rPr>
      </w:pPr>
    </w:p>
    <w:p>
      <w:pPr>
        <w:ind w:left="140"/>
        <w:spacing w:after="0" w:line="268" w:lineRule="auto"/>
        <w:rPr>
          <w:sz w:val="20"/>
          <w:szCs w:val="20"/>
          <w:color w:val="auto"/>
        </w:rPr>
      </w:pPr>
      <w:r>
        <w:rPr>
          <w:rFonts w:ascii="Times New Roman" w:cs="Times New Roman" w:eastAsia="Times New Roman" w:hAnsi="Times New Roman"/>
          <w:sz w:val="17"/>
          <w:szCs w:val="17"/>
          <w:color w:val="auto"/>
        </w:rPr>
        <w:t>Selling, general, and administrative expense consists of costs involving corporate overhead functions, including the cost of services provided to us by an affiliate, and marketing costs.</w:t>
      </w:r>
    </w:p>
    <w:p>
      <w:pPr>
        <w:spacing w:after="0" w:line="85"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 for the three and nine months ended September 30, 2022 and 2021: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Operational data</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summarizes the operational data achieved for the three and nine months ended September 30, 2022 and 2021:</w:t>
      </w:r>
    </w:p>
    <w:p>
      <w:pPr>
        <w:spacing w:after="0" w:line="200" w:lineRule="exact"/>
        <w:rPr>
          <w:sz w:val="20"/>
          <w:szCs w:val="20"/>
          <w:color w:val="auto"/>
        </w:rPr>
      </w:pPr>
    </w:p>
    <w:p>
      <w:pPr>
        <w:spacing w:after="0" w:line="342" w:lineRule="exact"/>
        <w:rPr>
          <w:sz w:val="20"/>
          <w:szCs w:val="20"/>
          <w:color w:val="auto"/>
        </w:rPr>
      </w:pPr>
    </w:p>
    <w:tbl>
      <w:tblPr>
        <w:tblLayout w:type="fixed"/>
        <w:tblInd w:w="300" w:type="dxa"/>
        <w:tblCellMar>
          <w:top w:w="0" w:type="dxa"/>
          <w:left w:w="0" w:type="dxa"/>
          <w:bottom w:w="0" w:type="dxa"/>
          <w:right w:w="0" w:type="dxa"/>
        </w:tblCellMar>
      </w:tblPr>
      <w:tr>
        <w:trPr>
          <w:trHeight w:val="211"/>
        </w:trPr>
        <w:tc>
          <w:tcPr>
            <w:tcW w:w="4660" w:type="dxa"/>
            <w:vAlign w:val="bottom"/>
            <w:shd w:val="clear" w:color="auto" w:fill="CCEEFF"/>
          </w:tcPr>
          <w:p>
            <w:pPr>
              <w:spacing w:after="0"/>
              <w:rPr>
                <w:sz w:val="18"/>
                <w:szCs w:val="18"/>
                <w:color w:val="auto"/>
              </w:rPr>
            </w:pPr>
          </w:p>
        </w:tc>
        <w:tc>
          <w:tcPr>
            <w:tcW w:w="316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3020" w:type="dxa"/>
            <w:vAlign w:val="bottom"/>
            <w:gridSpan w:val="3"/>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04"/>
        </w:trPr>
        <w:tc>
          <w:tcPr>
            <w:tcW w:w="466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2022</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29"/>
        </w:trPr>
        <w:tc>
          <w:tcPr>
            <w:tcW w:w="4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1"/>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RNG Fuel volume produced (Million MMBtus)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1"/>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RNG Fuel volume sold (Million GGEs)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volume delivered (Million GGEs)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RNG projects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 is a table setting forth the RNG projects in operation and construction in our portfolio: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869" w:right="339" w:bottom="1440" w:gutter="0" w:footer="0" w:header="0"/>
        </w:sectPr>
      </w:pPr>
    </w:p>
    <w:bookmarkStart w:id="59" w:name="page60"/>
    <w:bookmarkEnd w:id="59"/>
    <w:tbl>
      <w:tblPr>
        <w:tblLayout w:type="fixed"/>
        <w:tblInd w:w="1" w:type="dxa"/>
        <w:tblCellMar>
          <w:top w:w="0" w:type="dxa"/>
          <w:left w:w="0" w:type="dxa"/>
          <w:bottom w:w="0" w:type="dxa"/>
          <w:right w:w="0" w:type="dxa"/>
        </w:tblCellMar>
      </w:tblPr>
      <w:tr>
        <w:trPr>
          <w:trHeight w:val="195"/>
        </w:trPr>
        <w:tc>
          <w:tcPr>
            <w:tcW w:w="448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Design capacity (MMbtus per</w:t>
            </w:r>
          </w:p>
        </w:tc>
        <w:tc>
          <w:tcPr>
            <w:tcW w:w="2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Source of bio gas</w:t>
            </w:r>
          </w:p>
        </w:tc>
        <w:tc>
          <w:tcPr>
            <w:tcW w:w="22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Ownership </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224"/>
        </w:trPr>
        <w:tc>
          <w:tcPr>
            <w:tcW w:w="44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757"/>
              <w:spacing w:after="0" w:line="224" w:lineRule="exact"/>
              <w:rPr>
                <w:sz w:val="20"/>
                <w:szCs w:val="20"/>
                <w:color w:val="auto"/>
              </w:rPr>
            </w:pPr>
            <w:r>
              <w:rPr>
                <w:rFonts w:ascii="Times New Roman" w:cs="Times New Roman" w:eastAsia="Times New Roman" w:hAnsi="Times New Roman"/>
                <w:sz w:val="17"/>
                <w:szCs w:val="17"/>
                <w:b w:val="1"/>
                <w:bCs w:val="1"/>
                <w:color w:val="auto"/>
                <w:w w:val="89"/>
              </w:rPr>
              <w:t xml:space="preserve">year) </w:t>
            </w:r>
            <w:r>
              <w:rPr>
                <w:rFonts w:ascii="Times New Roman" w:cs="Times New Roman" w:eastAsia="Times New Roman" w:hAnsi="Times New Roman"/>
                <w:sz w:val="21"/>
                <w:szCs w:val="21"/>
                <w:b w:val="1"/>
                <w:bCs w:val="1"/>
                <w:color w:val="auto"/>
                <w:w w:val="89"/>
                <w:vertAlign w:val="superscript"/>
              </w:rPr>
              <w:t>(1)</w:t>
            </w:r>
          </w:p>
        </w:tc>
        <w:tc>
          <w:tcPr>
            <w:tcW w:w="84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vMerge w:val="continue"/>
            <w:shd w:val="clear" w:color="auto" w:fill="CCEEFF"/>
          </w:tcPr>
          <w:p>
            <w:pPr>
              <w:spacing w:after="0"/>
              <w:rPr>
                <w:sz w:val="19"/>
                <w:szCs w:val="19"/>
                <w:color w:val="auto"/>
              </w:rPr>
            </w:pPr>
          </w:p>
        </w:tc>
        <w:tc>
          <w:tcPr>
            <w:tcW w:w="2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4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b w:val="1"/>
                <w:bCs w:val="1"/>
                <w:color w:val="auto"/>
              </w:rPr>
              <w:t>RNG projects in operation:</w:t>
            </w: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Greentree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900,000</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LFG</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1"/>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Imperial</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900,000</w:t>
            </w:r>
          </w:p>
        </w:tc>
        <w:tc>
          <w:tcPr>
            <w:tcW w:w="2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LFG</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1"/>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River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LFG</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1"/>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Noble Road</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2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LFG</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50%</w:t>
            </w:r>
          </w:p>
        </w:tc>
        <w:tc>
          <w:tcPr>
            <w:tcW w:w="0" w:type="dxa"/>
            <w:vAlign w:val="bottom"/>
          </w:tcPr>
          <w:p>
            <w:pPr>
              <w:spacing w:after="0"/>
              <w:rPr>
                <w:sz w:val="1"/>
                <w:szCs w:val="1"/>
                <w:color w:val="auto"/>
              </w:rPr>
            </w:pPr>
          </w:p>
        </w:tc>
      </w:tr>
      <w:tr>
        <w:trPr>
          <w:trHeight w:val="211"/>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Pine Bend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775,000</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LFG</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50%</w:t>
            </w:r>
          </w:p>
        </w:tc>
        <w:tc>
          <w:tcPr>
            <w:tcW w:w="0" w:type="dxa"/>
            <w:vAlign w:val="bottom"/>
          </w:tcPr>
          <w:p>
            <w:pPr>
              <w:spacing w:after="0"/>
              <w:rPr>
                <w:sz w:val="1"/>
                <w:szCs w:val="1"/>
                <w:color w:val="auto"/>
              </w:rPr>
            </w:pPr>
          </w:p>
        </w:tc>
      </w:tr>
      <w:tr>
        <w:trPr>
          <w:trHeight w:val="211"/>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Sunoma</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2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Dairy</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90%</w:t>
            </w:r>
          </w:p>
        </w:tc>
        <w:tc>
          <w:tcPr>
            <w:tcW w:w="0" w:type="dxa"/>
            <w:vAlign w:val="bottom"/>
          </w:tcPr>
          <w:p>
            <w:pPr>
              <w:spacing w:after="0"/>
              <w:rPr>
                <w:sz w:val="1"/>
                <w:szCs w:val="1"/>
                <w:color w:val="auto"/>
              </w:rPr>
            </w:pPr>
          </w:p>
        </w:tc>
      </w:tr>
      <w:tr>
        <w:trPr>
          <w:trHeight w:val="204"/>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Sub total</w:t>
            </w:r>
          </w:p>
        </w:tc>
        <w:tc>
          <w:tcPr>
            <w:tcW w:w="14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4,175,000</w:t>
            </w:r>
          </w:p>
        </w:tc>
        <w:tc>
          <w:tcPr>
            <w:tcW w:w="232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RNG projects in construction:</w:t>
            </w:r>
          </w:p>
        </w:tc>
        <w:tc>
          <w:tcPr>
            <w:tcW w:w="8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Biotown</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375,000</w:t>
            </w:r>
          </w:p>
        </w:tc>
        <w:tc>
          <w:tcPr>
            <w:tcW w:w="2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Dairy</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10%</w:t>
            </w:r>
          </w:p>
        </w:tc>
        <w:tc>
          <w:tcPr>
            <w:tcW w:w="0" w:type="dxa"/>
            <w:vAlign w:val="bottom"/>
          </w:tcPr>
          <w:p>
            <w:pPr>
              <w:spacing w:after="0"/>
              <w:rPr>
                <w:sz w:val="1"/>
                <w:szCs w:val="1"/>
                <w:color w:val="auto"/>
              </w:rPr>
            </w:pPr>
          </w:p>
        </w:tc>
      </w:tr>
      <w:tr>
        <w:trPr>
          <w:trHeight w:val="211"/>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Prince William</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LFG</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1"/>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Hilltop</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2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Dairy</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1"/>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Vander Schaaf</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Dairy</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1"/>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Emerald</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2,100,000</w:t>
            </w:r>
          </w:p>
        </w:tc>
        <w:tc>
          <w:tcPr>
            <w:tcW w:w="2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LFG</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50%</w:t>
            </w:r>
          </w:p>
        </w:tc>
        <w:tc>
          <w:tcPr>
            <w:tcW w:w="0" w:type="dxa"/>
            <w:vAlign w:val="bottom"/>
          </w:tcPr>
          <w:p>
            <w:pPr>
              <w:spacing w:after="0"/>
              <w:rPr>
                <w:sz w:val="1"/>
                <w:szCs w:val="1"/>
                <w:color w:val="auto"/>
              </w:rPr>
            </w:pPr>
          </w:p>
        </w:tc>
      </w:tr>
      <w:tr>
        <w:trPr>
          <w:trHeight w:val="211"/>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Sapphire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LFG</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50%</w:t>
            </w:r>
          </w:p>
        </w:tc>
        <w:tc>
          <w:tcPr>
            <w:tcW w:w="0" w:type="dxa"/>
            <w:vAlign w:val="bottom"/>
          </w:tcPr>
          <w:p>
            <w:pPr>
              <w:spacing w:after="0"/>
              <w:rPr>
                <w:sz w:val="1"/>
                <w:szCs w:val="1"/>
                <w:color w:val="auto"/>
              </w:rPr>
            </w:pPr>
          </w:p>
        </w:tc>
      </w:tr>
      <w:tr>
        <w:trPr>
          <w:trHeight w:val="211"/>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New England</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2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LFG</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4"/>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Sub total</w:t>
            </w:r>
          </w:p>
        </w:tc>
        <w:tc>
          <w:tcPr>
            <w:tcW w:w="14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6,125,000</w:t>
            </w:r>
          </w:p>
        </w:tc>
        <w:tc>
          <w:tcPr>
            <w:tcW w:w="232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10,300,000</w:t>
            </w:r>
          </w:p>
        </w:tc>
        <w:tc>
          <w:tcPr>
            <w:tcW w:w="232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1" w:hanging="1"/>
        <w:spacing w:after="0"/>
        <w:tabs>
          <w:tab w:leader="none" w:pos="167" w:val="left"/>
        </w:tabs>
        <w:numPr>
          <w:ilvl w:val="0"/>
          <w:numId w:val="37"/>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6"/>
          <w:szCs w:val="16"/>
          <w:color w:val="auto"/>
        </w:rPr>
        <w:t>Design capacity may not reflect actual production of RNG from the projects, which will depend on many variables including, but not limited to, quantity and quality of the biogas, operational up-time of the facility, and actual productivity of the facility.</w:t>
      </w:r>
    </w:p>
    <w:p>
      <w:pPr>
        <w:spacing w:after="0" w:line="182" w:lineRule="exact"/>
        <w:rPr>
          <w:rFonts w:ascii="Times New Roman" w:cs="Times New Roman" w:eastAsia="Times New Roman" w:hAnsi="Times New Roman"/>
          <w:sz w:val="20"/>
          <w:szCs w:val="20"/>
          <w:b w:val="1"/>
          <w:bCs w:val="1"/>
          <w:color w:val="auto"/>
          <w:vertAlign w:val="superscript"/>
        </w:rPr>
      </w:pPr>
    </w:p>
    <w:p>
      <w:pPr>
        <w:ind w:left="1" w:hanging="1"/>
        <w:spacing w:after="0" w:line="272" w:lineRule="auto"/>
        <w:tabs>
          <w:tab w:leader="none" w:pos="153"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Certain projects have provisions that will adjust, or “flip,” the percentage of distributions to be made to us over time, typically triggered by achievement of hurdle rates that are calculated as internal rates of return on capital invested in the project.</w:t>
      </w:r>
    </w:p>
    <w:p>
      <w:pPr>
        <w:spacing w:after="0" w:line="15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Renewable Power Projects</w:t>
      </w:r>
    </w:p>
    <w:p>
      <w:pPr>
        <w:spacing w:after="0" w:line="20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Below is a table setting forth the Renewable Power projects in operation in our portfolio:</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1"/>
          </w:cols>
          <w:pgMar w:left="319" w:top="1075" w:right="339" w:bottom="1440" w:gutter="0" w:footer="0" w:header="0"/>
        </w:sectPr>
      </w:pPr>
    </w:p>
    <w:bookmarkStart w:id="60" w:name="page61"/>
    <w:bookmarkEnd w:id="60"/>
    <w:tbl>
      <w:tblPr>
        <w:tblLayout w:type="fixed"/>
        <w:tblInd w:w="1" w:type="dxa"/>
        <w:tblCellMar>
          <w:top w:w="0" w:type="dxa"/>
          <w:left w:w="0" w:type="dxa"/>
          <w:bottom w:w="0" w:type="dxa"/>
          <w:right w:w="0" w:type="dxa"/>
        </w:tblCellMar>
      </w:tblPr>
      <w:tr>
        <w:trPr>
          <w:trHeight w:val="195"/>
        </w:trPr>
        <w:tc>
          <w:tcPr>
            <w:tcW w:w="366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Nameplate capacity (MW per</w:t>
            </w:r>
          </w:p>
        </w:tc>
        <w:tc>
          <w:tcPr>
            <w:tcW w:w="2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RNG conversion candidate</w:t>
            </w:r>
          </w:p>
        </w:tc>
        <w:tc>
          <w:tcPr>
            <w:tcW w:w="2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Stage of RNG conversion</w:t>
            </w: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center"/>
              <w:ind w:left="557"/>
              <w:spacing w:after="0" w:line="224" w:lineRule="exact"/>
              <w:rPr>
                <w:sz w:val="20"/>
                <w:szCs w:val="20"/>
                <w:color w:val="auto"/>
              </w:rPr>
            </w:pPr>
            <w:r>
              <w:rPr>
                <w:rFonts w:ascii="Times New Roman" w:cs="Times New Roman" w:eastAsia="Times New Roman" w:hAnsi="Times New Roman"/>
                <w:sz w:val="17"/>
                <w:szCs w:val="17"/>
                <w:b w:val="1"/>
                <w:bCs w:val="1"/>
                <w:color w:val="auto"/>
                <w:w w:val="91"/>
              </w:rPr>
              <w:t xml:space="preserve">hour) </w:t>
            </w:r>
            <w:r>
              <w:rPr>
                <w:rFonts w:ascii="Times New Roman" w:cs="Times New Roman" w:eastAsia="Times New Roman" w:hAnsi="Times New Roman"/>
                <w:sz w:val="21"/>
                <w:szCs w:val="21"/>
                <w:b w:val="1"/>
                <w:bCs w:val="1"/>
                <w:color w:val="auto"/>
                <w:w w:val="91"/>
                <w:vertAlign w:val="superscript"/>
              </w:rPr>
              <w:t>(1)</w:t>
            </w:r>
          </w:p>
        </w:tc>
        <w:tc>
          <w:tcPr>
            <w:tcW w:w="64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vMerge w:val="continue"/>
            <w:shd w:val="clear" w:color="auto" w:fill="CCEEFF"/>
          </w:tcPr>
          <w:p>
            <w:pPr>
              <w:spacing w:after="0"/>
              <w:rPr>
                <w:sz w:val="19"/>
                <w:szCs w:val="19"/>
                <w:color w:val="auto"/>
              </w:rPr>
            </w:pPr>
          </w:p>
        </w:tc>
        <w:tc>
          <w:tcPr>
            <w:tcW w:w="2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California 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0"/>
              </w:rPr>
              <w:t>Yes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In Development</w:t>
            </w:r>
          </w:p>
        </w:tc>
        <w:tc>
          <w:tcPr>
            <w:tcW w:w="0" w:type="dxa"/>
            <w:vAlign w:val="bottom"/>
          </w:tcPr>
          <w:p>
            <w:pPr>
              <w:spacing w:after="0"/>
              <w:rPr>
                <w:sz w:val="1"/>
                <w:szCs w:val="1"/>
                <w:color w:val="auto"/>
              </w:rPr>
            </w:pPr>
          </w:p>
        </w:tc>
      </w:tr>
      <w:tr>
        <w:trPr>
          <w:trHeight w:val="211"/>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California 2</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No</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0" w:type="dxa"/>
            <w:vAlign w:val="bottom"/>
          </w:tcPr>
          <w:p>
            <w:pPr>
              <w:spacing w:after="0"/>
              <w:rPr>
                <w:sz w:val="1"/>
                <w:szCs w:val="1"/>
                <w:color w:val="auto"/>
              </w:rPr>
            </w:pPr>
          </w:p>
        </w:tc>
      </w:tr>
      <w:tr>
        <w:trPr>
          <w:trHeight w:val="211"/>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California 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No</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0" w:type="dxa"/>
            <w:vAlign w:val="bottom"/>
          </w:tcPr>
          <w:p>
            <w:pPr>
              <w:spacing w:after="0"/>
              <w:rPr>
                <w:sz w:val="1"/>
                <w:szCs w:val="1"/>
                <w:color w:val="auto"/>
              </w:rPr>
            </w:pPr>
          </w:p>
        </w:tc>
      </w:tr>
      <w:tr>
        <w:trPr>
          <w:trHeight w:val="211"/>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California 4</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No</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0" w:type="dxa"/>
            <w:vAlign w:val="bottom"/>
          </w:tcPr>
          <w:p>
            <w:pPr>
              <w:spacing w:after="0"/>
              <w:rPr>
                <w:sz w:val="1"/>
                <w:szCs w:val="1"/>
                <w:color w:val="auto"/>
              </w:rPr>
            </w:pPr>
          </w:p>
        </w:tc>
      </w:tr>
      <w:tr>
        <w:trPr>
          <w:trHeight w:val="211"/>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California 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No</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0" w:type="dxa"/>
            <w:vAlign w:val="bottom"/>
          </w:tcPr>
          <w:p>
            <w:pPr>
              <w:spacing w:after="0"/>
              <w:rPr>
                <w:sz w:val="1"/>
                <w:szCs w:val="1"/>
                <w:color w:val="auto"/>
              </w:rPr>
            </w:pPr>
          </w:p>
        </w:tc>
      </w:tr>
      <w:tr>
        <w:trPr>
          <w:trHeight w:val="211"/>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California 6</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No</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0" w:type="dxa"/>
            <w:vAlign w:val="bottom"/>
          </w:tcPr>
          <w:p>
            <w:pPr>
              <w:spacing w:after="0"/>
              <w:rPr>
                <w:sz w:val="1"/>
                <w:szCs w:val="1"/>
                <w:color w:val="auto"/>
              </w:rPr>
            </w:pPr>
          </w:p>
        </w:tc>
      </w:tr>
      <w:tr>
        <w:trPr>
          <w:trHeight w:val="211"/>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California 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No</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0" w:type="dxa"/>
            <w:vAlign w:val="bottom"/>
          </w:tcPr>
          <w:p>
            <w:pPr>
              <w:spacing w:after="0"/>
              <w:rPr>
                <w:sz w:val="1"/>
                <w:szCs w:val="1"/>
                <w:color w:val="auto"/>
              </w:rPr>
            </w:pPr>
          </w:p>
        </w:tc>
      </w:tr>
      <w:tr>
        <w:trPr>
          <w:trHeight w:val="211"/>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California 8</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No</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0" w:type="dxa"/>
            <w:vAlign w:val="bottom"/>
          </w:tcPr>
          <w:p>
            <w:pPr>
              <w:spacing w:after="0"/>
              <w:rPr>
                <w:sz w:val="1"/>
                <w:szCs w:val="1"/>
                <w:color w:val="auto"/>
              </w:rPr>
            </w:pPr>
          </w:p>
        </w:tc>
      </w:tr>
      <w:tr>
        <w:trPr>
          <w:trHeight w:val="211"/>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No</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0" w:type="dxa"/>
            <w:vAlign w:val="bottom"/>
          </w:tcPr>
          <w:p>
            <w:pPr>
              <w:spacing w:after="0"/>
              <w:rPr>
                <w:sz w:val="1"/>
                <w:szCs w:val="1"/>
                <w:color w:val="auto"/>
              </w:rPr>
            </w:pPr>
          </w:p>
        </w:tc>
      </w:tr>
      <w:tr>
        <w:trPr>
          <w:trHeight w:val="211"/>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New England</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0"/>
              </w:rPr>
              <w:t>Yes</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In Construction</w:t>
            </w:r>
          </w:p>
        </w:tc>
        <w:tc>
          <w:tcPr>
            <w:tcW w:w="0" w:type="dxa"/>
            <w:vAlign w:val="bottom"/>
          </w:tcPr>
          <w:p>
            <w:pPr>
              <w:spacing w:after="0"/>
              <w:rPr>
                <w:sz w:val="1"/>
                <w:szCs w:val="1"/>
                <w:color w:val="auto"/>
              </w:rPr>
            </w:pPr>
          </w:p>
        </w:tc>
      </w:tr>
      <w:tr>
        <w:trPr>
          <w:trHeight w:val="211"/>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Massachusetts 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No</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0" w:type="dxa"/>
            <w:vAlign w:val="bottom"/>
          </w:tcPr>
          <w:p>
            <w:pPr>
              <w:spacing w:after="0"/>
              <w:rPr>
                <w:sz w:val="1"/>
                <w:szCs w:val="1"/>
                <w:color w:val="auto"/>
              </w:rPr>
            </w:pPr>
          </w:p>
        </w:tc>
      </w:tr>
      <w:tr>
        <w:trPr>
          <w:trHeight w:val="211"/>
        </w:trPr>
        <w:tc>
          <w:tcPr>
            <w:tcW w:w="526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7"/>
                <w:szCs w:val="17"/>
                <w:color w:val="auto"/>
              </w:rPr>
              <w:t>Michigan 1E</w:t>
            </w:r>
            <w:r>
              <w:rPr>
                <w:rFonts w:ascii="Times New Roman" w:cs="Times New Roman" w:eastAsia="Times New Roman" w:hAnsi="Times New Roman"/>
                <w:sz w:val="21"/>
                <w:szCs w:val="21"/>
                <w:color w:val="auto"/>
                <w:vertAlign w:val="superscript"/>
              </w:rPr>
              <w:t>(2)</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0"/>
              </w:rPr>
              <w:t>Yes</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In Construction</w:t>
            </w:r>
          </w:p>
        </w:tc>
        <w:tc>
          <w:tcPr>
            <w:tcW w:w="0" w:type="dxa"/>
            <w:vAlign w:val="bottom"/>
          </w:tcPr>
          <w:p>
            <w:pPr>
              <w:spacing w:after="0"/>
              <w:rPr>
                <w:sz w:val="1"/>
                <w:szCs w:val="1"/>
                <w:color w:val="auto"/>
              </w:rPr>
            </w:pPr>
          </w:p>
        </w:tc>
      </w:tr>
      <w:tr>
        <w:trPr>
          <w:trHeight w:val="211"/>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Michigan 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0"/>
              </w:rPr>
              <w:t>Yes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In Development</w:t>
            </w:r>
          </w:p>
        </w:tc>
        <w:tc>
          <w:tcPr>
            <w:tcW w:w="0" w:type="dxa"/>
            <w:vAlign w:val="bottom"/>
          </w:tcPr>
          <w:p>
            <w:pPr>
              <w:spacing w:after="0"/>
              <w:rPr>
                <w:sz w:val="1"/>
                <w:szCs w:val="1"/>
                <w:color w:val="auto"/>
              </w:rPr>
            </w:pPr>
          </w:p>
        </w:tc>
      </w:tr>
      <w:tr>
        <w:trPr>
          <w:trHeight w:val="211"/>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New York</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No</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0" w:type="dxa"/>
            <w:vAlign w:val="bottom"/>
          </w:tcPr>
          <w:p>
            <w:pPr>
              <w:spacing w:after="0"/>
              <w:rPr>
                <w:sz w:val="1"/>
                <w:szCs w:val="1"/>
                <w:color w:val="auto"/>
              </w:rPr>
            </w:pPr>
          </w:p>
        </w:tc>
      </w:tr>
      <w:tr>
        <w:trPr>
          <w:trHeight w:val="211"/>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North Carolina 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0"/>
              </w:rPr>
              <w:t>Yes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In Development</w:t>
            </w:r>
          </w:p>
        </w:tc>
        <w:tc>
          <w:tcPr>
            <w:tcW w:w="0" w:type="dxa"/>
            <w:vAlign w:val="bottom"/>
          </w:tcPr>
          <w:p>
            <w:pPr>
              <w:spacing w:after="0"/>
              <w:rPr>
                <w:sz w:val="1"/>
                <w:szCs w:val="1"/>
                <w:color w:val="auto"/>
              </w:rPr>
            </w:pPr>
          </w:p>
        </w:tc>
      </w:tr>
      <w:tr>
        <w:trPr>
          <w:trHeight w:val="211"/>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Pennsylvania</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No</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0" w:type="dxa"/>
            <w:vAlign w:val="bottom"/>
          </w:tcPr>
          <w:p>
            <w:pPr>
              <w:spacing w:after="0"/>
              <w:rPr>
                <w:sz w:val="1"/>
                <w:szCs w:val="1"/>
                <w:color w:val="auto"/>
              </w:rPr>
            </w:pPr>
          </w:p>
        </w:tc>
      </w:tr>
      <w:tr>
        <w:trPr>
          <w:trHeight w:val="211"/>
        </w:trPr>
        <w:tc>
          <w:tcPr>
            <w:tcW w:w="526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Prince William 1E </w:t>
            </w:r>
            <w:r>
              <w:rPr>
                <w:rFonts w:ascii="Times New Roman" w:cs="Times New Roman" w:eastAsia="Times New Roman" w:hAnsi="Times New Roman"/>
                <w:sz w:val="21"/>
                <w:szCs w:val="21"/>
                <w:color w:val="auto"/>
                <w:vertAlign w:val="superscript"/>
              </w:rPr>
              <w:t>(3)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0"/>
              </w:rPr>
              <w:t>Yes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In Development</w:t>
            </w:r>
          </w:p>
        </w:tc>
        <w:tc>
          <w:tcPr>
            <w:tcW w:w="0" w:type="dxa"/>
            <w:vAlign w:val="bottom"/>
          </w:tcPr>
          <w:p>
            <w:pPr>
              <w:spacing w:after="0"/>
              <w:rPr>
                <w:sz w:val="1"/>
                <w:szCs w:val="1"/>
                <w:color w:val="auto"/>
              </w:rPr>
            </w:pPr>
          </w:p>
        </w:tc>
      </w:tr>
      <w:tr>
        <w:trPr>
          <w:trHeight w:val="211"/>
        </w:trPr>
        <w:tc>
          <w:tcPr>
            <w:tcW w:w="526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Prince William 2E </w:t>
            </w:r>
            <w:r>
              <w:rPr>
                <w:rFonts w:ascii="Times New Roman" w:cs="Times New Roman" w:eastAsia="Times New Roman" w:hAnsi="Times New Roman"/>
                <w:sz w:val="21"/>
                <w:szCs w:val="21"/>
                <w:color w:val="auto"/>
                <w:vertAlign w:val="superscript"/>
              </w:rPr>
              <w:t>(4)</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0"/>
              </w:rPr>
              <w:t>Yes</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In Development</w:t>
            </w: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Virginia - Richmond</w:t>
            </w:r>
          </w:p>
        </w:tc>
        <w:tc>
          <w:tcPr>
            <w:tcW w:w="16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0"/>
              </w:rPr>
              <w:t>Yes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In Development</w:t>
            </w:r>
          </w:p>
        </w:tc>
        <w:tc>
          <w:tcPr>
            <w:tcW w:w="0" w:type="dxa"/>
            <w:vAlign w:val="bottom"/>
          </w:tcPr>
          <w:p>
            <w:pPr>
              <w:spacing w:after="0"/>
              <w:rPr>
                <w:sz w:val="1"/>
                <w:szCs w:val="1"/>
                <w:color w:val="auto"/>
              </w:rPr>
            </w:pPr>
          </w:p>
        </w:tc>
      </w:tr>
      <w:tr>
        <w:trPr>
          <w:trHeight w:val="20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2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1" w:hanging="1"/>
        <w:spacing w:after="0"/>
        <w:tabs>
          <w:tab w:leader="none" w:pos="17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w:t>
      </w:r>
    </w:p>
    <w:p>
      <w:pPr>
        <w:spacing w:after="0" w:line="182" w:lineRule="exact"/>
        <w:rPr>
          <w:rFonts w:ascii="Times New Roman" w:cs="Times New Roman" w:eastAsia="Times New Roman" w:hAnsi="Times New Roman"/>
          <w:sz w:val="20"/>
          <w:szCs w:val="20"/>
          <w:color w:val="auto"/>
          <w:vertAlign w:val="superscript"/>
        </w:rPr>
      </w:pPr>
    </w:p>
    <w:p>
      <w:pPr>
        <w:ind w:left="1" w:hanging="1"/>
        <w:spacing w:after="0" w:line="272" w:lineRule="auto"/>
        <w:tabs>
          <w:tab w:leader="none" w:pos="153"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See RNG Projects Table above, reference “Michigan 1” under “RNG Projects In Construction.” It is currently contemplated that the Michigan 1E renewable power plant will continue limited operations on a stand-by, emergency basis through March of 2031.</w:t>
      </w:r>
    </w:p>
    <w:p>
      <w:pPr>
        <w:spacing w:after="0" w:line="153" w:lineRule="exact"/>
        <w:rPr>
          <w:rFonts w:ascii="Times New Roman" w:cs="Times New Roman" w:eastAsia="Times New Roman" w:hAnsi="Times New Roman"/>
          <w:sz w:val="19"/>
          <w:szCs w:val="19"/>
          <w:color w:val="auto"/>
          <w:vertAlign w:val="superscript"/>
        </w:rPr>
      </w:pPr>
    </w:p>
    <w:p>
      <w:pPr>
        <w:ind w:left="1" w:hanging="1"/>
        <w:spacing w:after="0" w:line="254" w:lineRule="auto"/>
        <w:tabs>
          <w:tab w:leader="none" w:pos="153"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See RNG Projects Table above, reference “Prince William” under “RNG Projects In Construction.” It is currently contemplated that the Prince William 1E renewable power plant will continue operations through approximately December 2022.</w:t>
      </w:r>
    </w:p>
    <w:p>
      <w:pPr>
        <w:ind w:left="1" w:hanging="1"/>
        <w:spacing w:after="0" w:line="236" w:lineRule="auto"/>
        <w:tabs>
          <w:tab w:leader="none" w:pos="153"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See RNG Projects Table above, reference “Prince William” under “RNG Projects In Construction.” It is currently contemplated that the Prince William 2E renewable power plant will continue operations through approximately December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1"/>
          </w:cols>
          <w:pgMar w:left="319" w:top="107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and Nine Months Ended September 30, 2022, and 2021</w:t>
      </w:r>
    </w:p>
    <w:p>
      <w:pPr>
        <w:spacing w:after="0" w:line="144" w:lineRule="exact"/>
        <w:rPr>
          <w:sz w:val="20"/>
          <w:szCs w:val="20"/>
          <w:color w:val="auto"/>
        </w:rPr>
      </w:pPr>
    </w:p>
    <w:p>
      <w:pPr>
        <w:ind w:firstLine="298"/>
        <w:spacing w:after="0" w:line="268" w:lineRule="auto"/>
        <w:rPr>
          <w:sz w:val="20"/>
          <w:szCs w:val="20"/>
          <w:color w:val="auto"/>
        </w:rPr>
      </w:pPr>
      <w:r>
        <w:rPr>
          <w:rFonts w:ascii="Times New Roman" w:cs="Times New Roman" w:eastAsia="Times New Roman" w:hAnsi="Times New Roman"/>
          <w:sz w:val="17"/>
          <w:szCs w:val="17"/>
          <w:color w:val="auto"/>
        </w:rPr>
        <w:t>The following table presents the period-over-period change for each line item in the Company's statement of operations for the three and nine months ended September 30, 2022 and 2021 .</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ind w:left="1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6"/>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Nine Months Ended September</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tc>
        <w:tc>
          <w:tcPr>
            <w:tcW w:w="200" w:type="dxa"/>
            <w:vAlign w:val="bottom"/>
          </w:tcPr>
          <w:p>
            <w:pPr>
              <w:spacing w:after="0"/>
              <w:rPr>
                <w:sz w:val="18"/>
                <w:szCs w:val="18"/>
                <w:color w:val="auto"/>
              </w:rPr>
            </w:pPr>
          </w:p>
        </w:tc>
        <w:tc>
          <w:tcPr>
            <w:tcW w:w="1900" w:type="dxa"/>
            <w:vAlign w:val="bottom"/>
            <w:gridSpan w:val="5"/>
          </w:tcPr>
          <w:p>
            <w:pPr>
              <w:ind w:left="34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40" w:type="dxa"/>
            <w:vAlign w:val="bottom"/>
          </w:tcPr>
          <w:p>
            <w:pPr>
              <w:spacing w:after="0"/>
              <w:rPr>
                <w:sz w:val="18"/>
                <w:szCs w:val="18"/>
                <w:color w:val="auto"/>
              </w:rPr>
            </w:pPr>
          </w:p>
        </w:tc>
        <w:tc>
          <w:tcPr>
            <w:tcW w:w="800" w:type="dxa"/>
            <w:vAlign w:val="bottom"/>
          </w:tcPr>
          <w:p>
            <w:pPr>
              <w:jc w:val="right"/>
              <w:ind w:right="385"/>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8"/>
                <w:szCs w:val="18"/>
                <w:color w:val="auto"/>
              </w:rPr>
            </w:pPr>
          </w:p>
        </w:tc>
        <w:tc>
          <w:tcPr>
            <w:tcW w:w="1000" w:type="dxa"/>
            <w:vAlign w:val="bottom"/>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30,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425"/>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8"/>
                <w:szCs w:val="18"/>
                <w:color w:val="auto"/>
              </w:rPr>
            </w:pPr>
          </w:p>
        </w:tc>
        <w:tc>
          <w:tcPr>
            <w:tcW w:w="940" w:type="dxa"/>
            <w:vAlign w:val="bottom"/>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262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6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940" w:type="dxa"/>
            <w:vAlign w:val="bottom"/>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204"/>
        </w:trPr>
        <w:tc>
          <w:tcPr>
            <w:tcW w:w="2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RNG fuel</w:t>
            </w:r>
          </w:p>
        </w:tc>
        <w:tc>
          <w:tcPr>
            <w:tcW w:w="2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32,381</w:t>
            </w:r>
          </w:p>
        </w:tc>
        <w:tc>
          <w:tcPr>
            <w:tcW w:w="120" w:type="dxa"/>
            <w:vAlign w:val="bottom"/>
          </w:tcPr>
          <w:p>
            <w:pPr>
              <w:spacing w:after="0"/>
              <w:rPr>
                <w:sz w:val="20"/>
                <w:szCs w:val="20"/>
                <w:color w:val="auto"/>
              </w:rPr>
            </w:pPr>
          </w:p>
        </w:tc>
        <w:tc>
          <w:tcPr>
            <w:tcW w:w="2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17,892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14,489</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81 %</w:t>
            </w:r>
          </w:p>
        </w:tc>
        <w:tc>
          <w:tcPr>
            <w:tcW w:w="12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83,196</w:t>
            </w:r>
          </w:p>
        </w:tc>
        <w:tc>
          <w:tcPr>
            <w:tcW w:w="100" w:type="dxa"/>
            <w:vAlign w:val="bottom"/>
          </w:tcPr>
          <w:p>
            <w:pPr>
              <w:spacing w:after="0"/>
              <w:rPr>
                <w:sz w:val="20"/>
                <w:szCs w:val="20"/>
                <w:color w:val="auto"/>
              </w:rPr>
            </w:pPr>
          </w:p>
        </w:tc>
        <w:tc>
          <w:tcPr>
            <w:tcW w:w="2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37,066</w:t>
            </w:r>
          </w:p>
        </w:tc>
        <w:tc>
          <w:tcPr>
            <w:tcW w:w="12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46,130</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124 %</w:t>
            </w:r>
          </w:p>
        </w:tc>
        <w:tc>
          <w:tcPr>
            <w:tcW w:w="0" w:type="dxa"/>
            <w:vAlign w:val="bottom"/>
          </w:tcPr>
          <w:p>
            <w:pPr>
              <w:spacing w:after="0"/>
              <w:rPr>
                <w:sz w:val="1"/>
                <w:szCs w:val="1"/>
                <w:color w:val="auto"/>
              </w:rPr>
            </w:pPr>
          </w:p>
        </w:tc>
      </w:tr>
      <w:tr>
        <w:trPr>
          <w:trHeight w:val="242"/>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Fuel station services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23,227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18,387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26 %</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55,524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19,964</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Renewable Power</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spacing w:after="0"/>
              <w:rPr>
                <w:sz w:val="20"/>
                <w:szCs w:val="20"/>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30,094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(2,248)</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22"/>
        </w:trPr>
        <w:tc>
          <w:tcPr>
            <w:tcW w:w="2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revenues</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66,550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168,814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104,968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63,846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61 %</w:t>
            </w:r>
          </w:p>
        </w:tc>
        <w:tc>
          <w:tcPr>
            <w:tcW w:w="0" w:type="dxa"/>
            <w:vAlign w:val="bottom"/>
          </w:tcPr>
          <w:p>
            <w:pPr>
              <w:spacing w:after="0"/>
              <w:rPr>
                <w:sz w:val="1"/>
                <w:szCs w:val="1"/>
                <w:color w:val="auto"/>
              </w:rPr>
            </w:pPr>
          </w:p>
        </w:tc>
      </w:tr>
      <w:tr>
        <w:trPr>
          <w:trHeight w:val="177"/>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sales - RNG fuel</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20,959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11,973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8,986</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75 %</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51,843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23,053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28,790</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125 %</w:t>
            </w:r>
          </w:p>
        </w:tc>
        <w:tc>
          <w:tcPr>
            <w:tcW w:w="0" w:type="dxa"/>
            <w:vAlign w:val="bottom"/>
          </w:tcPr>
          <w:p>
            <w:pPr>
              <w:spacing w:after="0"/>
              <w:rPr>
                <w:sz w:val="1"/>
                <w:szCs w:val="1"/>
                <w:color w:val="auto"/>
              </w:rPr>
            </w:pPr>
          </w:p>
        </w:tc>
      </w:tr>
      <w:tr>
        <w:trPr>
          <w:trHeight w:val="19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Cost of sales - Fuel station services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20,886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5,428</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49,643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19,868</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67 %</w:t>
            </w:r>
          </w:p>
        </w:tc>
        <w:tc>
          <w:tcPr>
            <w:tcW w:w="0" w:type="dxa"/>
            <w:vAlign w:val="bottom"/>
          </w:tcPr>
          <w:p>
            <w:pPr>
              <w:spacing w:after="0"/>
              <w:rPr>
                <w:sz w:val="1"/>
                <w:szCs w:val="1"/>
                <w:color w:val="auto"/>
              </w:rPr>
            </w:pPr>
          </w:p>
        </w:tc>
      </w:tr>
      <w:tr>
        <w:trPr>
          <w:trHeight w:val="31"/>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sales - Renewable power</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1,581</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26 %</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23,593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23,952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15,751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7,829</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19,107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15,454</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81 %</w:t>
            </w:r>
          </w:p>
        </w:tc>
        <w:tc>
          <w:tcPr>
            <w:tcW w:w="0" w:type="dxa"/>
            <w:vAlign w:val="bottom"/>
          </w:tcPr>
          <w:p>
            <w:pPr>
              <w:spacing w:after="0"/>
              <w:rPr>
                <w:sz w:val="1"/>
                <w:szCs w:val="1"/>
                <w:color w:val="auto"/>
              </w:rPr>
            </w:pPr>
          </w:p>
        </w:tc>
      </w:tr>
      <w:tr>
        <w:trPr>
          <w:trHeight w:val="31"/>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Depreciation, amortization, and accretion</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25 %</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6,672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3,144</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47 %</w:t>
            </w:r>
          </w:p>
        </w:tc>
        <w:tc>
          <w:tcPr>
            <w:tcW w:w="0" w:type="dxa"/>
            <w:vAlign w:val="bottom"/>
          </w:tcPr>
          <w:p>
            <w:pPr>
              <w:spacing w:after="0"/>
              <w:rPr>
                <w:sz w:val="1"/>
                <w:szCs w:val="1"/>
                <w:color w:val="auto"/>
              </w:rPr>
            </w:pPr>
          </w:p>
        </w:tc>
      </w:tr>
      <w:tr>
        <w:trPr>
          <w:trHeight w:val="186"/>
        </w:trPr>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Total expenses</w:t>
            </w: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68,499</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44,030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24,469</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169,456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102,559</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66,897</w:t>
            </w:r>
          </w:p>
        </w:tc>
        <w:tc>
          <w:tcPr>
            <w:tcW w:w="12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65 %</w:t>
            </w:r>
          </w:p>
        </w:tc>
        <w:tc>
          <w:tcPr>
            <w:tcW w:w="0" w:type="dxa"/>
            <w:vAlign w:val="bottom"/>
          </w:tcPr>
          <w:p>
            <w:pPr>
              <w:spacing w:after="0"/>
              <w:rPr>
                <w:sz w:val="1"/>
                <w:szCs w:val="1"/>
                <w:color w:val="auto"/>
              </w:rPr>
            </w:pPr>
          </w:p>
        </w:tc>
      </w:tr>
      <w:tr>
        <w:trPr>
          <w:trHeight w:val="31"/>
        </w:trPr>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(loss) income</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(5,103)</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(3,051)</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0" w:type="dxa"/>
            <w:vAlign w:val="bottom"/>
          </w:tcPr>
          <w:p>
            <w:pPr>
              <w:spacing w:after="0"/>
              <w:rPr>
                <w:sz w:val="1"/>
                <w:szCs w:val="1"/>
                <w:color w:val="auto"/>
              </w:rPr>
            </w:pPr>
          </w:p>
        </w:tc>
      </w:tr>
      <w:tr>
        <w:trPr>
          <w:trHeight w:val="177"/>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Other income (expense)</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and financing expense, net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1,578</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67 %</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(1,525)</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174"/>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Change in fair value of derivative</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(1,908)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(1,881)</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(6967)%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(1,570)</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(15700)%</w:t>
            </w:r>
          </w:p>
        </w:tc>
        <w:tc>
          <w:tcPr>
            <w:tcW w:w="0" w:type="dxa"/>
            <w:vAlign w:val="bottom"/>
          </w:tcPr>
          <w:p>
            <w:pPr>
              <w:spacing w:after="0"/>
              <w:rPr>
                <w:sz w:val="1"/>
                <w:szCs w:val="1"/>
                <w:color w:val="auto"/>
              </w:rPr>
            </w:pPr>
          </w:p>
        </w:tc>
      </w:tr>
      <w:tr>
        <w:trPr>
          <w:trHeight w:val="202"/>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instruments, net</w:t>
            </w: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6,308</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6,308</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74"/>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Income (loss) from equity method</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3,694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3,694</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3,658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2,392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1,266</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53 %</w:t>
            </w:r>
          </w:p>
        </w:tc>
        <w:tc>
          <w:tcPr>
            <w:tcW w:w="0" w:type="dxa"/>
            <w:vAlign w:val="bottom"/>
          </w:tcPr>
          <w:p>
            <w:pPr>
              <w:spacing w:after="0"/>
              <w:rPr>
                <w:sz w:val="1"/>
                <w:szCs w:val="1"/>
                <w:color w:val="auto"/>
              </w:rPr>
            </w:pPr>
          </w:p>
        </w:tc>
      </w:tr>
      <w:tr>
        <w:trPr>
          <w:trHeight w:val="202"/>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investments</w:t>
            </w: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on acquisition of equity method</w:t>
            </w:r>
          </w:p>
        </w:tc>
        <w:tc>
          <w:tcPr>
            <w:tcW w:w="2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19,818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(19,818)</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211"/>
        </w:trPr>
        <w:tc>
          <w:tcPr>
            <w:tcW w:w="2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investment</w:t>
            </w:r>
          </w:p>
        </w:tc>
        <w:tc>
          <w:tcPr>
            <w:tcW w:w="2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62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5"/>
                <w:szCs w:val="15"/>
                <w:color w:val="auto"/>
              </w:rPr>
              <w:t>Net (loss) income before provision for</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5,369</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773</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4,596</w:t>
            </w:r>
          </w:p>
        </w:tc>
        <w:tc>
          <w:tcPr>
            <w:tcW w:w="100" w:type="dxa"/>
            <w:vAlign w:val="bottom"/>
          </w:tcPr>
          <w:p>
            <w:pPr>
              <w:spacing w:after="0"/>
              <w:rPr>
                <w:sz w:val="13"/>
                <w:szCs w:val="13"/>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595 %</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18,950</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(18,390)</w:t>
            </w:r>
          </w:p>
        </w:tc>
        <w:tc>
          <w:tcPr>
            <w:tcW w:w="120" w:type="dxa"/>
            <w:vAlign w:val="bottom"/>
          </w:tcPr>
          <w:p>
            <w:pPr>
              <w:spacing w:after="0"/>
              <w:rPr>
                <w:sz w:val="13"/>
                <w:szCs w:val="13"/>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5"/>
                <w:szCs w:val="15"/>
                <w:color w:val="auto"/>
              </w:rPr>
              <w:t>income taxes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6"/>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(loss) income</w:t>
            </w: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5,369</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4,596</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595 %</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18,950</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(18,390)</w:t>
            </w:r>
          </w:p>
        </w:tc>
        <w:tc>
          <w:tcPr>
            <w:tcW w:w="12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0" w:type="dxa"/>
            <w:vAlign w:val="bottom"/>
          </w:tcPr>
          <w:p>
            <w:pPr>
              <w:spacing w:after="0"/>
              <w:rPr>
                <w:sz w:val="1"/>
                <w:szCs w:val="1"/>
                <w:color w:val="auto"/>
              </w:rPr>
            </w:pPr>
          </w:p>
        </w:tc>
      </w:tr>
      <w:tr>
        <w:trPr>
          <w:trHeight w:val="31"/>
        </w:trPr>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2620" w:type="dxa"/>
            <w:vAlign w:val="bottom"/>
            <w:gridSpan w:val="2"/>
            <w:shd w:val="clear" w:color="auto" w:fill="CCEEFF"/>
          </w:tcPr>
          <w:p>
            <w:pPr>
              <w:ind w:left="20"/>
              <w:spacing w:after="0" w:line="154" w:lineRule="exact"/>
              <w:rPr>
                <w:sz w:val="20"/>
                <w:szCs w:val="20"/>
                <w:color w:val="auto"/>
              </w:rPr>
            </w:pPr>
            <w:r>
              <w:rPr>
                <w:rFonts w:ascii="Times New Roman" w:cs="Times New Roman" w:eastAsia="Times New Roman" w:hAnsi="Times New Roman"/>
                <w:sz w:val="15"/>
                <w:szCs w:val="15"/>
                <w:color w:val="auto"/>
              </w:rPr>
              <w:t>Net income (loss) attributable to</w:t>
            </w:r>
          </w:p>
        </w:tc>
        <w:tc>
          <w:tcPr>
            <w:tcW w:w="2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4,161</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4,161</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(2,584)</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211"/>
        </w:trPr>
        <w:tc>
          <w:tcPr>
            <w:tcW w:w="2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redeemable non-controlling interests</w:t>
            </w: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loss attributable to non-redeemable</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(325)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50 %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(414)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(410)</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99 %</w:t>
            </w:r>
          </w:p>
        </w:tc>
        <w:tc>
          <w:tcPr>
            <w:tcW w:w="0" w:type="dxa"/>
            <w:vAlign w:val="bottom"/>
          </w:tcPr>
          <w:p>
            <w:pPr>
              <w:spacing w:after="0"/>
              <w:rPr>
                <w:sz w:val="1"/>
                <w:szCs w:val="1"/>
                <w:color w:val="auto"/>
              </w:rPr>
            </w:pPr>
          </w:p>
        </w:tc>
      </w:tr>
      <w:tr>
        <w:trPr>
          <w:trHeight w:val="202"/>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non-controlling interests</w:t>
            </w: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Paid-in-kind preferred dividends</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2,658</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5,093</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9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income attributable to OPAL Fuels</w:t>
            </w: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(989)</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(19,364)</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31"/>
        </w:trPr>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620" w:type="dxa"/>
            <w:vAlign w:val="bottom"/>
            <w:gridSpan w:val="2"/>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b w:val="1"/>
                <w:bCs w:val="1"/>
                <w:color w:val="auto"/>
              </w:rPr>
              <w:t>Net loss attributable to Common</w:t>
            </w:r>
          </w:p>
        </w:tc>
        <w:tc>
          <w:tcPr>
            <w:tcW w:w="20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(1,125)</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(1,125)</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(1,125)</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(1,125)</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2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RNG Fuel</w:t>
      </w:r>
    </w:p>
    <w:p>
      <w:pPr>
        <w:spacing w:after="0" w:line="204"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Revenue from RNG Fuel increased by $14.5 million, or 81%, for the three months ended September 30, 2022 compared to the three months ended September 30, 2021. This change was attributable primarily due to an increase in RIN sales and brown gas sales driven by additional volumes and higher prices.</w:t>
      </w:r>
    </w:p>
    <w:p>
      <w:pPr>
        <w:spacing w:after="0" w:line="172" w:lineRule="exact"/>
        <w:rPr>
          <w:sz w:val="20"/>
          <w:szCs w:val="20"/>
          <w:color w:val="auto"/>
        </w:rPr>
      </w:pPr>
    </w:p>
    <w:p>
      <w:pPr>
        <w:jc w:val="both"/>
        <w:ind w:firstLine="298"/>
        <w:spacing w:after="0" w:line="237" w:lineRule="auto"/>
        <w:rPr>
          <w:sz w:val="20"/>
          <w:szCs w:val="20"/>
          <w:color w:val="auto"/>
        </w:rPr>
      </w:pPr>
      <w:r>
        <w:rPr>
          <w:rFonts w:ascii="Times New Roman" w:cs="Times New Roman" w:eastAsia="Times New Roman" w:hAnsi="Times New Roman"/>
          <w:sz w:val="17"/>
          <w:szCs w:val="17"/>
          <w:color w:val="auto"/>
        </w:rPr>
        <w:t>Revenue from RNG Fuel increased by $46.1 million, or 124%, for the nine months ended September 30, 2022 compared to the nine months ended September 30, 2021. $28.0 million of this increase was attributable primarily to the impact of nine months of Beacon revenues in 2022 versus only five months in 2021. Additionally, revenues increased by $12.0 million from the sale of environmental credits, $3.8 million due to higher brown gas sales and $3.2 million in fuel dispensing primarily due to increased volumes.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Fuel Station Services</w:t>
      </w:r>
    </w:p>
    <w:p>
      <w:pPr>
        <w:spacing w:after="0" w:line="130"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Revenue from Fuel Station Services increased by $4.8 million, or 26%, for the three months ended September 30, 2022 compared to the three months ended September 30, 2021. This change was primarily attributable to an increase of $4.3 million in construction revenue from additional fuel station projects and an increase of $0.5 million from incremental service volumes from the addition of four new fueling service sites.</w:t>
      </w:r>
    </w:p>
    <w:p>
      <w:pPr>
        <w:spacing w:after="0" w:line="108"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Revenue from Fuel Station Services increased by $20.0 million, or 56%, for the nine months ended September 30, 2022 compared to the nine months ended September 30, 2021. This was primarily attributable to an increase of $18.8 million from fuel station construction projects which were delayed into 2022, coupled with an incremental $1.9 million as we built new fuel stations during the year.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Renewable Power</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Revenue from Renewable Power remained flat for the three months ended September 30, 2022 compared to the three months ended September 30, 2021.</w:t>
      </w:r>
    </w:p>
    <w:p>
      <w:pPr>
        <w:spacing w:after="0" w:line="128"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Revenue from Renewable Power decreased by $2.2 million, or 7%, for the nine months ended September 30, 2022 compared to the nine months ended September 30, 2021. This change was attributable primarily to a decrease of $4.0 million from the reduction in energy capacity at one of our electricity generation facilities offset by positive mark to market change in commodity swaps of $2.0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sales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RNG Fuel</w:t>
      </w:r>
    </w:p>
    <w:p>
      <w:pPr>
        <w:spacing w:after="0" w:line="142" w:lineRule="exact"/>
        <w:rPr>
          <w:sz w:val="20"/>
          <w:szCs w:val="20"/>
          <w:color w:val="auto"/>
        </w:rPr>
      </w:pPr>
    </w:p>
    <w:p>
      <w:pPr>
        <w:jc w:val="both"/>
        <w:ind w:firstLine="298"/>
        <w:spacing w:after="0" w:line="252" w:lineRule="auto"/>
        <w:rPr>
          <w:sz w:val="20"/>
          <w:szCs w:val="20"/>
          <w:color w:val="auto"/>
        </w:rPr>
      </w:pPr>
      <w:r>
        <w:rPr>
          <w:rFonts w:ascii="Times New Roman" w:cs="Times New Roman" w:eastAsia="Times New Roman" w:hAnsi="Times New Roman"/>
          <w:sz w:val="17"/>
          <w:szCs w:val="17"/>
          <w:color w:val="auto"/>
        </w:rPr>
        <w:t>Cost of sales from RNG Fuel increased by $9.0 million, or 75%, for the three months ended September 30, 2022 compared to the three months ended September 30, 2021. This change was attributable primarily due to increase in costs of $3.4 million from new RNG facilities including but not limited to Emerald, Sunoma, New River and Sapphire. Additionally, there was an increase of $2.6 million due to increased royalty expense from increased RIN sales, $0.6 million write down charges relating to our brown gas inventory to its net realizable value due to decrease in prices and unplanned repairs at one of our RNG facilities.</w:t>
      </w:r>
    </w:p>
    <w:p>
      <w:pPr>
        <w:spacing w:after="0" w:line="111" w:lineRule="exact"/>
        <w:rPr>
          <w:sz w:val="20"/>
          <w:szCs w:val="20"/>
          <w:color w:val="auto"/>
        </w:rPr>
      </w:pPr>
    </w:p>
    <w:p>
      <w:pPr>
        <w:jc w:val="both"/>
        <w:ind w:firstLine="298"/>
        <w:spacing w:after="0" w:line="249" w:lineRule="auto"/>
        <w:rPr>
          <w:sz w:val="20"/>
          <w:szCs w:val="20"/>
          <w:color w:val="auto"/>
        </w:rPr>
      </w:pPr>
      <w:r>
        <w:rPr>
          <w:rFonts w:ascii="Times New Roman" w:cs="Times New Roman" w:eastAsia="Times New Roman" w:hAnsi="Times New Roman"/>
          <w:sz w:val="17"/>
          <w:szCs w:val="17"/>
          <w:color w:val="auto"/>
        </w:rPr>
        <w:t>Cost of sales from RNG Fuel increased by $28.8 million, or 125%, for the nine months ended September 30, 2022 compared to the nine months ended September 30, 2021. This change was attributable primarily to the introduction of Beacon’s cost of sales upon consolidation in May 2021 resulting in an increase of $12.9 million, a $1.9 million increase in development costs for building new RNG facilities, $2.9 million increase from new RNG facilities such as Sunoma and New River, $10.3 million increase relating to increased dispensing fees from an increased volume of environmental credits generated, $0.6 million write down charges relating to our brown gas inventory to its net realizable value due to decrease in prices and $1.8 million due to unplanned repairs. Additionally, there were savings of $0.8 million from deconsolidation of Pine Bend and Noble Road as of December 31, 2021.</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Fuel Station Services</w:t>
      </w:r>
    </w:p>
    <w:p>
      <w:pPr>
        <w:spacing w:after="0" w:line="130"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Cost of sales from Fuel Station Services increased by $5.4 million, or 35%, for the three months ended September 30, 2022 compared to the three months ended September 30, 2021. This change was primarily attributable to an increase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06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color w:val="auto"/>
        </w:rPr>
        <w:t>$5.0 million from construction of additional projects and an increase of $0.4 million increase in service from higher volumes.</w:t>
      </w:r>
    </w:p>
    <w:p>
      <w:pPr>
        <w:spacing w:after="0" w:line="128"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Cost of sales from Fuel Station Services increased by $19.9 million, or 67%, for the nine months ended September 30, 2022 compared to the nine months ended September 30, 2021. This change was attributable primarily to an increase in costs of $18.2 million for third-party construction projects due to delays into 2022 and an increase of $1.7 million in service from higher volumes dispensed.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Renewable Power</w:t>
      </w:r>
    </w:p>
    <w:p>
      <w:pPr>
        <w:spacing w:after="0" w:line="142"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Cost of sales from Renewable Power increased by $1.6 million, or 26%, for the three months ended September 30, 2022 compared to the three months ended September 30, 2021. The increase was primarily attributable to a $0.7 million in major maintenance at two of our facilities due to timing and a $0.3 million increase in unplanned maintenance, workers compensation expense of $0.1 million and increase of $0.2 million routine maintenance.</w:t>
      </w:r>
    </w:p>
    <w:p>
      <w:pPr>
        <w:spacing w:after="0" w:line="108"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Cost of sales from Renewable Power marginally decreased by $0.4 million, or 1%, for the nine months ended September 30, 2022 compared to the nine months ended September 30,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w:t>
      </w:r>
    </w:p>
    <w:p>
      <w:pPr>
        <w:spacing w:after="0" w:line="219" w:lineRule="exact"/>
        <w:rPr>
          <w:sz w:val="20"/>
          <w:szCs w:val="20"/>
          <w:color w:val="auto"/>
        </w:rPr>
      </w:pPr>
    </w:p>
    <w:p>
      <w:pPr>
        <w:jc w:val="both"/>
        <w:ind w:firstLine="298"/>
        <w:spacing w:after="0" w:line="232" w:lineRule="auto"/>
        <w:rPr>
          <w:sz w:val="20"/>
          <w:szCs w:val="20"/>
          <w:color w:val="auto"/>
        </w:rPr>
      </w:pPr>
      <w:r>
        <w:rPr>
          <w:rFonts w:ascii="Times New Roman" w:cs="Times New Roman" w:eastAsia="Times New Roman" w:hAnsi="Times New Roman"/>
          <w:sz w:val="17"/>
          <w:szCs w:val="17"/>
          <w:color w:val="auto"/>
        </w:rPr>
        <w:t>Selling, general, and administrative expenses increased by a total of $7.8 million, or 99%, for the three months ended September 30, 2022 compared to the three months ended September 30, 2021. This change was attributable primarily to an increase in insurance expense of $5.0 million related to a directors and officers tail policy for Arclight's former directors and new directors and officers policy for the Company's current management, higher employee headcount and related compensation and benefit expenses of $1.3 million to support our organic growth, an increase of $0.6 million in professional fees and audit fees relating becoming a publicly traded company, an increase of $0.7 million in IT- related expenses as we invested to improve our technology platforms and $0.2 million related to filing a registration statement for the resale of Class A common stock on behalf of certain of our equity holders.</w:t>
      </w:r>
    </w:p>
    <w:p>
      <w:pPr>
        <w:spacing w:after="0" w:line="196" w:lineRule="exact"/>
        <w:rPr>
          <w:sz w:val="20"/>
          <w:szCs w:val="20"/>
          <w:color w:val="auto"/>
        </w:rPr>
      </w:pPr>
    </w:p>
    <w:p>
      <w:pPr>
        <w:jc w:val="both"/>
        <w:ind w:firstLine="298"/>
        <w:spacing w:after="0" w:line="234" w:lineRule="auto"/>
        <w:rPr>
          <w:sz w:val="20"/>
          <w:szCs w:val="20"/>
          <w:color w:val="auto"/>
        </w:rPr>
      </w:pPr>
      <w:r>
        <w:rPr>
          <w:rFonts w:ascii="Times New Roman" w:cs="Times New Roman" w:eastAsia="Times New Roman" w:hAnsi="Times New Roman"/>
          <w:sz w:val="17"/>
          <w:szCs w:val="17"/>
          <w:color w:val="auto"/>
        </w:rPr>
        <w:t>Selling, general, and administrative expenses increased by a total of $15.5 million, or 81%, for the nine months ended September 30, 2022 compared to the nine months ended September 30, 2021. This change was attributable primarily to higher insurance expense of $5.1 million relating to the insurance policies for Arclight’s former directors and the Company’s current management, higher employee headcount and related compensation and benefit expenses of $6.6 million to support our organic growth year-over-year, a $2.6 million increase in professional fees related to audit, tax, legal and consulting fees, a $2.5 million increase in IT-related expenses and $0.2 million related to filing of the registration statement. These costs are related to setting up the administrative, compliance, and governance structure required for operating a public company which do not qualify for capitalization. The noted increases were partially offset by a gain of $1.5 million recorded as a reduction of Selling, general and administrative expenses relating to a legal settlement.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amortization, and accretion</w:t>
      </w:r>
    </w:p>
    <w:p>
      <w:pPr>
        <w:spacing w:after="0" w:line="132"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Depreciation, amortization, and accretion increased by a total of $0.6 million, or 25%, for the three months ended September 30, 2022 compared to the three months ended September 30, 2021. This change was primarily due to increase in depreciation from the Sunoma and New River RNG facilities coming online.</w:t>
      </w:r>
    </w:p>
    <w:p>
      <w:pPr>
        <w:spacing w:after="0" w:line="98" w:lineRule="exact"/>
        <w:rPr>
          <w:sz w:val="20"/>
          <w:szCs w:val="20"/>
          <w:color w:val="auto"/>
        </w:rPr>
      </w:pPr>
    </w:p>
    <w:p>
      <w:pPr>
        <w:jc w:val="both"/>
        <w:ind w:firstLine="298"/>
        <w:spacing w:after="0" w:line="250" w:lineRule="auto"/>
        <w:rPr>
          <w:sz w:val="20"/>
          <w:szCs w:val="20"/>
          <w:color w:val="auto"/>
        </w:rPr>
      </w:pPr>
      <w:r>
        <w:rPr>
          <w:rFonts w:ascii="Times New Roman" w:cs="Times New Roman" w:eastAsia="Times New Roman" w:hAnsi="Times New Roman"/>
          <w:sz w:val="17"/>
          <w:szCs w:val="17"/>
          <w:color w:val="auto"/>
        </w:rPr>
        <w:t>Depreciation, amortization, and accretion increased by a total of $3.1 million, or 47%, for the nine months ended September 30, 2022 compared to the nine months ended September 30, 2021. This change was attributable primarily to the introduction of Beacon’s property, plant and equipment balances upon consolidation in 2021 increasing our depreciation expense by $0.8 million, a $0.4 million increase from new downstream dispensing sites becoming operational, a $1.0 million increase from one additional RNG facility becoming operational during the fourth quarter of 2021 and $0.8 million increase due to accelerated depreciation on two facilities in our Renewable Power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financing expense, net</w:t>
      </w:r>
    </w:p>
    <w:p>
      <w:pPr>
        <w:spacing w:after="0" w:line="144" w:lineRule="exact"/>
        <w:rPr>
          <w:sz w:val="20"/>
          <w:szCs w:val="20"/>
          <w:color w:val="auto"/>
        </w:rPr>
      </w:pPr>
    </w:p>
    <w:p>
      <w:pPr>
        <w:jc w:val="both"/>
        <w:ind w:firstLine="298"/>
        <w:spacing w:after="0" w:line="269" w:lineRule="auto"/>
        <w:rPr>
          <w:sz w:val="20"/>
          <w:szCs w:val="20"/>
          <w:color w:val="auto"/>
        </w:rPr>
      </w:pPr>
      <w:r>
        <w:rPr>
          <w:rFonts w:ascii="Times New Roman" w:cs="Times New Roman" w:eastAsia="Times New Roman" w:hAnsi="Times New Roman"/>
          <w:sz w:val="16"/>
          <w:szCs w:val="16"/>
          <w:color w:val="auto"/>
        </w:rPr>
        <w:t>Interest and financing expenses, net, decreased by $1.6 million, or 67%, for the three months ended September 30, 2022 compared to the three months ended September 30, 2021. This change was primarily due to an increase in interest income of $0.4 million due to interest earned on the short term investments (cash received from completion of Business Combination), a $0.7 million saving on interest on Convertible Note Payable as 50% of the debt was converted to equity on July 21, 2022 and change in fair value of Convertible note of $2.9 million. This was offset by an increase in outstanding debt from the OPAL Term Loan resulting in an increase in an interest expense of $1.1 million (including $0.4 million of amortization of deferred financing costs), a $0.2 million increase in commitment fees on our OPAL Term Loan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006" w:right="339" w:bottom="1440" w:gutter="0" w:footer="0" w:header="0"/>
        </w:sectPr>
      </w:pPr>
    </w:p>
    <w:bookmarkStart w:id="64" w:name="page65"/>
    <w:bookmarkEnd w:id="64"/>
    <w:p>
      <w:pPr>
        <w:ind w:left="1" w:hanging="1"/>
        <w:spacing w:after="0" w:line="268" w:lineRule="auto"/>
        <w:tabs>
          <w:tab w:leader="none" w:pos="15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facility and a $0.7 million increase from the Sunoma Loan as the interest expense was expensed for the three months ended September 30, 2022 whereas the interest was capitalized in the same prior-year period because the construction was completed during the first quarter of 2022.</w:t>
      </w:r>
    </w:p>
    <w:p>
      <w:pPr>
        <w:spacing w:after="0" w:line="85" w:lineRule="exact"/>
        <w:rPr>
          <w:sz w:val="20"/>
          <w:szCs w:val="20"/>
          <w:color w:val="auto"/>
        </w:rPr>
      </w:pPr>
    </w:p>
    <w:p>
      <w:pPr>
        <w:jc w:val="both"/>
        <w:ind w:left="1" w:firstLine="298"/>
        <w:spacing w:after="0" w:line="249" w:lineRule="auto"/>
        <w:rPr>
          <w:sz w:val="20"/>
          <w:szCs w:val="20"/>
          <w:color w:val="auto"/>
        </w:rPr>
      </w:pPr>
      <w:r>
        <w:rPr>
          <w:rFonts w:ascii="Times New Roman" w:cs="Times New Roman" w:eastAsia="Times New Roman" w:hAnsi="Times New Roman"/>
          <w:sz w:val="17"/>
          <w:szCs w:val="17"/>
          <w:color w:val="auto"/>
        </w:rPr>
        <w:t>Interest and financing expenses, net increased by $1.5 million, or 27%, for the nine months ended September 30, 2022 compared to the nine months ended September 30, 2021. The increase is primarily attributable to the increase in outstanding debt versus the prior period. the $1.5 million increase was driven by a $1.2 million increase interest on Senior Secured Credit Facility, $2.9 million increase in interest on the OPAL Term Loan, $0.8 million increase in amortization of deferred financing costs, $1.3 million increase in Sunoma Loan( interest on Sunoma Loan was capitalized in 2021), partially offset by $2.4 million decrease on Convertible payable which includes a decrease of $2.9 million in change in fair market value, increase in interest income of $1.3 million from the Note receivable and short term investments and $0.5 million savings in interest on the Trustar revolver facility since it was repaid in October 2021.</w:t>
      </w:r>
    </w:p>
    <w:p>
      <w:pPr>
        <w:spacing w:after="0" w:line="17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derivatives, net</w:t>
      </w:r>
    </w:p>
    <w:p>
      <w:pPr>
        <w:spacing w:after="0" w:line="144" w:lineRule="exact"/>
        <w:rPr>
          <w:sz w:val="20"/>
          <w:szCs w:val="20"/>
          <w:color w:val="auto"/>
        </w:rPr>
      </w:pPr>
    </w:p>
    <w:p>
      <w:pPr>
        <w:jc w:val="both"/>
        <w:ind w:left="1" w:firstLine="298"/>
        <w:spacing w:after="0" w:line="280" w:lineRule="auto"/>
        <w:rPr>
          <w:sz w:val="20"/>
          <w:szCs w:val="20"/>
          <w:color w:val="auto"/>
        </w:rPr>
      </w:pPr>
      <w:r>
        <w:rPr>
          <w:rFonts w:ascii="Times New Roman" w:cs="Times New Roman" w:eastAsia="Times New Roman" w:hAnsi="Times New Roman"/>
          <w:sz w:val="16"/>
          <w:szCs w:val="16"/>
          <w:color w:val="auto"/>
        </w:rPr>
        <w:t>Change in fair value of derivatives, net increased by $1.9 million, or 6967%, for the three months ended September 30, 2022 compared to the three months ended September 30, 2021. This change was attributable primarily to fair value adjustments on our Derivative warrant liabilities, earnout liabilities, put option on a forward purchase agreement and interest rate swaps. These liabilities were recorded in the condensed consolidated balance sheet upon completion of the Business Combination.</w:t>
      </w:r>
    </w:p>
    <w:p>
      <w:pPr>
        <w:spacing w:after="0" w:line="89" w:lineRule="exact"/>
        <w:rPr>
          <w:sz w:val="20"/>
          <w:szCs w:val="20"/>
          <w:color w:val="auto"/>
        </w:rPr>
      </w:pPr>
    </w:p>
    <w:p>
      <w:pPr>
        <w:jc w:val="both"/>
        <w:ind w:left="1" w:firstLine="298"/>
        <w:spacing w:after="0" w:line="280" w:lineRule="auto"/>
        <w:rPr>
          <w:sz w:val="20"/>
          <w:szCs w:val="20"/>
          <w:color w:val="auto"/>
        </w:rPr>
      </w:pPr>
      <w:r>
        <w:rPr>
          <w:rFonts w:ascii="Times New Roman" w:cs="Times New Roman" w:eastAsia="Times New Roman" w:hAnsi="Times New Roman"/>
          <w:sz w:val="16"/>
          <w:szCs w:val="16"/>
          <w:color w:val="auto"/>
        </w:rPr>
        <w:t>Change in fair value of derivatives, net increased by $1.6 million, or 15700%, for the nine months ended September 30, 2022 compared to the nine months ended September 30, 2021. This change was attributable primarily to fair value adjustments on our Derivative warrant liabilities, earnout liabilities, put option on a forward purchase agreement and interest rate swaps. These liabilities were recorded in the condensed consolidated balance sheet upon completion of the Business Combination.</w:t>
      </w:r>
    </w:p>
    <w:p>
      <w:pPr>
        <w:spacing w:after="0" w:line="7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144" w:lineRule="exact"/>
        <w:rPr>
          <w:sz w:val="20"/>
          <w:szCs w:val="20"/>
          <w:color w:val="auto"/>
        </w:rPr>
      </w:pPr>
    </w:p>
    <w:p>
      <w:pPr>
        <w:jc w:val="both"/>
        <w:ind w:left="1" w:firstLine="298"/>
        <w:spacing w:after="0" w:line="252" w:lineRule="auto"/>
        <w:rPr>
          <w:sz w:val="20"/>
          <w:szCs w:val="20"/>
          <w:color w:val="auto"/>
        </w:rPr>
      </w:pPr>
      <w:r>
        <w:rPr>
          <w:rFonts w:ascii="Times New Roman" w:cs="Times New Roman" w:eastAsia="Times New Roman" w:hAnsi="Times New Roman"/>
          <w:sz w:val="17"/>
          <w:szCs w:val="17"/>
          <w:color w:val="auto"/>
        </w:rPr>
        <w:t>Other income increased by $6.3 million, or 100%, for the three and nine months ended September 30, 2022 compared to the three and nine months ended September 30, 2021. This change is primarily related $4.4 million recognized on reversal of a contingent payment to a non-controlling interest of one of our VIEs we consolidated in our financial statements as the applicable criteria for payment are no longer met as of September 30, 2022 and $1.9 million gain recognized on repayment of Note receivable.</w:t>
      </w:r>
    </w:p>
    <w:p>
      <w:pPr>
        <w:spacing w:after="0" w:line="16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Income from equity method investments</w:t>
      </w:r>
    </w:p>
    <w:p>
      <w:pPr>
        <w:spacing w:after="0" w:line="144" w:lineRule="exact"/>
        <w:rPr>
          <w:sz w:val="20"/>
          <w:szCs w:val="20"/>
          <w:color w:val="auto"/>
        </w:rPr>
      </w:pPr>
    </w:p>
    <w:p>
      <w:pPr>
        <w:jc w:val="both"/>
        <w:ind w:left="1" w:firstLine="298"/>
        <w:spacing w:after="0" w:line="256" w:lineRule="auto"/>
        <w:rPr>
          <w:sz w:val="20"/>
          <w:szCs w:val="20"/>
          <w:color w:val="auto"/>
        </w:rPr>
      </w:pPr>
      <w:r>
        <w:rPr>
          <w:rFonts w:ascii="Times New Roman" w:cs="Times New Roman" w:eastAsia="Times New Roman" w:hAnsi="Times New Roman"/>
          <w:sz w:val="17"/>
          <w:szCs w:val="17"/>
          <w:color w:val="auto"/>
        </w:rPr>
        <w:t>Net income attributable to equity method investments increased by $3.7 million, or 100%, for the three months ended September 30, 2022, compared to the three months ended September 30, 2021. This change was attributable primarily to an increase of $0.7 million from equity method investments in the Pine Bend, Noble Road and GREP. For the three months ended September 30, 2021, there was no income from equity method investments.</w:t>
      </w:r>
    </w:p>
    <w:p>
      <w:pPr>
        <w:spacing w:after="0" w:line="95" w:lineRule="exact"/>
        <w:rPr>
          <w:sz w:val="20"/>
          <w:szCs w:val="20"/>
          <w:color w:val="auto"/>
        </w:rPr>
      </w:pPr>
    </w:p>
    <w:p>
      <w:pPr>
        <w:jc w:val="both"/>
        <w:ind w:left="1" w:firstLine="298"/>
        <w:spacing w:after="0" w:line="252" w:lineRule="auto"/>
        <w:rPr>
          <w:sz w:val="20"/>
          <w:szCs w:val="20"/>
          <w:color w:val="auto"/>
        </w:rPr>
      </w:pPr>
      <w:r>
        <w:rPr>
          <w:rFonts w:ascii="Times New Roman" w:cs="Times New Roman" w:eastAsia="Times New Roman" w:hAnsi="Times New Roman"/>
          <w:sz w:val="17"/>
          <w:szCs w:val="17"/>
          <w:color w:val="auto"/>
        </w:rPr>
        <w:t>Net income attributable to equity method investments increased by $1.3 million, or 53%, for the nine ended September 30, 2022 compared to the nine ended September 30, 2021. This change was attributable primarily to the increase in net income from Noble Road and GREP that exceeded income from Beacon during comparable period in 2021. Upon the step acquisition of the 56% of controlling interest in Beacon in May 2021, the results of Beacon were consolidated in the financial statements. Pine Bend and Noble Road were deconsolidated as of December 31, 2021.</w:t>
      </w:r>
    </w:p>
    <w:p>
      <w:pPr>
        <w:spacing w:after="0" w:line="16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Gain on acquisition of equity method investment</w:t>
      </w:r>
    </w:p>
    <w:p>
      <w:pPr>
        <w:spacing w:after="0" w:line="144" w:lineRule="exact"/>
        <w:rPr>
          <w:sz w:val="20"/>
          <w:szCs w:val="20"/>
          <w:color w:val="auto"/>
        </w:rPr>
      </w:pPr>
    </w:p>
    <w:p>
      <w:pPr>
        <w:ind w:left="301"/>
        <w:spacing w:after="0"/>
        <w:rPr>
          <w:sz w:val="20"/>
          <w:szCs w:val="20"/>
          <w:color w:val="auto"/>
        </w:rPr>
      </w:pPr>
      <w:r>
        <w:rPr>
          <w:rFonts w:ascii="Times New Roman" w:cs="Times New Roman" w:eastAsia="Times New Roman" w:hAnsi="Times New Roman"/>
          <w:sz w:val="17"/>
          <w:szCs w:val="17"/>
          <w:color w:val="auto"/>
        </w:rPr>
        <w:t>There was no gain on equity method investment for the three months ended September 30, 2022 and 2021.</w:t>
      </w:r>
    </w:p>
    <w:p>
      <w:pPr>
        <w:spacing w:after="0" w:line="140" w:lineRule="exact"/>
        <w:rPr>
          <w:sz w:val="20"/>
          <w:szCs w:val="20"/>
          <w:color w:val="auto"/>
        </w:rPr>
      </w:pPr>
    </w:p>
    <w:p>
      <w:pPr>
        <w:jc w:val="both"/>
        <w:ind w:left="1" w:firstLine="298"/>
        <w:spacing w:after="0" w:line="268" w:lineRule="auto"/>
        <w:rPr>
          <w:sz w:val="20"/>
          <w:szCs w:val="20"/>
          <w:color w:val="auto"/>
        </w:rPr>
      </w:pPr>
      <w:r>
        <w:rPr>
          <w:rFonts w:ascii="Times New Roman" w:cs="Times New Roman" w:eastAsia="Times New Roman" w:hAnsi="Times New Roman"/>
          <w:sz w:val="17"/>
          <w:szCs w:val="17"/>
          <w:color w:val="auto"/>
        </w:rPr>
        <w:t>The gain on acquisition of equity method investment decreased by $19.8 million, or 100%, for the nine ended September 30, 2022 compared to the nine months ended September 30, 2021. This change was attributable primarily to our step acquisition of the remaining interest in Beacon in May 2021.</w:t>
      </w:r>
    </w:p>
    <w:p>
      <w:pPr>
        <w:spacing w:after="0" w:line="8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Net loss attributable to redeemable non-controlling interests</w:t>
      </w:r>
    </w:p>
    <w:p>
      <w:pPr>
        <w:spacing w:after="0" w:line="144" w:lineRule="exact"/>
        <w:rPr>
          <w:sz w:val="20"/>
          <w:szCs w:val="20"/>
          <w:color w:val="auto"/>
        </w:rPr>
      </w:pPr>
    </w:p>
    <w:p>
      <w:pPr>
        <w:jc w:val="both"/>
        <w:ind w:left="1" w:firstLine="597"/>
        <w:spacing w:after="0" w:line="256" w:lineRule="auto"/>
        <w:rPr>
          <w:sz w:val="20"/>
          <w:szCs w:val="20"/>
          <w:color w:val="auto"/>
        </w:rPr>
      </w:pPr>
      <w:r>
        <w:rPr>
          <w:rFonts w:ascii="Times New Roman" w:cs="Times New Roman" w:eastAsia="Times New Roman" w:hAnsi="Times New Roman"/>
          <w:sz w:val="17"/>
          <w:szCs w:val="17"/>
          <w:color w:val="auto"/>
        </w:rPr>
        <w:t>Net loss attributable to redeemable non-controlling interests for the three and nine months ended September 30, 2022 is $4.2 million and $2.6 million, respectively. The net loss for the three and nine months ended September 30, 2022 reflects the portion of earnings belonging to OPAL Fuels equity holders prior to Business Combination for the period January 1, 2022 till July 21, 2022.</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1"/>
          </w:cols>
          <w:pgMar w:left="319" w:top="100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attributable to non-redeemable non-controlling interests</w:t>
      </w:r>
    </w:p>
    <w:p>
      <w:pPr>
        <w:spacing w:after="0" w:line="132" w:lineRule="exact"/>
        <w:rPr>
          <w:sz w:val="20"/>
          <w:szCs w:val="20"/>
          <w:color w:val="auto"/>
        </w:rPr>
      </w:pPr>
    </w:p>
    <w:p>
      <w:pPr>
        <w:jc w:val="both"/>
        <w:ind w:firstLine="597"/>
        <w:spacing w:after="0" w:line="250" w:lineRule="auto"/>
        <w:rPr>
          <w:sz w:val="20"/>
          <w:szCs w:val="20"/>
          <w:color w:val="auto"/>
        </w:rPr>
      </w:pPr>
      <w:r>
        <w:rPr>
          <w:rFonts w:ascii="Times New Roman" w:cs="Times New Roman" w:eastAsia="Times New Roman" w:hAnsi="Times New Roman"/>
          <w:sz w:val="17"/>
          <w:szCs w:val="17"/>
          <w:color w:val="auto"/>
        </w:rPr>
        <w:t>Net loss attributable to non-redeemable non-controlling interests for the three months ended September 30, 2022 increased by $0.1 million or 50%, compared to the three months ended September 30, 2021. This reflects the joint venture partners' loss in those entities we sold a portion of our membership interests in certain RNG facilities which are consolidated in our financial statements. These entities for the three months ended September 30, 2022, were Sunoma, Emerald, Sapphire and Central Valley. The entities accounted for as non-redeemable non-controlling interests for the three months ended September 30, 2021 were Pine Bend, Noble Road, Sunoma and Central Valley.</w:t>
      </w:r>
    </w:p>
    <w:p>
      <w:pPr>
        <w:spacing w:after="0" w:line="113" w:lineRule="exact"/>
        <w:rPr>
          <w:sz w:val="20"/>
          <w:szCs w:val="20"/>
          <w:color w:val="auto"/>
        </w:rPr>
      </w:pPr>
    </w:p>
    <w:p>
      <w:pPr>
        <w:jc w:val="both"/>
        <w:ind w:firstLine="597"/>
        <w:spacing w:after="0" w:line="250" w:lineRule="auto"/>
        <w:rPr>
          <w:sz w:val="20"/>
          <w:szCs w:val="20"/>
          <w:color w:val="auto"/>
        </w:rPr>
      </w:pPr>
      <w:r>
        <w:rPr>
          <w:rFonts w:ascii="Times New Roman" w:cs="Times New Roman" w:eastAsia="Times New Roman" w:hAnsi="Times New Roman"/>
          <w:sz w:val="17"/>
          <w:szCs w:val="17"/>
          <w:color w:val="auto"/>
        </w:rPr>
        <w:t>Net loss attributable to non-redeemable non-controlling interests for the nine months ended September 30, 2022 increased by $0.4 million or 99%, compared to nine months ended September 30, 2021. This reflects the joint venture partners' loss in those entities we sold a portion of our membership interests in certain RNG facilities which are consolidated in our financial statements. These entities for the nine months ended September 30, 2022, were Sunoma, Emerald, Sapphire and Central Valley. The entities accounted for as non-redeemable non-controlling interests for the nine months ended September 30, 2021 were Pine Bend, Noble Road, Sunoma and Central Valley.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Paid-in-kind preferred dividends</w:t>
      </w:r>
    </w:p>
    <w:p>
      <w:pPr>
        <w:spacing w:after="0" w:line="132" w:lineRule="exact"/>
        <w:rPr>
          <w:sz w:val="20"/>
          <w:szCs w:val="20"/>
          <w:color w:val="auto"/>
        </w:rPr>
      </w:pPr>
    </w:p>
    <w:p>
      <w:pPr>
        <w:jc w:val="both"/>
        <w:ind w:firstLine="298"/>
        <w:spacing w:after="0" w:line="252" w:lineRule="auto"/>
        <w:rPr>
          <w:sz w:val="20"/>
          <w:szCs w:val="20"/>
          <w:color w:val="auto"/>
        </w:rPr>
      </w:pPr>
      <w:r>
        <w:rPr>
          <w:rFonts w:ascii="Times New Roman" w:cs="Times New Roman" w:eastAsia="Times New Roman" w:hAnsi="Times New Roman"/>
          <w:sz w:val="17"/>
          <w:szCs w:val="17"/>
          <w:color w:val="auto"/>
        </w:rPr>
        <w:t>On November 29, 2021, we entered into an exchange agreement with Hillman whereby Hillman exchanged its ownership interests in the four RNG projects of $30.0 million into 300,000 series A-1 preferred units at a par value of $100 per unit and 1.4% of the common units of OPAL Fuels. On the same day, we entered into a subscription agreement with NextEra for up to 1,000,000 Series A preferred units, which were issued to NextEra during first and second quarters of 2022 for total proceeds of $100.0 million. Upon completion of the Business Combination, these were converted to redeemable preferred non-controlling interests.</w:t>
      </w:r>
    </w:p>
    <w:p>
      <w:pPr>
        <w:spacing w:after="0" w:line="111"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Redeemable preferred non-controlling interests carry an interest of 8% dividend payable quarterly either in cash or paid-in-kind for the first eight quarters at the option of the Company. The Company recorded the dividend payable of $2.7 million and $5.1 million for the three and nine months ended September 30, 2022, respectively as to be paid-in-kind.</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There was no paid-in-kind preferred dividend for the three and nine months ended September 30,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132" w:lineRule="exact"/>
        <w:rPr>
          <w:sz w:val="20"/>
          <w:szCs w:val="20"/>
          <w:color w:val="auto"/>
        </w:rPr>
      </w:pPr>
    </w:p>
    <w:p>
      <w:pPr>
        <w:jc w:val="both"/>
        <w:ind w:left="140" w:firstLine="298"/>
        <w:spacing w:after="0" w:line="248" w:lineRule="auto"/>
        <w:rPr>
          <w:sz w:val="20"/>
          <w:szCs w:val="20"/>
          <w:color w:val="auto"/>
        </w:rPr>
      </w:pPr>
      <w:r>
        <w:rPr>
          <w:rFonts w:ascii="Times New Roman" w:cs="Times New Roman" w:eastAsia="Times New Roman" w:hAnsi="Times New Roman"/>
          <w:sz w:val="17"/>
          <w:szCs w:val="17"/>
          <w:color w:val="auto"/>
        </w:rPr>
        <w:t xml:space="preserve">As of September 30, 2022, our liquidity consisted of cash and cash equivalents including restricted cash of $71.4 million and $146.9 million. Additionally, we entered into a Senior Secured Credit Facility which provides an approximately two year delayed term loan facility (the </w:t>
      </w:r>
      <w:r>
        <w:rPr>
          <w:rFonts w:ascii="Times New Roman" w:cs="Times New Roman" w:eastAsia="Times New Roman" w:hAnsi="Times New Roman"/>
          <w:sz w:val="17"/>
          <w:szCs w:val="17"/>
          <w:b w:val="1"/>
          <w:bCs w:val="1"/>
          <w:i w:val="1"/>
          <w:iCs w:val="1"/>
          <w:color w:val="auto"/>
        </w:rPr>
        <w:t>"DDTL Facility"</w:t>
      </w:r>
      <w:r>
        <w:rPr>
          <w:rFonts w:ascii="Times New Roman" w:cs="Times New Roman" w:eastAsia="Times New Roman" w:hAnsi="Times New Roman"/>
          <w:sz w:val="17"/>
          <w:szCs w:val="17"/>
          <w:color w:val="auto"/>
        </w:rPr>
        <w:t xml:space="preserve">) of up to a maximum aggregate principal amount of $100.0 million and Debt Service Reserve facility (the </w:t>
      </w:r>
      <w:r>
        <w:rPr>
          <w:rFonts w:ascii="Times New Roman" w:cs="Times New Roman" w:eastAsia="Times New Roman" w:hAnsi="Times New Roman"/>
          <w:sz w:val="17"/>
          <w:szCs w:val="17"/>
          <w:b w:val="1"/>
          <w:bCs w:val="1"/>
          <w:i w:val="1"/>
          <w:iCs w:val="1"/>
          <w:color w:val="auto"/>
        </w:rPr>
        <w:t>"DSR Facility"</w:t>
      </w:r>
      <w:r>
        <w:rPr>
          <w:rFonts w:ascii="Times New Roman" w:cs="Times New Roman" w:eastAsia="Times New Roman" w:hAnsi="Times New Roman"/>
          <w:sz w:val="17"/>
          <w:szCs w:val="17"/>
          <w:color w:val="auto"/>
        </w:rPr>
        <w:t>)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DSR Facility are to be used solely to satisfy the balance to be maintained in the debt service reserve account. We have recently drawn $25.0 million under the OPAL Term Loan. Additionally, we have entered into an amendment to the OPAL Term Loan which extended commitment available date to March 2023 for the remaining $10.0 million.</w:t>
      </w:r>
    </w:p>
    <w:p>
      <w:pPr>
        <w:spacing w:after="0" w:line="115" w:lineRule="exact"/>
        <w:rPr>
          <w:sz w:val="20"/>
          <w:szCs w:val="20"/>
          <w:color w:val="auto"/>
        </w:rPr>
      </w:pPr>
    </w:p>
    <w:p>
      <w:pPr>
        <w:jc w:val="both"/>
        <w:ind w:left="140" w:firstLine="298"/>
        <w:spacing w:after="0" w:line="252" w:lineRule="auto"/>
        <w:rPr>
          <w:sz w:val="20"/>
          <w:szCs w:val="20"/>
          <w:color w:val="auto"/>
        </w:rPr>
      </w:pPr>
      <w:r>
        <w:rPr>
          <w:rFonts w:ascii="Times New Roman" w:cs="Times New Roman" w:eastAsia="Times New Roman" w:hAnsi="Times New Roman"/>
          <w:sz w:val="17"/>
          <w:szCs w:val="17"/>
          <w:color w:val="auto"/>
        </w:rPr>
        <w:t>We expect that our available cash together with our other assets, expected cash flows from operations, available lines of credit under various debt facilities and access to expected sources of capital will be sufficient to meet our existing commitments for a period of at least twelve months from the date of this report. Any reduction in demand for our products or our ability to manage our production facilities may result in lower cash flows from operations which may impact our ability to make investments and may require changes to our growth plan.</w:t>
      </w:r>
    </w:p>
    <w:p>
      <w:pPr>
        <w:spacing w:after="0" w:line="323" w:lineRule="exact"/>
        <w:rPr>
          <w:sz w:val="20"/>
          <w:szCs w:val="20"/>
          <w:color w:val="auto"/>
        </w:rPr>
      </w:pPr>
    </w:p>
    <w:p>
      <w:pPr>
        <w:jc w:val="both"/>
        <w:ind w:left="140" w:firstLine="298"/>
        <w:spacing w:after="0" w:line="249" w:lineRule="auto"/>
        <w:rPr>
          <w:sz w:val="20"/>
          <w:szCs w:val="20"/>
          <w:color w:val="auto"/>
        </w:rPr>
      </w:pPr>
      <w:r>
        <w:rPr>
          <w:rFonts w:ascii="Times New Roman" w:cs="Times New Roman" w:eastAsia="Times New Roman" w:hAnsi="Times New Roman"/>
          <w:sz w:val="17"/>
          <w:szCs w:val="17"/>
          <w:color w:val="auto"/>
        </w:rPr>
        <w:t>In connection with the Business Combination, holders of Arclight’s Class A ordinary shares representing an aggregate redemption amount of $274,186,522 exercised their right to redeem their shares for cash. In addition, for the nine months ended September 30, 2022, we received revenue of approximately $168.8 million, which is lower than the revenue we expected to receive toward the full year numbers previously disclosed as part of the unaudited prospective financial information our management prepared and provided to the ArcLight board of directors in connection with the evaluation of the Business Combination (the "Prior Projections"). This has resulted primarily from lower than anticipated levels of gas collection at certain operating facilities, delays in completion of construction of certain RNG facilities, (which are now in commercial operation) and delays in commencement of construction of Fueling Stations. While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002" w:right="339" w:bottom="1440" w:gutter="0" w:footer="0" w:header="0"/>
        </w:sectPr>
      </w:pPr>
    </w:p>
    <w:bookmarkStart w:id="66" w:name="page67"/>
    <w:bookmarkEnd w:id="66"/>
    <w:p>
      <w:pPr>
        <w:jc w:val="both"/>
        <w:ind w:left="140"/>
        <w:spacing w:after="0" w:line="250" w:lineRule="auto"/>
        <w:rPr>
          <w:sz w:val="20"/>
          <w:szCs w:val="20"/>
          <w:color w:val="auto"/>
        </w:rPr>
      </w:pPr>
      <w:r>
        <w:rPr>
          <w:rFonts w:ascii="Times New Roman" w:cs="Times New Roman" w:eastAsia="Times New Roman" w:hAnsi="Times New Roman"/>
          <w:sz w:val="17"/>
          <w:szCs w:val="17"/>
          <w:color w:val="auto"/>
        </w:rPr>
        <w:t>second half of 2022 has shown improvement to date and we expect revenue to be higher than that in the first half of the year, we currently anticipate that our full year revenue for 2022 will be lower than anticipated in the Prior Projections as a result of these factors. We are continuing to evaluate our business plan but we expect that the factors described above that we experienced during the nine months ended September 30, 2022 will continue during 2023. In this regard, we remind investors that we have not updated the Prior Projections. Certain of the assumptions underlying the Prior Projections are no longer correct and, as a result, investors should not rely on the Prior Projections.</w:t>
      </w:r>
    </w:p>
    <w:p>
      <w:pPr>
        <w:spacing w:after="0" w:line="200" w:lineRule="exact"/>
        <w:rPr>
          <w:sz w:val="20"/>
          <w:szCs w:val="20"/>
          <w:color w:val="auto"/>
        </w:rPr>
      </w:pPr>
    </w:p>
    <w:p>
      <w:pPr>
        <w:jc w:val="both"/>
        <w:ind w:firstLine="298"/>
        <w:spacing w:after="0" w:line="267" w:lineRule="auto"/>
        <w:rPr>
          <w:sz w:val="20"/>
          <w:szCs w:val="20"/>
          <w:color w:val="auto"/>
        </w:rPr>
      </w:pPr>
      <w:r>
        <w:rPr>
          <w:rFonts w:ascii="Times New Roman" w:cs="Times New Roman" w:eastAsia="Times New Roman" w:hAnsi="Times New Roman"/>
          <w:sz w:val="16"/>
          <w:szCs w:val="16"/>
          <w:color w:val="auto"/>
        </w:rPr>
        <w:t>Notwithstanding these developments, we continue to expect that our currently available cash on hand, together with expected cash flows from operations, available credit under existing debt facilities, as well as other sources of capital we expect to be accessible, will be sufficient to meet our existing commitments and anticipated capital expenditures associated with our growth plan for a period of at least twelve months from the date of this report. If we were to experience any significant further reduction in levels of gas collection, delays in commencement or completion of construction of our projects, adverse regulatory or price changes that affect the value of our environmental credits, or unplanned outages at our production facilities, it would result in lower cash flows from operations which could impact our ability to make investments or require changes to our growth plan. See “Risk Factors” and “Cautionary Statement Regarding Forward-Looking Statements.”</w:t>
      </w:r>
    </w:p>
    <w:p>
      <w:pPr>
        <w:spacing w:after="0" w:line="102" w:lineRule="exact"/>
        <w:rPr>
          <w:sz w:val="20"/>
          <w:szCs w:val="20"/>
          <w:color w:val="auto"/>
        </w:rPr>
      </w:pPr>
    </w:p>
    <w:p>
      <w:pPr>
        <w:jc w:val="both"/>
        <w:ind w:left="140" w:firstLine="298"/>
        <w:spacing w:after="0" w:line="250" w:lineRule="auto"/>
        <w:rPr>
          <w:sz w:val="20"/>
          <w:szCs w:val="20"/>
          <w:color w:val="auto"/>
        </w:rPr>
      </w:pPr>
      <w:r>
        <w:rPr>
          <w:rFonts w:ascii="Times New Roman" w:cs="Times New Roman" w:eastAsia="Times New Roman" w:hAnsi="Times New Roman"/>
          <w:sz w:val="17"/>
          <w:szCs w:val="17"/>
          <w:color w:val="auto"/>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01"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As of September 30, 2022, we had total indebtedness excluding deferred financing costs of $220.0 million in principal amount which primarily consists of $77.7 million under Senior Secured Credit Facility, $28.0 million under the Convertible Note Payable, $91.2 million under the OPAL Term Loan, $0.1 million under the Municipality loan and $23.0 million under Sunoma Loan.</w:t>
      </w:r>
    </w:p>
    <w:p>
      <w:pPr>
        <w:spacing w:after="0" w:line="108"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98"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We intend to make payments under our various debt instruments when due and pursue opportunities for earlier repayment and/or refinancing if and when these opportunities arise.</w:t>
      </w:r>
    </w:p>
    <w:p>
      <w:pPr>
        <w:spacing w:after="0" w:line="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 xml:space="preserve">See Note 8. </w:t>
      </w:r>
      <w:r>
        <w:rPr>
          <w:rFonts w:ascii="Times New Roman" w:cs="Times New Roman" w:eastAsia="Times New Roman" w:hAnsi="Times New Roman"/>
          <w:sz w:val="17"/>
          <w:szCs w:val="17"/>
          <w:i w:val="1"/>
          <w:iCs w:val="1"/>
          <w:color w:val="auto"/>
        </w:rPr>
        <w:t>Borrowings,</w:t>
      </w:r>
      <w:r>
        <w:rPr>
          <w:rFonts w:ascii="Times New Roman" w:cs="Times New Roman" w:eastAsia="Times New Roman" w:hAnsi="Times New Roman"/>
          <w:sz w:val="17"/>
          <w:szCs w:val="17"/>
          <w:color w:val="auto"/>
        </w:rPr>
        <w:t xml:space="preserve"> to our condensed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81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The following table presents the Company's cash flows for the nine months ended September 30, 2022 and 2021:</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4"/>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w w:val="99"/>
              </w:rPr>
              <w:t>Three Months Ended September 30,</w:t>
            </w:r>
          </w:p>
        </w:tc>
        <w:tc>
          <w:tcPr>
            <w:tcW w:w="0" w:type="dxa"/>
            <w:vAlign w:val="bottom"/>
          </w:tcPr>
          <w:p>
            <w:pPr>
              <w:spacing w:after="0"/>
              <w:rPr>
                <w:sz w:val="1"/>
                <w:szCs w:val="1"/>
                <w:color w:val="auto"/>
              </w:rPr>
            </w:pPr>
          </w:p>
        </w:tc>
      </w:tr>
      <w:tr>
        <w:trPr>
          <w:trHeight w:val="25"/>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12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35"/>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from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center"/>
              <w:ind w:left="477"/>
              <w:spacing w:after="0"/>
              <w:rPr>
                <w:sz w:val="20"/>
                <w:szCs w:val="20"/>
                <w:color w:val="auto"/>
              </w:rPr>
            </w:pPr>
            <w:r>
              <w:rPr>
                <w:rFonts w:ascii="Times New Roman" w:cs="Times New Roman" w:eastAsia="Times New Roman" w:hAnsi="Times New Roman"/>
                <w:sz w:val="17"/>
                <w:szCs w:val="17"/>
                <w:color w:val="auto"/>
                <w:w w:val="98"/>
              </w:rPr>
              <w:t>28,897</w:t>
            </w:r>
          </w:p>
        </w:tc>
        <w:tc>
          <w:tcPr>
            <w:tcW w:w="0" w:type="dxa"/>
            <w:vAlign w:val="bottom"/>
          </w:tcPr>
          <w:p>
            <w:pPr>
              <w:spacing w:after="0"/>
              <w:rPr>
                <w:sz w:val="1"/>
                <w:szCs w:val="1"/>
                <w:color w:val="auto"/>
              </w:rPr>
            </w:pP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(218,930)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left="457"/>
              <w:spacing w:after="0"/>
              <w:rPr>
                <w:sz w:val="20"/>
                <w:szCs w:val="20"/>
                <w:color w:val="auto"/>
              </w:rPr>
            </w:pPr>
            <w:r>
              <w:rPr>
                <w:rFonts w:ascii="Times New Roman" w:cs="Times New Roman" w:eastAsia="Times New Roman" w:hAnsi="Times New Roman"/>
                <w:sz w:val="17"/>
                <w:szCs w:val="17"/>
                <w:color w:val="auto"/>
                <w:w w:val="96"/>
              </w:rPr>
              <w:t>(69,763)</w:t>
            </w:r>
          </w:p>
        </w:tc>
        <w:tc>
          <w:tcPr>
            <w:tcW w:w="0" w:type="dxa"/>
            <w:vAlign w:val="bottom"/>
          </w:tcPr>
          <w:p>
            <w:pPr>
              <w:spacing w:after="0"/>
              <w:rPr>
                <w:sz w:val="1"/>
                <w:szCs w:val="1"/>
                <w:color w:val="auto"/>
              </w:rPr>
            </w:pPr>
          </w:p>
        </w:tc>
      </w:tr>
      <w:tr>
        <w:trPr>
          <w:trHeight w:val="236"/>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from financing activities</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270,525</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center"/>
              <w:ind w:left="477"/>
              <w:spacing w:after="0"/>
              <w:rPr>
                <w:sz w:val="20"/>
                <w:szCs w:val="20"/>
                <w:color w:val="auto"/>
              </w:rPr>
            </w:pPr>
            <w:r>
              <w:rPr>
                <w:rFonts w:ascii="Times New Roman" w:cs="Times New Roman" w:eastAsia="Times New Roman" w:hAnsi="Times New Roman"/>
                <w:sz w:val="17"/>
                <w:szCs w:val="17"/>
                <w:color w:val="auto"/>
                <w:w w:val="98"/>
              </w:rPr>
              <w:t>52,729</w:t>
            </w:r>
          </w:p>
        </w:tc>
        <w:tc>
          <w:tcPr>
            <w:tcW w:w="0" w:type="dxa"/>
            <w:vAlign w:val="bottom"/>
          </w:tcPr>
          <w:p>
            <w:pPr>
              <w:spacing w:after="0"/>
              <w:rPr>
                <w:sz w:val="1"/>
                <w:szCs w:val="1"/>
                <w:color w:val="auto"/>
              </w:rPr>
            </w:pPr>
          </w:p>
        </w:tc>
      </w:tr>
      <w:tr>
        <w:trPr>
          <w:trHeight w:val="223"/>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increase in cash, restricted 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29,306</w:t>
            </w:r>
          </w:p>
        </w:tc>
        <w:tc>
          <w:tcPr>
            <w:tcW w:w="120" w:type="dxa"/>
            <w:vAlign w:val="bottom"/>
          </w:tcPr>
          <w:p>
            <w:pPr>
              <w:spacing w:after="0"/>
              <w:rPr>
                <w:sz w:val="19"/>
                <w:szCs w:val="19"/>
                <w:color w:val="auto"/>
              </w:rPr>
            </w:pP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center"/>
              <w:ind w:left="497"/>
              <w:spacing w:after="0"/>
              <w:rPr>
                <w:sz w:val="20"/>
                <w:szCs w:val="20"/>
                <w:color w:val="auto"/>
              </w:rPr>
            </w:pPr>
            <w:r>
              <w:rPr>
                <w:rFonts w:ascii="Times New Roman" w:cs="Times New Roman" w:eastAsia="Times New Roman" w:hAnsi="Times New Roman"/>
                <w:sz w:val="17"/>
                <w:szCs w:val="17"/>
                <w:color w:val="auto"/>
                <w:w w:val="94"/>
              </w:rPr>
              <w:t>11,863</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Provided by Operating Activities</w:t>
      </w:r>
    </w:p>
    <w:p>
      <w:pPr>
        <w:spacing w:after="0" w:line="142"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Net cash used in operating activities for the nine months ended September 30, 2022 was $22.3 million, a decrease of $51.2 million compared to net cash provided of $28.9 million for the nine months ended September 30, 2021. The decrease in cash provided by operating activities was primarily attributable to an increase in net operating losses year over year and negative working capital changes.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8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i w:val="1"/>
          <w:iCs w:val="1"/>
          <w:color w:val="auto"/>
        </w:rPr>
        <w:t>Net Cash Used in Investing Activities</w:t>
      </w:r>
    </w:p>
    <w:p>
      <w:pPr>
        <w:spacing w:after="0" w:line="142" w:lineRule="exact"/>
        <w:rPr>
          <w:sz w:val="20"/>
          <w:szCs w:val="20"/>
          <w:color w:val="auto"/>
        </w:rPr>
      </w:pPr>
    </w:p>
    <w:p>
      <w:pPr>
        <w:jc w:val="both"/>
        <w:ind w:firstLine="298"/>
        <w:spacing w:after="0" w:line="252" w:lineRule="auto"/>
        <w:rPr>
          <w:sz w:val="20"/>
          <w:szCs w:val="20"/>
          <w:color w:val="auto"/>
        </w:rPr>
      </w:pPr>
      <w:r>
        <w:rPr>
          <w:rFonts w:ascii="Times New Roman" w:cs="Times New Roman" w:eastAsia="Times New Roman" w:hAnsi="Times New Roman"/>
          <w:sz w:val="17"/>
          <w:szCs w:val="17"/>
          <w:color w:val="auto"/>
        </w:rPr>
        <w:t>Net cash used in investing activities for the nine months ended September 30, 2022 was $218.9 million, an increase of $149.2 million thousand compared to the $69.8 million used in investing activities for the six months ended September 30, 2021. This was primarily driven by cash invested in short term investments of $146.9 million (cash received from Business Combination) , payments made for the construction of various RNG generation and dispensing facilities of $84.9 million offset by proceeds from repayment of Note receivable of $10.9 million and distribution from equity method investment of $2.1 million.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Provided by Financing Activities</w:t>
      </w:r>
    </w:p>
    <w:p>
      <w:pPr>
        <w:spacing w:after="0" w:line="142" w:lineRule="exact"/>
        <w:rPr>
          <w:sz w:val="20"/>
          <w:szCs w:val="20"/>
          <w:color w:val="auto"/>
        </w:rPr>
      </w:pPr>
    </w:p>
    <w:p>
      <w:pPr>
        <w:jc w:val="both"/>
        <w:ind w:firstLine="298"/>
        <w:spacing w:after="0" w:line="250" w:lineRule="auto"/>
        <w:rPr>
          <w:sz w:val="20"/>
          <w:szCs w:val="20"/>
          <w:color w:val="auto"/>
        </w:rPr>
      </w:pPr>
      <w:r>
        <w:rPr>
          <w:rFonts w:ascii="Times New Roman" w:cs="Times New Roman" w:eastAsia="Times New Roman" w:hAnsi="Times New Roman"/>
          <w:sz w:val="17"/>
          <w:szCs w:val="17"/>
          <w:color w:val="auto"/>
        </w:rPr>
        <w:t>Net cash provided from financing activities for the nine months ended September 30, 2022 was $270.5 million, an increase of $217.8 million compared to the $52.7 million provided from financing activities for the nine months ended September 30, 2021. This was primarily driven by proceeds received from consummation of Business Combination of $138.9 million, issuance of redeemable preferred non-controlling interests for total proceeds of $100.0 million, proceeds from OPAL Term Loan of $27.5 million, proceeds from Sunoma Loan$4.6 million, capital contribution from a joint venture $23.2 million offset by debt repayments of $3.7 million and $11.3 million on the Senior Secured Credit Facility and the OPAL Term Loan, respectively, and $8.5 million paid as financing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 and other cash commitments</w:t>
      </w:r>
    </w:p>
    <w:p>
      <w:pPr>
        <w:spacing w:after="0" w:line="144" w:lineRule="exact"/>
        <w:rPr>
          <w:sz w:val="20"/>
          <w:szCs w:val="20"/>
          <w:color w:val="auto"/>
        </w:rPr>
      </w:pPr>
    </w:p>
    <w:p>
      <w:pPr>
        <w:jc w:val="both"/>
        <w:ind w:firstLine="298"/>
        <w:spacing w:after="0" w:line="249" w:lineRule="auto"/>
        <w:rPr>
          <w:sz w:val="20"/>
          <w:szCs w:val="20"/>
          <w:color w:val="auto"/>
        </w:rPr>
      </w:pPr>
      <w:r>
        <w:rPr>
          <w:rFonts w:ascii="Times New Roman" w:cs="Times New Roman" w:eastAsia="Times New Roman" w:hAnsi="Times New Roman"/>
          <w:sz w:val="17"/>
          <w:szCs w:val="17"/>
          <w:color w:val="auto"/>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spacing w:after="0" w:line="101" w:lineRule="exact"/>
        <w:rPr>
          <w:sz w:val="20"/>
          <w:szCs w:val="20"/>
          <w:color w:val="auto"/>
        </w:rPr>
      </w:pPr>
    </w:p>
    <w:p>
      <w:pPr>
        <w:jc w:val="both"/>
        <w:ind w:firstLine="298"/>
        <w:spacing w:after="0" w:line="256" w:lineRule="auto"/>
        <w:rPr>
          <w:sz w:val="20"/>
          <w:szCs w:val="20"/>
          <w:color w:val="auto"/>
        </w:rPr>
      </w:pPr>
      <w:r>
        <w:rPr>
          <w:rFonts w:ascii="Times New Roman" w:cs="Times New Roman" w:eastAsia="Times New Roman" w:hAnsi="Times New Roman"/>
          <w:sz w:val="17"/>
          <w:szCs w:val="17"/>
          <w:color w:val="auto"/>
        </w:rPr>
        <w:t>As of September 30, 2022, we have budgeted for $412,342 thousand in capital expenditures for the next 12 months, of which $220,184 thousand is committed under existing contracts. These expenditures do not include any expected contributions from our joint venture and non-controlling interest partners and primarily relate to our development of new RNG facilities and the purchase of equipment used in our Fueling Station services and Renewable Power operations</w:t>
      </w:r>
      <w:r>
        <w:rPr>
          <w:rFonts w:ascii="Times New Roman" w:cs="Times New Roman" w:eastAsia="Times New Roman" w:hAnsi="Times New Roman"/>
          <w:sz w:val="17"/>
          <w:szCs w:val="17"/>
          <w:b w:val="1"/>
          <w:bCs w:val="1"/>
          <w:color w:val="auto"/>
        </w:rPr>
        <w:t>.</w:t>
      </w:r>
    </w:p>
    <w:p>
      <w:pPr>
        <w:spacing w:after="0" w:line="108" w:lineRule="exact"/>
        <w:rPr>
          <w:sz w:val="20"/>
          <w:szCs w:val="20"/>
          <w:color w:val="auto"/>
        </w:rPr>
      </w:pPr>
    </w:p>
    <w:p>
      <w:pPr>
        <w:jc w:val="both"/>
        <w:ind w:firstLine="298"/>
        <w:spacing w:after="0" w:line="268" w:lineRule="auto"/>
        <w:rPr>
          <w:sz w:val="20"/>
          <w:szCs w:val="20"/>
          <w:color w:val="auto"/>
        </w:rPr>
      </w:pPr>
      <w:r>
        <w:rPr>
          <w:rFonts w:ascii="Times New Roman" w:cs="Times New Roman" w:eastAsia="Times New Roman" w:hAnsi="Times New Roman"/>
          <w:sz w:val="17"/>
          <w:szCs w:val="17"/>
          <w:color w:val="auto"/>
        </w:rPr>
        <w:t xml:space="preserve">In addition to the above, we also have lease commitments on our vehicle fleets and office leases and quarterly amortization payment obligations under various debt facilities. Please see Note 8. </w:t>
      </w:r>
      <w:r>
        <w:rPr>
          <w:rFonts w:ascii="Times New Roman" w:cs="Times New Roman" w:eastAsia="Times New Roman" w:hAnsi="Times New Roman"/>
          <w:sz w:val="17"/>
          <w:szCs w:val="17"/>
          <w:i w:val="1"/>
          <w:iCs w:val="1"/>
          <w:color w:val="auto"/>
        </w:rPr>
        <w:t>Borrowings</w:t>
      </w:r>
      <w:r>
        <w:rPr>
          <w:rFonts w:ascii="Times New Roman" w:cs="Times New Roman" w:eastAsia="Times New Roman" w:hAnsi="Times New Roman"/>
          <w:sz w:val="17"/>
          <w:szCs w:val="17"/>
          <w:color w:val="auto"/>
        </w:rPr>
        <w:t xml:space="preserve"> and Note 9.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to our condensed consolidated financial statements for additional information.</w:t>
      </w:r>
    </w:p>
    <w:p>
      <w:pPr>
        <w:spacing w:after="0" w:line="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plan to fund these expenditures primarily through cash on hand, cash generated from operations, and cash from the Business Combination and PIPE Investment.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not required to provide the information required by this Item as it is a “smaller reporting company.”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31" w:lineRule="exact"/>
        <w:rPr>
          <w:sz w:val="20"/>
          <w:szCs w:val="20"/>
          <w:color w:val="auto"/>
        </w:rPr>
      </w:pPr>
    </w:p>
    <w:p>
      <w:pPr>
        <w:jc w:val="both"/>
        <w:ind w:firstLine="597"/>
        <w:spacing w:after="0" w:line="236" w:lineRule="auto"/>
        <w:rPr>
          <w:sz w:val="20"/>
          <w:szCs w:val="20"/>
          <w:color w:val="auto"/>
        </w:rPr>
      </w:pPr>
      <w:r>
        <w:rPr>
          <w:rFonts w:ascii="Times New Roman" w:cs="Times New Roman" w:eastAsia="Times New Roman" w:hAnsi="Times New Roman"/>
          <w:sz w:val="17"/>
          <w:szCs w:val="17"/>
          <w:color w:val="auto"/>
        </w:rPr>
        <w:t>Our management, with the participation of our Co-Chief Executive Officers and our Chief Financial Officer (our co- principal executive officers and principal financial officer, respectively), evaluated, as of the end of the period covered by this Quarterly Report on Form 10-Q, the effectiveness of our disclosure controls and procedures as defined in Rules 13a-15(e) and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066" w:right="339" w:bottom="1440" w:gutter="0" w:footer="0" w:header="0"/>
        </w:sectPr>
      </w:pPr>
    </w:p>
    <w:bookmarkStart w:id="68" w:name="page69"/>
    <w:bookmarkEnd w:id="68"/>
    <w:p>
      <w:pPr>
        <w:ind w:left="1"/>
        <w:spacing w:after="0"/>
        <w:rPr>
          <w:sz w:val="20"/>
          <w:szCs w:val="20"/>
          <w:color w:val="auto"/>
        </w:rPr>
      </w:pPr>
      <w:r>
        <w:rPr>
          <w:rFonts w:ascii="Times New Roman" w:cs="Times New Roman" w:eastAsia="Times New Roman" w:hAnsi="Times New Roman"/>
          <w:sz w:val="16"/>
          <w:szCs w:val="16"/>
          <w:color w:val="auto"/>
        </w:rPr>
        <w:t>assurance of achieving their objectives, and management necessarily applies its judgment in evaluating the cost-benefit relationship of possible controls and procedures.</w:t>
      </w:r>
    </w:p>
    <w:p>
      <w:pPr>
        <w:spacing w:after="0" w:line="226" w:lineRule="exact"/>
        <w:rPr>
          <w:sz w:val="20"/>
          <w:szCs w:val="20"/>
          <w:color w:val="auto"/>
        </w:rPr>
      </w:pPr>
    </w:p>
    <w:p>
      <w:pPr>
        <w:jc w:val="both"/>
        <w:ind w:left="1" w:firstLine="597"/>
        <w:spacing w:after="0" w:line="248" w:lineRule="auto"/>
        <w:rPr>
          <w:sz w:val="20"/>
          <w:szCs w:val="20"/>
          <w:color w:val="auto"/>
        </w:rPr>
      </w:pPr>
      <w:r>
        <w:rPr>
          <w:rFonts w:ascii="Times New Roman" w:cs="Times New Roman" w:eastAsia="Times New Roman" w:hAnsi="Times New Roman"/>
          <w:sz w:val="17"/>
          <w:szCs w:val="17"/>
          <w:color w:val="auto"/>
        </w:rPr>
        <w:t>Based on that evaluation of our disclosure controls and procedures as of September 30, 2022, our Co-Chief Executive Officers and Chief Financial Officer concluded that, as of such date, our disclosure controls and procedures were ineffective for the period covered by this report based on the material weakness in our internal control over financial reporting described below.</w:t>
      </w:r>
    </w:p>
    <w:p>
      <w:pPr>
        <w:spacing w:after="0" w:line="18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i w:val="1"/>
          <w:iCs w:val="1"/>
          <w:color w:val="auto"/>
        </w:rPr>
        <w:t>Previously Reported Material Weakness</w:t>
      </w:r>
    </w:p>
    <w:p>
      <w:pPr>
        <w:spacing w:after="0" w:line="229" w:lineRule="exact"/>
        <w:rPr>
          <w:sz w:val="20"/>
          <w:szCs w:val="20"/>
          <w:color w:val="auto"/>
        </w:rPr>
      </w:pPr>
    </w:p>
    <w:p>
      <w:pPr>
        <w:jc w:val="both"/>
        <w:ind w:left="1" w:firstLine="597"/>
        <w:spacing w:after="0" w:line="242" w:lineRule="auto"/>
        <w:rPr>
          <w:sz w:val="20"/>
          <w:szCs w:val="20"/>
          <w:color w:val="auto"/>
        </w:rPr>
      </w:pPr>
      <w:r>
        <w:rPr>
          <w:rFonts w:ascii="Times New Roman" w:cs="Times New Roman" w:eastAsia="Times New Roman" w:hAnsi="Times New Roman"/>
          <w:sz w:val="17"/>
          <w:szCs w:val="17"/>
          <w:color w:val="auto"/>
        </w:rPr>
        <w:t>In connection with the preparation and audit of our consolidated financial statements for each of the years ended December 31, 2021, 2020 and 2019, material weaknesses were identified in our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spacing w:after="0" w:line="19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The material weaknesses identified were as follows:</w:t>
      </w:r>
    </w:p>
    <w:p>
      <w:pPr>
        <w:spacing w:after="0" w:line="215" w:lineRule="exact"/>
        <w:rPr>
          <w:sz w:val="20"/>
          <w:szCs w:val="20"/>
          <w:color w:val="auto"/>
        </w:rPr>
      </w:pPr>
    </w:p>
    <w:p>
      <w:pPr>
        <w:ind w:left="1" w:hanging="1"/>
        <w:spacing w:after="0" w:line="268" w:lineRule="auto"/>
        <w:tabs>
          <w:tab w:leader="none" w:pos="341"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 lack of an adequate control environment, including internal communications, to allow for timeliness of reviews for the accounting and disclosures of significant and unusual transactions and contracts;</w:t>
      </w:r>
    </w:p>
    <w:p>
      <w:pPr>
        <w:spacing w:after="0" w:line="172" w:lineRule="exact"/>
        <w:rPr>
          <w:rFonts w:ascii="Times New Roman" w:cs="Times New Roman" w:eastAsia="Times New Roman" w:hAnsi="Times New Roman"/>
          <w:sz w:val="17"/>
          <w:szCs w:val="17"/>
          <w:color w:val="auto"/>
        </w:rPr>
      </w:pPr>
    </w:p>
    <w:p>
      <w:pPr>
        <w:jc w:val="both"/>
        <w:ind w:left="1" w:hanging="1"/>
        <w:spacing w:after="0" w:line="271" w:lineRule="auto"/>
        <w:tabs>
          <w:tab w:leader="none" w:pos="31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 lack of appropriate segregation of duties and appropriate access controls as certain employees have the ability to prepare and post journal entries while other employees have inappropriate access to certain financial systems. For various transactions and account reconciliations, the same person was the originator and preparer of financial information without further review by an independent person with sufficient accounting and/or financial reporting competence and authority;</w:t>
      </w:r>
    </w:p>
    <w:p>
      <w:pPr>
        <w:spacing w:after="0" w:line="172" w:lineRule="exact"/>
        <w:rPr>
          <w:rFonts w:ascii="Times New Roman" w:cs="Times New Roman" w:eastAsia="Times New Roman" w:hAnsi="Times New Roman"/>
          <w:sz w:val="16"/>
          <w:szCs w:val="16"/>
          <w:color w:val="auto"/>
        </w:rPr>
      </w:pPr>
    </w:p>
    <w:p>
      <w:pPr>
        <w:ind w:left="1" w:hanging="1"/>
        <w:spacing w:after="0" w:line="246" w:lineRule="auto"/>
        <w:tabs>
          <w:tab w:leader="none" w:pos="291"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have timely and effective reviews over standard account reconciliations and related accounting analysis which resulted in various audit adjustments that we corrected; and</w:t>
      </w:r>
    </w:p>
    <w:p>
      <w:pPr>
        <w:spacing w:after="0" w:line="1" w:lineRule="exact"/>
        <w:rPr>
          <w:rFonts w:ascii="Times New Roman" w:cs="Times New Roman" w:eastAsia="Times New Roman" w:hAnsi="Times New Roman"/>
          <w:sz w:val="17"/>
          <w:szCs w:val="17"/>
          <w:color w:val="auto"/>
        </w:rPr>
      </w:pPr>
    </w:p>
    <w:p>
      <w:pPr>
        <w:ind w:left="261" w:hanging="261"/>
        <w:spacing w:after="0" w:line="230" w:lineRule="auto"/>
        <w:tabs>
          <w:tab w:leader="none" w:pos="261"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controls over application of ASC-606 were not designed and implemented appropriately during the current year.</w:t>
      </w:r>
    </w:p>
    <w:p>
      <w:pPr>
        <w:jc w:val="both"/>
        <w:ind w:left="1" w:firstLine="597"/>
        <w:spacing w:after="0" w:line="238" w:lineRule="auto"/>
        <w:rPr>
          <w:sz w:val="20"/>
          <w:szCs w:val="20"/>
          <w:color w:val="auto"/>
        </w:rPr>
      </w:pPr>
      <w:r>
        <w:rPr>
          <w:rFonts w:ascii="Times New Roman" w:cs="Times New Roman" w:eastAsia="Times New Roman" w:hAnsi="Times New Roman"/>
          <w:sz w:val="17"/>
          <w:szCs w:val="17"/>
          <w:color w:val="auto"/>
        </w:rPr>
        <w:t>We performed additional analysis and procedures with respect to accounts impacted by the material weakness in order to conclude that our consolidated financial statements in this report, and for the three and nine months ended September 30, 2022 and 2021, are fairly presented, in all material respects, in accordance with GAAP.</w:t>
      </w:r>
    </w:p>
    <w:p>
      <w:pPr>
        <w:spacing w:after="0" w:line="19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Under “Changes to Internal Controls” below, we describe our remediation plan to address the identified material weakness.</w:t>
      </w:r>
    </w:p>
    <w:p>
      <w:pPr>
        <w:spacing w:after="0" w:line="2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i w:val="1"/>
          <w:iCs w:val="1"/>
          <w:color w:val="auto"/>
        </w:rPr>
        <w:t>Management's Quarterly Report on Internal Control over Financial Reporting</w:t>
      </w:r>
    </w:p>
    <w:p>
      <w:pPr>
        <w:spacing w:after="0" w:line="229" w:lineRule="exact"/>
        <w:rPr>
          <w:sz w:val="20"/>
          <w:szCs w:val="20"/>
          <w:color w:val="auto"/>
        </w:rPr>
      </w:pPr>
    </w:p>
    <w:p>
      <w:pPr>
        <w:jc w:val="both"/>
        <w:ind w:left="1" w:firstLine="597"/>
        <w:spacing w:after="0" w:line="241" w:lineRule="auto"/>
        <w:rPr>
          <w:sz w:val="20"/>
          <w:szCs w:val="20"/>
          <w:color w:val="auto"/>
        </w:rPr>
      </w:pPr>
      <w:r>
        <w:rPr>
          <w:rFonts w:ascii="Times New Roman" w:cs="Times New Roman" w:eastAsia="Times New Roman" w:hAnsi="Times New Roman"/>
          <w:sz w:val="17"/>
          <w:szCs w:val="17"/>
          <w:color w:val="auto"/>
        </w:rPr>
        <w:t>This Quarterly Report on Form 10-Q does not include a report of management's assessment regarding internal control over financial reporting (as defined in Rules 13a-15(f) and 15d-15(f) under the Exchange Act) or an attestation report of our independent registered public accounting firm due to a transition period established by rules of the SEC for newly public companies.</w:t>
      </w:r>
    </w:p>
    <w:p>
      <w:pPr>
        <w:spacing w:after="0" w:line="20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217" w:lineRule="exact"/>
        <w:rPr>
          <w:sz w:val="20"/>
          <w:szCs w:val="20"/>
          <w:color w:val="auto"/>
        </w:rPr>
      </w:pPr>
    </w:p>
    <w:p>
      <w:pPr>
        <w:jc w:val="both"/>
        <w:ind w:left="1" w:firstLine="597"/>
        <w:spacing w:after="0" w:line="242" w:lineRule="auto"/>
        <w:rPr>
          <w:sz w:val="20"/>
          <w:szCs w:val="20"/>
          <w:color w:val="auto"/>
        </w:rPr>
      </w:pPr>
      <w:r>
        <w:rPr>
          <w:rFonts w:ascii="Times New Roman" w:cs="Times New Roman" w:eastAsia="Times New Roman" w:hAnsi="Times New Roman"/>
          <w:sz w:val="17"/>
          <w:szCs w:val="17"/>
          <w:color w:val="auto"/>
        </w:rPr>
        <w:t>The design and implementation of internal controls over financial reporting for the Company’s post-Business Combinations has required and will continue to require significant time and resources from management and other personnel. The changes to our internal control over financial reporting commenced during the period covered by this report and after will materially affect, or are reasonably likely to materially affect, our internal control over financial reporting by establishing new controls and procedures appropriate to the operating business we have become as a result of the Business Combinations.</w:t>
      </w:r>
    </w:p>
    <w:p>
      <w:pPr>
        <w:spacing w:after="0" w:line="19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i w:val="1"/>
          <w:iCs w:val="1"/>
          <w:color w:val="auto"/>
        </w:rPr>
        <w:t>Remediation Plans</w:t>
      </w:r>
    </w:p>
    <w:p>
      <w:pPr>
        <w:spacing w:after="0" w:line="229" w:lineRule="exact"/>
        <w:rPr>
          <w:sz w:val="20"/>
          <w:szCs w:val="20"/>
          <w:color w:val="auto"/>
        </w:rPr>
      </w:pPr>
    </w:p>
    <w:p>
      <w:pPr>
        <w:jc w:val="both"/>
        <w:ind w:left="1" w:firstLine="597"/>
        <w:spacing w:after="0" w:line="241" w:lineRule="auto"/>
        <w:rPr>
          <w:sz w:val="20"/>
          <w:szCs w:val="20"/>
          <w:color w:val="auto"/>
        </w:rPr>
      </w:pPr>
      <w:r>
        <w:rPr>
          <w:rFonts w:ascii="Times New Roman" w:cs="Times New Roman" w:eastAsia="Times New Roman" w:hAnsi="Times New Roman"/>
          <w:sz w:val="17"/>
          <w:szCs w:val="17"/>
          <w:color w:val="auto"/>
        </w:rPr>
        <w:t>We have developed and begun executing on a plan to remediate these material weaknesses, including the hiring of a Chief Financial Officer and a Chief Accounting Officer in 2021. We hired additional accounting and financial reporting personnel with appropriate technical accounting knowledge and public company experience in financial reporting; we continue to implement formal processes, policies and procedures supporting our financial close process, including creating</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1"/>
          </w:cols>
          <w:pgMar w:left="319" w:top="869" w:right="339" w:bottom="1440" w:gutter="0" w:footer="0" w:header="0"/>
        </w:sectPr>
      </w:pPr>
    </w:p>
    <w:bookmarkStart w:id="69" w:name="page70"/>
    <w:bookmarkEnd w:id="69"/>
    <w:p>
      <w:pPr>
        <w:jc w:val="both"/>
        <w:spacing w:after="0" w:line="253" w:lineRule="auto"/>
        <w:rPr>
          <w:sz w:val="20"/>
          <w:szCs w:val="20"/>
          <w:color w:val="auto"/>
        </w:rPr>
      </w:pPr>
      <w:r>
        <w:rPr>
          <w:rFonts w:ascii="Times New Roman" w:cs="Times New Roman" w:eastAsia="Times New Roman" w:hAnsi="Times New Roman"/>
          <w:sz w:val="17"/>
          <w:szCs w:val="17"/>
          <w:color w:val="auto"/>
        </w:rPr>
        <w:t>standard balance sheet reconciliation templates and journal entry controls; and designing and implementing controls to formalize roles and review responsibilities to align with our team’s skills and experience. We have implemented formal controls over segregation of duties.</w:t>
      </w:r>
    </w:p>
    <w:p>
      <w:pPr>
        <w:spacing w:after="0" w:line="197" w:lineRule="exact"/>
        <w:rPr>
          <w:sz w:val="20"/>
          <w:szCs w:val="20"/>
          <w:color w:val="auto"/>
        </w:rPr>
      </w:pPr>
    </w:p>
    <w:p>
      <w:pPr>
        <w:jc w:val="both"/>
        <w:ind w:firstLine="226"/>
        <w:spacing w:after="0" w:line="237" w:lineRule="auto"/>
        <w:rPr>
          <w:sz w:val="20"/>
          <w:szCs w:val="20"/>
          <w:color w:val="auto"/>
        </w:rPr>
      </w:pPr>
      <w:r>
        <w:rPr>
          <w:rFonts w:ascii="Times New Roman" w:cs="Times New Roman" w:eastAsia="Times New Roman" w:hAnsi="Times New Roman"/>
          <w:sz w:val="17"/>
          <w:szCs w:val="17"/>
          <w:color w:val="auto"/>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86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From time to time, we are involved in various legal proceedings, lawsuits and claims incidental to the conduct of our business, some of which may be material. Our businesses are also subject to extensive regulation, which may result in regulatory proceedings against 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Ohio Edison Arbitration Demand</w:t>
      </w:r>
    </w:p>
    <w:p>
      <w:pPr>
        <w:spacing w:after="0" w:line="217" w:lineRule="exact"/>
        <w:rPr>
          <w:sz w:val="20"/>
          <w:szCs w:val="20"/>
          <w:color w:val="auto"/>
        </w:rPr>
      </w:pPr>
    </w:p>
    <w:p>
      <w:pPr>
        <w:jc w:val="both"/>
        <w:ind w:firstLine="169"/>
        <w:spacing w:after="0" w:line="248" w:lineRule="auto"/>
        <w:rPr>
          <w:sz w:val="20"/>
          <w:szCs w:val="20"/>
          <w:color w:val="auto"/>
        </w:rPr>
      </w:pPr>
      <w:r>
        <w:rPr>
          <w:rFonts w:ascii="Times New Roman" w:cs="Times New Roman" w:eastAsia="Times New Roman" w:hAnsi="Times New Roman"/>
          <w:sz w:val="17"/>
          <w:szCs w:val="17"/>
          <w:color w:val="auto"/>
        </w:rPr>
        <w:t>Noble Road RNG LLC (“Noble Road”), a subsidiary of Opal Fuels, and Ohio Edison Company (“Ohio Edison”) entered into several contracts pursuant to which Ohio Edison agreed to, among other things furnish to Noble Road alternating current, sixty cycle, three phase electrical energy at approximately 12,500 volts, up to approximately 2,100 kW of capacity, and agreed to construct upgrades to Ohio Edison’s facilities to serve the required load to Noble Road’s RNG facility.</w:t>
      </w:r>
    </w:p>
    <w:p>
      <w:pPr>
        <w:spacing w:after="0" w:line="190" w:lineRule="exact"/>
        <w:rPr>
          <w:sz w:val="20"/>
          <w:szCs w:val="20"/>
          <w:color w:val="auto"/>
        </w:rPr>
      </w:pPr>
    </w:p>
    <w:p>
      <w:pPr>
        <w:jc w:val="both"/>
        <w:ind w:firstLine="597"/>
        <w:spacing w:after="0" w:line="239" w:lineRule="auto"/>
        <w:rPr>
          <w:sz w:val="20"/>
          <w:szCs w:val="20"/>
          <w:color w:val="auto"/>
        </w:rPr>
      </w:pPr>
      <w:r>
        <w:rPr>
          <w:rFonts w:ascii="Times New Roman" w:cs="Times New Roman" w:eastAsia="Times New Roman" w:hAnsi="Times New Roman"/>
          <w:sz w:val="17"/>
          <w:szCs w:val="17"/>
          <w:color w:val="auto"/>
        </w:rPr>
        <w:t>Noble Road sent Ohio Edison an arbitration demand on January 24, 2022 alleging that, as a result of Ohio Edison’s failure to perform under the contracts, Noble Road was substantially delayed in completing its commission activities at its RNG facility and, although it has been able to maintain operations through use of generators, is unable to operate the equipment at its RNG facility at expected capacity. In addition, Noble Road asserts that Ohio Edison’s breach of the contracts has caused and continues to cause substantial damage. In its demand, Noble Road has stated that it is willing to defer arbitration in order to allow the parties to focus on reaching a consensual resolution and has proposed that the parties agree to hold the arbitration in abeyance while current efforts to resolve the problems are ongoing. Noble Road and Ohio Edison have entered into a tolling agreement with respect to this matter which is in effect until November 1, 2022.</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Risks Related to Our Third Party Relationships and Government Regulation of Our Business</w:t>
      </w:r>
    </w:p>
    <w:p>
      <w:pPr>
        <w:spacing w:after="0" w:line="21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96" w:lineRule="exact"/>
        <w:rPr>
          <w:sz w:val="20"/>
          <w:szCs w:val="20"/>
          <w:color w:val="auto"/>
        </w:rPr>
      </w:pPr>
    </w:p>
    <w:p>
      <w:pPr>
        <w:jc w:val="both"/>
        <w:ind w:firstLine="398"/>
        <w:spacing w:after="0" w:line="230" w:lineRule="auto"/>
        <w:rPr>
          <w:sz w:val="20"/>
          <w:szCs w:val="20"/>
          <w:color w:val="auto"/>
        </w:rPr>
      </w:pPr>
      <w:r>
        <w:rPr>
          <w:rFonts w:ascii="Times New Roman" w:cs="Times New Roman" w:eastAsia="Times New Roman" w:hAnsi="Times New Roman"/>
          <w:sz w:val="17"/>
          <w:szCs w:val="17"/>
          <w:color w:val="auto"/>
        </w:rPr>
        <w:t>We do not own any of the landfill or livestock waste sites, which we sometimes refer to in this report as “biogas project sites,” from which our Biogas Conversion Projects collect biogas or on which we operate and manage our Biogas Conversion Projects, and therefore we depend on contractual relationships with, and the cooperation of, the biogas conversion project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certain of our Biogas Conversion Projects facilities, which may have an adverse impact on our business, financial condition and results of operations. We obtain biogas rights to utilize the biogas and the biogas project sites on which our projects operate under contractual arrangements, with the associated biogas rights generally being for fixed terms of 20 years (or more) and certain additional renewal options. The gas rights associated with our 30 projects in operation or under construction, 3 of which include Renewable Power projects that are in construction to be converted to RNG, are due to expire at varying points over the next 25 years. See “Business — Our Projects.” In addition, the biogas rights are typically specific to the right to produce electricity generated from Renewable Power or RNG; and accordingly,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the additional rights necessary in connection with conversion from production of Renewable Power to RNG on specific projects, we cannot guarantee that this success will continue in the future on commercial terms that are attractive to us or at all, and any failure to do so, or any other disruption in the relationship with any of the biogas conversion project site owners and operators from whose biogas project sites our Biogas Conversion Projects obtain biogas or for whom we operate biogas facilities, may have a material adverse effect on our business operations, financial condition and operational results.</w:t>
      </w:r>
    </w:p>
    <w:p>
      <w:pPr>
        <w:spacing w:after="0" w:line="198"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7"/>
          <w:szCs w:val="17"/>
          <w:color w:val="auto"/>
        </w:rPr>
        <w:t>In addition, the ownership interests in the land subject to these licenses, easements, leases and rights-of-way may be subject to mortgages securing loans or other liens (such as tax liens) and other easements, lease rights and rights-of-way of</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869" w:right="339" w:bottom="1440" w:gutter="0" w:footer="0" w:header="0"/>
        </w:sectPr>
      </w:pPr>
    </w:p>
    <w:bookmarkStart w:id="71" w:name="page72"/>
    <w:bookmarkEnd w:id="71"/>
    <w:p>
      <w:pPr>
        <w:jc w:val="both"/>
        <w:spacing w:after="0" w:line="237" w:lineRule="auto"/>
        <w:rPr>
          <w:sz w:val="20"/>
          <w:szCs w:val="20"/>
          <w:color w:val="auto"/>
        </w:rPr>
      </w:pPr>
      <w:r>
        <w:rPr>
          <w:rFonts w:ascii="Times New Roman" w:cs="Times New Roman" w:eastAsia="Times New Roman" w:hAnsi="Times New Roman"/>
          <w:sz w:val="17"/>
          <w:szCs w:val="17"/>
          <w:color w:val="auto"/>
        </w:rPr>
        <w:t>third parties (such as leases of mineral rights). As a result, certain of our Biogas Conversion Projects’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owners and operators of biogas project sites generally make no warranties to us as to the quality or quantity of gas produced.</w:t>
      </w:r>
    </w:p>
    <w:p>
      <w:pPr>
        <w:spacing w:after="0" w:line="219" w:lineRule="exact"/>
        <w:rPr>
          <w:sz w:val="20"/>
          <w:szCs w:val="20"/>
          <w:color w:val="auto"/>
        </w:rPr>
      </w:pPr>
    </w:p>
    <w:p>
      <w:pPr>
        <w:jc w:val="both"/>
        <w:ind w:firstLine="398"/>
        <w:spacing w:after="0" w:line="231" w:lineRule="auto"/>
        <w:rPr>
          <w:sz w:val="20"/>
          <w:szCs w:val="20"/>
          <w:color w:val="auto"/>
        </w:rPr>
      </w:pPr>
      <w:r>
        <w:rPr>
          <w:rFonts w:ascii="Times New Roman" w:cs="Times New Roman" w:eastAsia="Times New Roman" w:hAnsi="Times New Roman"/>
          <w:sz w:val="17"/>
          <w:szCs w:val="17"/>
          <w:color w:val="auto"/>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such as, among other things: (i) their ability to perform in accordance with their commitments to third parties (other than us) under agreements and permits; (ii) transportation of source materials, (iii) herd health and labor issues at the dairy farms generating the manure to be processed at our digester facilities; (iv) gas collection issues at landfill projects such as broken pipes, ground water accumulation, inadequate land cover and labor issues, and (v) the particular character and mix of trash received, at the biogas conversion project site facilities. We cannot guarantee that our production will be free from operational risks, nor can we guarantee the production of a sufficient quantity and quality of biogas from the owners and operators of biogas conversion project sites. However, our facilities are engineered and designed to process varying levels of biogas quantities and varying levels of potential biogas impurities.</w:t>
      </w:r>
    </w:p>
    <w:p>
      <w:pPr>
        <w:spacing w:after="0" w:line="1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We from time to time face disputes or disagreements with owners and operators of biogas project sites which could materially impact our ability to continue to develop and/or operate an existing Biogas Conversion Project on its current basis, or at all, and could materially delay or eliminate our ability to identify and successfully secure the rights to construct and operate other future Biogas Conversion Projects.</w:t>
      </w:r>
    </w:p>
    <w:p>
      <w:pPr>
        <w:spacing w:after="0" w:line="193" w:lineRule="exact"/>
        <w:rPr>
          <w:sz w:val="20"/>
          <w:szCs w:val="20"/>
          <w:color w:val="auto"/>
        </w:rPr>
      </w:pPr>
    </w:p>
    <w:p>
      <w:pPr>
        <w:jc w:val="both"/>
        <w:ind w:firstLine="398"/>
        <w:spacing w:after="0" w:line="239" w:lineRule="auto"/>
        <w:rPr>
          <w:sz w:val="20"/>
          <w:szCs w:val="20"/>
          <w:color w:val="auto"/>
        </w:rPr>
      </w:pPr>
      <w:r>
        <w:rPr>
          <w:rFonts w:ascii="Times New Roman" w:cs="Times New Roman" w:eastAsia="Times New Roman" w:hAnsi="Times New Roman"/>
          <w:sz w:val="17"/>
          <w:szCs w:val="17"/>
          <w:color w:val="auto"/>
        </w:rPr>
        <w:t>The success of our business depends, in part, on maintaining good relationships with biogas conversion project site owners and operators. As a result, our business may be adversely affected if we are unable to maintain these relationships.</w:t>
      </w:r>
    </w:p>
    <w:p>
      <w:pPr>
        <w:spacing w:after="0" w:line="2" w:lineRule="exact"/>
        <w:rPr>
          <w:sz w:val="20"/>
          <w:szCs w:val="20"/>
          <w:color w:val="auto"/>
        </w:rPr>
      </w:pPr>
    </w:p>
    <w:p>
      <w:pPr>
        <w:jc w:val="both"/>
        <w:ind w:firstLine="398"/>
        <w:spacing w:after="0" w:line="228" w:lineRule="auto"/>
        <w:rPr>
          <w:sz w:val="20"/>
          <w:szCs w:val="20"/>
          <w:color w:val="auto"/>
        </w:rPr>
      </w:pPr>
      <w:r>
        <w:rPr>
          <w:rFonts w:ascii="Times New Roman" w:cs="Times New Roman" w:eastAsia="Times New Roman" w:hAnsi="Times New Roman"/>
          <w:sz w:val="17"/>
          <w:szCs w:val="17"/>
          <w:color w:val="auto"/>
        </w:rPr>
        <w:t>Our economic interests in biogas conversion project sites are not always aligned with the economic interests of the site owners and operators. 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They may or may not consult with us, including in circumstances where they have a contractual obligation to do so, and unilateral decisions made by the biogas conversion project site owners and operators regarding the operations or management of their business could impact our ability to produce RNG or Renewable Power, and generate the associated Environmental Attributes. If we have a favorable relationship with site owners and operators, we may be able to mitigate certain risks if given the opportunity to provide input into the owners’ and operators’ decision-making process.</w:t>
      </w:r>
    </w:p>
    <w:p>
      <w:pPr>
        <w:spacing w:after="0" w:line="199" w:lineRule="exact"/>
        <w:rPr>
          <w:sz w:val="20"/>
          <w:szCs w:val="20"/>
          <w:color w:val="auto"/>
        </w:rPr>
      </w:pPr>
    </w:p>
    <w:p>
      <w:pPr>
        <w:jc w:val="both"/>
        <w:ind w:firstLine="398"/>
        <w:spacing w:after="0" w:line="233" w:lineRule="auto"/>
        <w:rPr>
          <w:sz w:val="20"/>
          <w:szCs w:val="20"/>
          <w:color w:val="auto"/>
        </w:rPr>
      </w:pPr>
      <w:r>
        <w:rPr>
          <w:rFonts w:ascii="Times New Roman" w:cs="Times New Roman" w:eastAsia="Times New Roman" w:hAnsi="Times New Roman"/>
          <w:sz w:val="17"/>
          <w:szCs w:val="17"/>
          <w:color w:val="auto"/>
        </w:rPr>
        <w:t>In addition, the financial condition of the biogas conversion project sites may be affected in large part by conditions and events that are beyond our control. Significant deterioration in the financial condition of any biogas conversion project waste site could cause the biogas conversion project site owners and operators to unilaterally decide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spacing w:after="0" w:line="1" w:lineRule="exact"/>
        <w:rPr>
          <w:sz w:val="20"/>
          <w:szCs w:val="20"/>
          <w:color w:val="auto"/>
        </w:rPr>
      </w:pPr>
    </w:p>
    <w:p>
      <w:pPr>
        <w:jc w:val="both"/>
        <w:ind w:firstLine="398"/>
        <w:spacing w:after="0" w:line="235" w:lineRule="auto"/>
        <w:rPr>
          <w:sz w:val="20"/>
          <w:szCs w:val="20"/>
          <w:color w:val="auto"/>
        </w:rPr>
      </w:pPr>
      <w:r>
        <w:rPr>
          <w:rFonts w:ascii="Times New Roman" w:cs="Times New Roman" w:eastAsia="Times New Roman" w:hAnsi="Times New Roman"/>
          <w:sz w:val="17"/>
          <w:szCs w:val="17"/>
          <w:color w:val="auto"/>
        </w:rPr>
        <w:t>If we are unable to maintain good relationships with these site owners and operators, or if they take any actions that disrupt or halt production of RNG or Renewable Power, our business, growth strategy, financial condition and results of operations could be materially and adversely affected.</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us for the provision of CNG to said fleets.</w:t>
      </w:r>
    </w:p>
    <w:p>
      <w:pPr>
        <w:spacing w:after="0" w:line="193" w:lineRule="exact"/>
        <w:rPr>
          <w:sz w:val="20"/>
          <w:szCs w:val="20"/>
          <w:color w:val="auto"/>
        </w:rPr>
      </w:pPr>
    </w:p>
    <w:p>
      <w:pPr>
        <w:jc w:val="both"/>
        <w:ind w:firstLine="398"/>
        <w:spacing w:after="0" w:line="241" w:lineRule="auto"/>
        <w:rPr>
          <w:sz w:val="20"/>
          <w:szCs w:val="20"/>
          <w:color w:val="auto"/>
        </w:rPr>
      </w:pPr>
      <w:r>
        <w:rPr>
          <w:rFonts w:ascii="Times New Roman" w:cs="Times New Roman" w:eastAsia="Times New Roman" w:hAnsi="Times New Roman"/>
          <w:sz w:val="17"/>
          <w:szCs w:val="17"/>
          <w:color w:val="auto"/>
        </w:rPr>
        <w:t>Vehicle and engine manufacturers control the development, production, quality assurance, cost and sales and marketing of their products, all of which shape the performance, availability and reputation of such vehicles in the marketplace. We are dependent on these vehicle and engine manufacturers to succeed in our target RNG fuel dispensing markets, and we have no influence or control over their activities.</w:t>
      </w:r>
    </w:p>
    <w:p>
      <w:pPr>
        <w:spacing w:after="0" w:line="194"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7"/>
          <w:szCs w:val="17"/>
          <w:color w:val="auto"/>
        </w:rPr>
        <w:t>These vehicle and engine manufacturers may decide not to expand or maintain, or may decide to discontinue or curtail, their product lines for a variety of reasons, including, without limitation, as a result of the adoption of governmental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856" w:right="339" w:bottom="1440" w:gutter="0" w:footer="0" w:header="0"/>
        </w:sectPr>
      </w:pPr>
    </w:p>
    <w:bookmarkStart w:id="72" w:name="page73"/>
    <w:bookmarkEnd w:id="72"/>
    <w:p>
      <w:pPr>
        <w:jc w:val="both"/>
        <w:spacing w:after="0" w:line="234" w:lineRule="auto"/>
        <w:rPr>
          <w:sz w:val="20"/>
          <w:szCs w:val="20"/>
          <w:color w:val="auto"/>
        </w:rPr>
      </w:pPr>
      <w:r>
        <w:rPr>
          <w:rFonts w:ascii="Times New Roman" w:cs="Times New Roman" w:eastAsia="Times New Roman" w:hAnsi="Times New Roman"/>
          <w:sz w:val="17"/>
          <w:szCs w:val="17"/>
          <w:color w:val="auto"/>
        </w:rPr>
        <w:t>policies or programs such as the rules adopted by the California Air Resources Board on June 25, 2020 requiring the sale of zero-emission heavy-duty trucks (the “Advanced Clean Trucks Regulation”) and Executive Order N-79-20 issued by the Governor of the State of California in September 2020 (the “September 2020 Executive Order”). The supply of engines or vehicle product lines by these vehicle and engine manufacturers may also be disrupted due to delays, restrictions or other business impacts related to the COVID-19 pandemic and supply chain disruptions or crises.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spacing w:after="0" w:line="19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b w:val="1"/>
          <w:bCs w:val="1"/>
          <w:i w:val="1"/>
          <w:iCs w:val="1"/>
          <w:color w:val="auto"/>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spacing w:after="0" w:line="196" w:lineRule="exact"/>
        <w:rPr>
          <w:sz w:val="20"/>
          <w:szCs w:val="20"/>
          <w:color w:val="auto"/>
        </w:rPr>
      </w:pPr>
    </w:p>
    <w:p>
      <w:pPr>
        <w:jc w:val="both"/>
        <w:ind w:firstLine="398"/>
        <w:spacing w:after="0" w:line="236" w:lineRule="auto"/>
        <w:rPr>
          <w:sz w:val="20"/>
          <w:szCs w:val="20"/>
          <w:color w:val="auto"/>
        </w:rPr>
      </w:pPr>
      <w:r>
        <w:rPr>
          <w:rFonts w:ascii="Times New Roman" w:cs="Times New Roman" w:eastAsia="Times New Roman" w:hAnsi="Times New Roman"/>
          <w:sz w:val="17"/>
          <w:szCs w:val="17"/>
          <w:color w:val="auto"/>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and components manufactured and supplied by third parties, and on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spacing w:after="0" w:line="195" w:lineRule="exact"/>
        <w:rPr>
          <w:sz w:val="20"/>
          <w:szCs w:val="20"/>
          <w:color w:val="auto"/>
        </w:rPr>
      </w:pPr>
    </w:p>
    <w:p>
      <w:pPr>
        <w:jc w:val="both"/>
        <w:ind w:firstLine="398"/>
        <w:spacing w:after="0" w:line="246" w:lineRule="auto"/>
        <w:rPr>
          <w:sz w:val="20"/>
          <w:szCs w:val="20"/>
          <w:color w:val="auto"/>
        </w:rPr>
      </w:pPr>
      <w:r>
        <w:rPr>
          <w:rFonts w:ascii="Times New Roman" w:cs="Times New Roman" w:eastAsia="Times New Roman" w:hAnsi="Times New Roman"/>
          <w:sz w:val="16"/>
          <w:szCs w:val="16"/>
          <w:color w:val="auto"/>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(i) our production and distribution of RNG and Renewable Power, (ii) generation of related Environmental Attributes, (iii) meeting our obligations to dispense RNG at Fueling Stations, and (iv) maintaining current relationships and attracting new relationships, in each case, potentially harming our brand, reputation and growth prospects.</w:t>
      </w:r>
    </w:p>
    <w:p>
      <w:pPr>
        <w:spacing w:after="0" w:line="1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b w:val="1"/>
          <w:bCs w:val="1"/>
          <w:i w:val="1"/>
          <w:iCs w:val="1"/>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LFG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95" w:lineRule="exact"/>
        <w:rPr>
          <w:sz w:val="20"/>
          <w:szCs w:val="20"/>
          <w:color w:val="auto"/>
        </w:rPr>
      </w:pPr>
    </w:p>
    <w:p>
      <w:pPr>
        <w:jc w:val="both"/>
        <w:ind w:firstLine="398"/>
        <w:spacing w:after="0" w:line="241" w:lineRule="auto"/>
        <w:rPr>
          <w:sz w:val="20"/>
          <w:szCs w:val="20"/>
          <w:color w:val="auto"/>
        </w:rPr>
      </w:pPr>
      <w:r>
        <w:rPr>
          <w:rFonts w:ascii="Times New Roman" w:cs="Times New Roman" w:eastAsia="Times New Roman" w:hAnsi="Times New Roman"/>
          <w:sz w:val="17"/>
          <w:szCs w:val="17"/>
          <w:color w:val="auto"/>
        </w:rPr>
        <w:t>Our operations are subject to stringent and complex federal, state and local EHS laws and regulations, including those relating to (i) the release, emission or discharge of materials into the air, water and ground, (ii) the generation, storage, handling, use, transportation and disposal of hazardous materials and wastes, and (iii) the health and safety of our employees and other persons.</w:t>
      </w:r>
    </w:p>
    <w:p>
      <w:pPr>
        <w:spacing w:after="0" w:line="194" w:lineRule="exact"/>
        <w:rPr>
          <w:sz w:val="20"/>
          <w:szCs w:val="20"/>
          <w:color w:val="auto"/>
        </w:rPr>
      </w:pPr>
    </w:p>
    <w:p>
      <w:pPr>
        <w:jc w:val="both"/>
        <w:ind w:firstLine="398"/>
        <w:spacing w:after="0" w:line="231" w:lineRule="auto"/>
        <w:rPr>
          <w:sz w:val="20"/>
          <w:szCs w:val="20"/>
          <w:color w:val="auto"/>
        </w:rPr>
      </w:pPr>
      <w:r>
        <w:rPr>
          <w:rFonts w:ascii="Times New Roman" w:cs="Times New Roman" w:eastAsia="Times New Roman" w:hAnsi="Times New Roman"/>
          <w:sz w:val="17"/>
          <w:szCs w:val="17"/>
          <w:color w:val="auto"/>
        </w:rPr>
        <w:t>These laws and regulations impose numerous obligations applicable to our operations, including (i) the acquisition of permits before construction and operation of our Biogas Conversion Projects and Fueling Stations; (ii) the restriction of types, quantities and concentration of materials that can be released into the environment; (iii) the limitation or prohibition of our activities on certain lands lying within wilderness, wetlands and other protected areas; (iv) the application of specific health and safety criteria addressing worker protection; and (v)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spacing w:after="0" w:line="196" w:lineRule="exact"/>
        <w:rPr>
          <w:sz w:val="20"/>
          <w:szCs w:val="20"/>
          <w:color w:val="auto"/>
        </w:rPr>
      </w:pPr>
    </w:p>
    <w:p>
      <w:pPr>
        <w:jc w:val="both"/>
        <w:ind w:firstLine="398"/>
        <w:spacing w:after="0" w:line="241" w:lineRule="auto"/>
        <w:rPr>
          <w:sz w:val="20"/>
          <w:szCs w:val="20"/>
          <w:color w:val="auto"/>
        </w:rPr>
      </w:pPr>
      <w:r>
        <w:rPr>
          <w:rFonts w:ascii="Times New Roman" w:cs="Times New Roman" w:eastAsia="Times New Roman" w:hAnsi="Times New Roman"/>
          <w:sz w:val="17"/>
          <w:szCs w:val="17"/>
          <w:color w:val="auto"/>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40"/>
          </w:cols>
          <w:pgMar w:left="320" w:top="856" w:right="339" w:bottom="1440" w:gutter="0" w:footer="0" w:header="0"/>
        </w:sectPr>
      </w:pPr>
    </w:p>
    <w:bookmarkStart w:id="73" w:name="page74"/>
    <w:bookmarkEnd w:id="73"/>
    <w:p>
      <w:pPr>
        <w:jc w:val="both"/>
        <w:spacing w:after="0" w:line="236" w:lineRule="auto"/>
        <w:rPr>
          <w:sz w:val="20"/>
          <w:szCs w:val="20"/>
          <w:color w:val="auto"/>
        </w:rPr>
      </w:pPr>
      <w:r>
        <w:rPr>
          <w:rFonts w:ascii="Times New Roman" w:cs="Times New Roman" w:eastAsia="Times New Roman" w:hAnsi="Times New Roman"/>
          <w:sz w:val="17"/>
          <w:szCs w:val="17"/>
          <w:color w:val="auto"/>
        </w:rPr>
        <w:t>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spacing w:after="0" w:line="195" w:lineRule="exact"/>
        <w:rPr>
          <w:sz w:val="20"/>
          <w:szCs w:val="20"/>
          <w:color w:val="auto"/>
        </w:rPr>
      </w:pPr>
    </w:p>
    <w:p>
      <w:pPr>
        <w:jc w:val="both"/>
        <w:ind w:firstLine="398"/>
        <w:spacing w:after="0" w:line="232" w:lineRule="auto"/>
        <w:rPr>
          <w:sz w:val="20"/>
          <w:szCs w:val="20"/>
          <w:color w:val="auto"/>
        </w:rPr>
      </w:pPr>
      <w:r>
        <w:rPr>
          <w:rFonts w:ascii="Times New Roman" w:cs="Times New Roman" w:eastAsia="Times New Roman" w:hAnsi="Times New Roman"/>
          <w:sz w:val="17"/>
          <w:szCs w:val="17"/>
          <w:color w:val="auto"/>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spacing w:after="0" w:line="196" w:lineRule="exact"/>
        <w:rPr>
          <w:sz w:val="20"/>
          <w:szCs w:val="20"/>
          <w:color w:val="auto"/>
        </w:rPr>
      </w:pPr>
    </w:p>
    <w:p>
      <w:pPr>
        <w:jc w:val="both"/>
        <w:ind w:firstLine="398"/>
        <w:spacing w:after="0" w:line="230" w:lineRule="auto"/>
        <w:rPr>
          <w:sz w:val="20"/>
          <w:szCs w:val="20"/>
          <w:color w:val="auto"/>
        </w:rPr>
      </w:pPr>
      <w:r>
        <w:rPr>
          <w:rFonts w:ascii="Times New Roman" w:cs="Times New Roman" w:eastAsia="Times New Roman" w:hAnsi="Times New Roman"/>
          <w:sz w:val="17"/>
          <w:szCs w:val="17"/>
          <w:color w:val="auto"/>
        </w:rPr>
        <w:t>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 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 (v) commence development of emissions reduction targets and (vi) establish the special presidential envoy for climate on the National Security Council. At this time, we cannot predict the outcome of any of these executive orders on our operations.</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b w:val="1"/>
          <w:bCs w:val="1"/>
          <w:i w:val="1"/>
          <w:iCs w:val="1"/>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95" w:lineRule="exact"/>
        <w:rPr>
          <w:sz w:val="20"/>
          <w:szCs w:val="20"/>
          <w:color w:val="auto"/>
        </w:rPr>
      </w:pPr>
    </w:p>
    <w:p>
      <w:pPr>
        <w:jc w:val="both"/>
        <w:ind w:firstLine="398"/>
        <w:spacing w:after="0" w:line="233" w:lineRule="auto"/>
        <w:rPr>
          <w:sz w:val="20"/>
          <w:szCs w:val="20"/>
          <w:color w:val="auto"/>
        </w:rPr>
      </w:pPr>
      <w:r>
        <w:rPr>
          <w:rFonts w:ascii="Times New Roman" w:cs="Times New Roman" w:eastAsia="Times New Roman" w:hAnsi="Times New Roman"/>
          <w:sz w:val="17"/>
          <w:szCs w:val="17"/>
          <w:color w:val="auto"/>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 (ii) our inability to sell Renewable Power or RNG from the non-complying facility, (iii) penalties and defaults arising from contracts that we have that contemplate production from the non-complying facility, (iv) the imposition of liens, fines, refunds and interest, and/or civil or criminal liability, and (vi) delay or prevent new Biogas Conversion Projects and Fueling Stations from being developed.</w:t>
      </w:r>
    </w:p>
    <w:p>
      <w:pPr>
        <w:spacing w:after="0" w:line="185" w:lineRule="exact"/>
        <w:rPr>
          <w:sz w:val="20"/>
          <w:szCs w:val="20"/>
          <w:color w:val="auto"/>
        </w:rPr>
      </w:pPr>
    </w:p>
    <w:p>
      <w:pPr>
        <w:jc w:val="both"/>
        <w:ind w:firstLine="398"/>
        <w:spacing w:after="0" w:line="249" w:lineRule="auto"/>
        <w:rPr>
          <w:sz w:val="20"/>
          <w:szCs w:val="20"/>
          <w:color w:val="auto"/>
        </w:rPr>
      </w:pPr>
      <w:r>
        <w:rPr>
          <w:rFonts w:ascii="Times New Roman" w:cs="Times New Roman" w:eastAsia="Times New Roman" w:hAnsi="Times New Roman"/>
          <w:sz w:val="16"/>
          <w:szCs w:val="16"/>
          <w:color w:val="auto"/>
        </w:rPr>
        <w:t>The U.S. Environmental Protection Agency (“EPA”) annually sets proposed and actual RVOs for the Renewable Identification Numbers (“RIN”) market in accordance with the mandates established by EISA. The EPA’s issuance of timely and sufficient annual RVOs to accommodate the RNG industry’s growing production levels may be needed to stabilize the RIN market. There can be no assurance that the EPA will timely set annual RVOs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The current authorization for the EPA’s issuance of RVOs will expire beginning in 2023, and the EPA may issue RVOs under a modified system that has yet to be developed, which creates additional uncertainty as to RIN pricing. Uncertainty as to how the Renewable Fuel Standard (“RFS”) program will continue to be administered and supported by the EPA under the current US presidential administration can create price volatility in the RIN market. Given this regulatory uncertainty, we cannot assure that (i) we will be able to monetize RINs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40"/>
          </w:cols>
          <w:pgMar w:left="320" w:top="856" w:right="339" w:bottom="1440" w:gutter="0" w:footer="0" w:header="0"/>
        </w:sectPr>
      </w:pPr>
    </w:p>
    <w:bookmarkStart w:id="74" w:name="page75"/>
    <w:bookmarkEnd w:id="74"/>
    <w:p>
      <w:pPr>
        <w:jc w:val="both"/>
        <w:ind w:left="1"/>
        <w:spacing w:after="0" w:line="253" w:lineRule="auto"/>
        <w:rPr>
          <w:sz w:val="20"/>
          <w:szCs w:val="20"/>
          <w:color w:val="auto"/>
        </w:rPr>
      </w:pPr>
      <w:r>
        <w:rPr>
          <w:rFonts w:ascii="Times New Roman" w:cs="Times New Roman" w:eastAsia="Times New Roman" w:hAnsi="Times New Roman"/>
          <w:sz w:val="17"/>
          <w:szCs w:val="17"/>
          <w:color w:val="auto"/>
        </w:rPr>
        <w:t>at the same price levels as we have in the past, (ii) production shortfalls will not impact our ability to monetize RINs at favorable current pricing, and (iii) the rising price environment for RINs will continue.</w:t>
      </w:r>
    </w:p>
    <w:p>
      <w:pPr>
        <w:spacing w:after="0" w:line="222" w:lineRule="exact"/>
        <w:rPr>
          <w:sz w:val="20"/>
          <w:szCs w:val="20"/>
          <w:color w:val="auto"/>
        </w:rPr>
      </w:pPr>
    </w:p>
    <w:p>
      <w:pPr>
        <w:jc w:val="both"/>
        <w:ind w:left="1" w:firstLine="398"/>
        <w:spacing w:after="0" w:line="188" w:lineRule="exact"/>
        <w:rPr>
          <w:sz w:val="20"/>
          <w:szCs w:val="20"/>
          <w:color w:val="auto"/>
        </w:rPr>
      </w:pPr>
      <w:r>
        <w:rPr>
          <w:rFonts w:ascii="Times New Roman" w:cs="Times New Roman" w:eastAsia="Times New Roman" w:hAnsi="Times New Roman"/>
          <w:sz w:val="16"/>
          <w:szCs w:val="16"/>
          <w:color w:val="auto"/>
        </w:rPr>
        <w:t>On the state level, the economics of RNG are enhanced by low-carbon fuel initiatives, particularly a well-established LCFS program in California and similar developing programs in Oregon and Washington (with several other states also actively considering similar initiatives). In California’s case, in 2009, the California Air Resource Board (“CARB”) adopted LCFS regulations aimed at reducing the Carbon Intensity (“CI”) of transportation fuel sold and purchased in the state. A CI score is calculated as grams of CO</w:t>
      </w:r>
      <w:r>
        <w:rPr>
          <w:rFonts w:ascii="MS PGothic" w:cs="MS PGothic" w:eastAsia="MS PGothic" w:hAnsi="MS PGothic"/>
          <w:sz w:val="16"/>
          <w:szCs w:val="16"/>
          <w:color w:val="auto"/>
        </w:rPr>
        <w:t>₂</w:t>
      </w:r>
      <w:r>
        <w:rPr>
          <w:rFonts w:ascii="Times New Roman" w:cs="Times New Roman" w:eastAsia="Times New Roman" w:hAnsi="Times New Roman"/>
          <w:sz w:val="16"/>
          <w:szCs w:val="16"/>
          <w:color w:val="auto"/>
        </w:rPr>
        <w:t xml:space="preserve"> equivalent per megajoule of energy by the fuel. Under the California and California-type LCFS programs, the CI score is dependent upon a full lifecycle analysis that evaluates the GHG emissions associated with producing, transporting, and consuming the fuel. LCFS credits can be generated in three ways:</w:t>
      </w:r>
    </w:p>
    <w:p>
      <w:pPr>
        <w:spacing w:after="0" w:line="3" w:lineRule="exact"/>
        <w:rPr>
          <w:sz w:val="20"/>
          <w:szCs w:val="20"/>
          <w:color w:val="auto"/>
        </w:rPr>
      </w:pPr>
    </w:p>
    <w:p>
      <w:pPr>
        <w:jc w:val="both"/>
        <w:ind w:left="1" w:hanging="1"/>
        <w:spacing w:after="0" w:line="231" w:lineRule="auto"/>
        <w:tabs>
          <w:tab w:leader="none" w:pos="217"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fuel pathway crediting that provides low carbon fuels used in California transportation, (ii) project-based crediting that reduces GHG emissions in the petroleum supply chain, and (iii) zero emission vehicle crediting that supports the buildout of infrastructure. CARB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Moreover, the inability to sell LCFS credits could adversely affect our business.</w:t>
      </w:r>
    </w:p>
    <w:p>
      <w:pPr>
        <w:spacing w:after="0" w:line="197" w:lineRule="exact"/>
        <w:rPr>
          <w:sz w:val="20"/>
          <w:szCs w:val="20"/>
          <w:color w:val="auto"/>
        </w:rPr>
      </w:pPr>
    </w:p>
    <w:p>
      <w:pPr>
        <w:jc w:val="both"/>
        <w:ind w:left="1" w:firstLine="398"/>
        <w:spacing w:after="0" w:line="236" w:lineRule="auto"/>
        <w:rPr>
          <w:sz w:val="20"/>
          <w:szCs w:val="20"/>
          <w:color w:val="auto"/>
        </w:rPr>
      </w:pPr>
      <w:r>
        <w:rPr>
          <w:rFonts w:ascii="Times New Roman" w:cs="Times New Roman" w:eastAsia="Times New Roman" w:hAnsi="Times New Roman"/>
          <w:sz w:val="17"/>
          <w:szCs w:val="17"/>
          <w:color w:val="auto"/>
        </w:rPr>
        <w:t>Our ability to generate revenue from sales of RINs and LCFS credits depends on our strict compliance with such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spacing w:after="0" w:line="195" w:lineRule="exact"/>
        <w:rPr>
          <w:sz w:val="20"/>
          <w:szCs w:val="20"/>
          <w:color w:val="auto"/>
        </w:rPr>
      </w:pPr>
    </w:p>
    <w:p>
      <w:pPr>
        <w:jc w:val="both"/>
        <w:ind w:left="1" w:firstLine="398"/>
        <w:spacing w:after="0" w:line="246" w:lineRule="auto"/>
        <w:rPr>
          <w:sz w:val="20"/>
          <w:szCs w:val="20"/>
          <w:color w:val="auto"/>
        </w:rPr>
      </w:pPr>
      <w:r>
        <w:rPr>
          <w:rFonts w:ascii="Times New Roman" w:cs="Times New Roman" w:eastAsia="Times New Roman" w:hAnsi="Times New Roman"/>
          <w:sz w:val="16"/>
          <w:szCs w:val="16"/>
          <w:color w:val="auto"/>
        </w:rPr>
        <w:t>Additionally, our business is influenced by laws, rules and regulations that require reductions in carbon emissions and/or the use of renewable fuels, such as the programs under which we generate environmental credits. These programs and regulations, which have the effect of encouraging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spacing w:after="0" w:line="192" w:lineRule="exact"/>
        <w:rPr>
          <w:sz w:val="20"/>
          <w:szCs w:val="20"/>
          <w:color w:val="auto"/>
        </w:rPr>
      </w:pPr>
    </w:p>
    <w:p>
      <w:pPr>
        <w:jc w:val="both"/>
        <w:ind w:left="1" w:firstLine="398"/>
        <w:spacing w:after="0" w:line="236" w:lineRule="auto"/>
        <w:rPr>
          <w:sz w:val="20"/>
          <w:szCs w:val="20"/>
          <w:color w:val="auto"/>
        </w:rPr>
      </w:pPr>
      <w:r>
        <w:rPr>
          <w:rFonts w:ascii="Times New Roman" w:cs="Times New Roman" w:eastAsia="Times New Roman" w:hAnsi="Times New Roman"/>
          <w:sz w:val="17"/>
          <w:szCs w:val="17"/>
          <w:color w:val="auto"/>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spacing w:after="0" w:line="195" w:lineRule="exact"/>
        <w:rPr>
          <w:sz w:val="20"/>
          <w:szCs w:val="20"/>
          <w:color w:val="auto"/>
        </w:rPr>
      </w:pPr>
    </w:p>
    <w:p>
      <w:pPr>
        <w:jc w:val="both"/>
        <w:ind w:left="1" w:firstLine="398"/>
        <w:spacing w:after="0" w:line="230" w:lineRule="auto"/>
        <w:rPr>
          <w:sz w:val="20"/>
          <w:szCs w:val="20"/>
          <w:color w:val="auto"/>
        </w:rPr>
      </w:pPr>
      <w:r>
        <w:rPr>
          <w:rFonts w:ascii="Times New Roman" w:cs="Times New Roman" w:eastAsia="Times New Roman" w:hAnsi="Times New Roman"/>
          <w:sz w:val="17"/>
          <w:szCs w:val="17"/>
          <w:color w:val="auto"/>
        </w:rPr>
        <w:t>All of our current electric generating facilities are qualifying small power production facilities (“QFs”) 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obtaining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(“MBR Authority”) or any other approval from the U.S. Federal Energy Regulatory Commission (“FERC”).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Federal Power Act and eliminate QF status, in which case we would likely have to obtain MBR Authority and sell competitively in the market. If this were to happen, in all likelihood our QFs would not be competitive in the market place.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41"/>
          </w:cols>
          <w:pgMar w:left="319" w:top="856" w:right="339" w:bottom="1440" w:gutter="0" w:footer="0" w:header="0"/>
        </w:sectPr>
      </w:pPr>
    </w:p>
    <w:bookmarkStart w:id="75" w:name="page76"/>
    <w:bookmarkEnd w:id="75"/>
    <w:p>
      <w:pPr>
        <w:jc w:val="both"/>
        <w:ind w:firstLine="398"/>
        <w:spacing w:after="0" w:line="231" w:lineRule="auto"/>
        <w:rPr>
          <w:sz w:val="20"/>
          <w:szCs w:val="20"/>
          <w:color w:val="auto"/>
        </w:rPr>
      </w:pPr>
      <w:r>
        <w:rPr>
          <w:rFonts w:ascii="Times New Roman" w:cs="Times New Roman" w:eastAsia="Times New Roman" w:hAnsi="Times New Roman"/>
          <w:sz w:val="17"/>
          <w:szCs w:val="17"/>
          <w:color w:val="auto"/>
        </w:rPr>
        <w:t>We currently do not intend to develop, construct or operate electric generating facilities that would require us to apply for and receive MBR Authority from FERC. Nevertheless, were we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spacing w:after="0" w:line="198" w:lineRule="exact"/>
        <w:rPr>
          <w:sz w:val="20"/>
          <w:szCs w:val="20"/>
          <w:color w:val="auto"/>
        </w:rPr>
      </w:pPr>
    </w:p>
    <w:p>
      <w:pPr>
        <w:jc w:val="both"/>
        <w:ind w:firstLine="398"/>
        <w:spacing w:after="0" w:line="251" w:lineRule="auto"/>
        <w:rPr>
          <w:sz w:val="20"/>
          <w:szCs w:val="20"/>
          <w:color w:val="auto"/>
        </w:rPr>
      </w:pPr>
      <w:r>
        <w:rPr>
          <w:rFonts w:ascii="Times New Roman" w:cs="Times New Roman" w:eastAsia="Times New Roman" w:hAnsi="Times New Roman"/>
          <w:sz w:val="16"/>
          <w:szCs w:val="16"/>
          <w:color w:val="auto"/>
        </w:rPr>
        <w:t>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spacing w:after="0" w:line="188" w:lineRule="exact"/>
        <w:rPr>
          <w:sz w:val="20"/>
          <w:szCs w:val="20"/>
          <w:color w:val="auto"/>
        </w:rPr>
      </w:pPr>
    </w:p>
    <w:p>
      <w:pPr>
        <w:jc w:val="both"/>
        <w:ind w:firstLine="398"/>
        <w:spacing w:after="0" w:line="237" w:lineRule="auto"/>
        <w:rPr>
          <w:sz w:val="20"/>
          <w:szCs w:val="20"/>
          <w:color w:val="auto"/>
        </w:rPr>
      </w:pPr>
      <w:r>
        <w:rPr>
          <w:rFonts w:ascii="Times New Roman" w:cs="Times New Roman" w:eastAsia="Times New Roman" w:hAnsi="Times New Roman"/>
          <w:sz w:val="17"/>
          <w:szCs w:val="17"/>
          <w:color w:val="auto"/>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spacing w:after="0" w:line="1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b w:val="1"/>
          <w:bCs w:val="1"/>
          <w:i w:val="1"/>
          <w:iCs w:val="1"/>
          <w:color w:val="auto"/>
        </w:rPr>
        <w:t>Our biogas conversion project site owners and operators are also subject to extensive federal, state and local regulations and policies, including permitting requirements, on account of their separate operations. Any failure on their part to comply with any laws, regulations, rules or permits, applicable to them may also adversely affect our business, investments and results of operations.</w:t>
      </w:r>
    </w:p>
    <w:p>
      <w:pPr>
        <w:spacing w:after="0" w:line="196" w:lineRule="exact"/>
        <w:rPr>
          <w:sz w:val="20"/>
          <w:szCs w:val="20"/>
          <w:color w:val="auto"/>
        </w:rPr>
      </w:pPr>
    </w:p>
    <w:p>
      <w:pPr>
        <w:jc w:val="both"/>
        <w:ind w:firstLine="398"/>
        <w:spacing w:after="0" w:line="237" w:lineRule="auto"/>
        <w:rPr>
          <w:sz w:val="20"/>
          <w:szCs w:val="20"/>
          <w:color w:val="auto"/>
        </w:rPr>
      </w:pPr>
      <w:r>
        <w:rPr>
          <w:rFonts w:ascii="Times New Roman" w:cs="Times New Roman" w:eastAsia="Times New Roman" w:hAnsi="Times New Roman"/>
          <w:sz w:val="17"/>
          <w:szCs w:val="17"/>
          <w:color w:val="auto"/>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spacing w:after="0" w:line="197" w:lineRule="exact"/>
        <w:rPr>
          <w:sz w:val="20"/>
          <w:szCs w:val="20"/>
          <w:color w:val="auto"/>
        </w:rPr>
      </w:pPr>
    </w:p>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The permits required to be obtained and maintained by biogas conversion project site owners and operations are commonly subject to resistance from citizen or other groups and other political pressures, including allegations by such persons that a site is in violation of any applicable permits, laws or regulations. Failure by project site owners and operators to obtain or maintain any required permit to operate its site would adversely affect our production of Renewable Power, RNG and generation of the associated Environmental Attributes, as applicable.</w:t>
      </w:r>
    </w:p>
    <w:p>
      <w:pPr>
        <w:spacing w:after="0" w:line="199" w:lineRule="exact"/>
        <w:rPr>
          <w:sz w:val="20"/>
          <w:szCs w:val="20"/>
          <w:color w:val="auto"/>
        </w:rPr>
      </w:pPr>
    </w:p>
    <w:p>
      <w:pPr>
        <w:jc w:val="both"/>
        <w:ind w:firstLine="398"/>
        <w:spacing w:after="0" w:line="233" w:lineRule="auto"/>
        <w:rPr>
          <w:sz w:val="20"/>
          <w:szCs w:val="20"/>
          <w:color w:val="auto"/>
        </w:rPr>
      </w:pPr>
      <w:r>
        <w:rPr>
          <w:rFonts w:ascii="Times New Roman" w:cs="Times New Roman" w:eastAsia="Times New Roman" w:hAnsi="Times New Roman"/>
          <w:sz w:val="17"/>
          <w:szCs w:val="17"/>
          <w:color w:val="auto"/>
        </w:rPr>
        <w:t>A failure by biogas conversion project site owners and operators to comply with extensive federal, state and local regulations and policies, including permitting requirements, may result in the suspension or cessation of waste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40"/>
          </w:cols>
          <w:pgMar w:left="320" w:top="1080" w:right="339" w:bottom="1440" w:gutter="0" w:footer="0" w:header="0"/>
        </w:sectPr>
      </w:pPr>
    </w:p>
    <w:bookmarkStart w:id="76" w:name="page77"/>
    <w:bookmarkEnd w:id="76"/>
    <w:p>
      <w:pPr>
        <w:jc w:val="both"/>
        <w:ind w:firstLine="398"/>
        <w:spacing w:after="0" w:line="236" w:lineRule="auto"/>
        <w:rPr>
          <w:sz w:val="20"/>
          <w:szCs w:val="20"/>
          <w:color w:val="auto"/>
        </w:rPr>
      </w:pPr>
      <w:r>
        <w:rPr>
          <w:rFonts w:ascii="Times New Roman" w:cs="Times New Roman" w:eastAsia="Times New Roman" w:hAnsi="Times New Roman"/>
          <w:sz w:val="17"/>
          <w:szCs w:val="17"/>
          <w:color w:val="auto"/>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(“RPS”)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spacing w:after="0" w:line="195" w:lineRule="exact"/>
        <w:rPr>
          <w:sz w:val="20"/>
          <w:szCs w:val="20"/>
          <w:color w:val="auto"/>
        </w:rPr>
      </w:pPr>
    </w:p>
    <w:p>
      <w:pPr>
        <w:jc w:val="both"/>
        <w:ind w:firstLine="398"/>
        <w:spacing w:after="0" w:line="232" w:lineRule="auto"/>
        <w:rPr>
          <w:sz w:val="20"/>
          <w:szCs w:val="20"/>
          <w:color w:val="auto"/>
        </w:rPr>
      </w:pPr>
      <w:r>
        <w:rPr>
          <w:rFonts w:ascii="Times New Roman" w:cs="Times New Roman" w:eastAsia="Times New Roman" w:hAnsi="Times New Roman"/>
          <w:sz w:val="17"/>
          <w:szCs w:val="17"/>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spacing w:after="0" w:line="196" w:lineRule="exact"/>
        <w:rPr>
          <w:sz w:val="20"/>
          <w:szCs w:val="20"/>
          <w:color w:val="auto"/>
        </w:rPr>
      </w:pPr>
    </w:p>
    <w:p>
      <w:pPr>
        <w:jc w:val="both"/>
        <w:ind w:firstLine="398"/>
        <w:spacing w:after="0" w:line="259" w:lineRule="auto"/>
        <w:rPr>
          <w:sz w:val="20"/>
          <w:szCs w:val="20"/>
          <w:color w:val="auto"/>
        </w:rPr>
      </w:pPr>
      <w:r>
        <w:rPr>
          <w:rFonts w:ascii="Times New Roman" w:cs="Times New Roman" w:eastAsia="Times New Roman" w:hAnsi="Times New Roman"/>
          <w:sz w:val="16"/>
          <w:szCs w:val="16"/>
          <w:color w:val="auto"/>
        </w:rPr>
        <w:t>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 xml:space="preserve">results of operations and cash flows. In addition, we face similar risks with respect to the RFS program.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6"/>
          <w:szCs w:val="16"/>
          <w:color w:val="auto"/>
        </w:rPr>
        <w:t xml:space="preserve"> “Existing,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spacing w:after="0" w:line="181" w:lineRule="exact"/>
        <w:rPr>
          <w:sz w:val="20"/>
          <w:szCs w:val="20"/>
          <w:color w:val="auto"/>
        </w:rPr>
      </w:pPr>
    </w:p>
    <w:p>
      <w:pPr>
        <w:jc w:val="both"/>
        <w:ind w:firstLine="398"/>
        <w:spacing w:after="0" w:line="232" w:lineRule="auto"/>
        <w:rPr>
          <w:sz w:val="20"/>
          <w:szCs w:val="20"/>
          <w:color w:val="auto"/>
        </w:rPr>
      </w:pPr>
      <w:r>
        <w:rPr>
          <w:rFonts w:ascii="Times New Roman" w:cs="Times New Roman" w:eastAsia="Times New Roman" w:hAnsi="Times New Roman"/>
          <w:sz w:val="17"/>
          <w:szCs w:val="17"/>
          <w:color w:val="auto"/>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spacing w:after="0" w:line="199" w:lineRule="exact"/>
        <w:rPr>
          <w:sz w:val="20"/>
          <w:szCs w:val="20"/>
          <w:color w:val="auto"/>
        </w:rPr>
      </w:pPr>
    </w:p>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LFG rights agreements. Further, such failures, delays or increased costs could have a material adverse effect on our business, financial condition and results of operations.</w:t>
      </w:r>
    </w:p>
    <w:p>
      <w:pPr>
        <w:spacing w:after="0" w:line="195" w:lineRule="exact"/>
        <w:rPr>
          <w:sz w:val="20"/>
          <w:szCs w:val="20"/>
          <w:color w:val="auto"/>
        </w:rPr>
      </w:pPr>
    </w:p>
    <w:p>
      <w:pPr>
        <w:jc w:val="both"/>
        <w:ind w:firstLine="398"/>
        <w:spacing w:after="0" w:line="251" w:lineRule="auto"/>
        <w:rPr>
          <w:sz w:val="20"/>
          <w:szCs w:val="20"/>
          <w:color w:val="auto"/>
        </w:rPr>
      </w:pPr>
      <w:r>
        <w:rPr>
          <w:rFonts w:ascii="Times New Roman" w:cs="Times New Roman" w:eastAsia="Times New Roman" w:hAnsi="Times New Roman"/>
          <w:sz w:val="16"/>
          <w:szCs w:val="16"/>
          <w:color w:val="auto"/>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40"/>
          </w:cols>
          <w:pgMar w:left="320" w:top="856" w:right="339" w:bottom="1440" w:gutter="0" w:footer="0" w:header="0"/>
        </w:sectPr>
      </w:pPr>
    </w:p>
    <w:bookmarkStart w:id="77" w:name="page78"/>
    <w:bookmarkEnd w:id="77"/>
    <w:p>
      <w:pPr>
        <w:jc w:val="both"/>
        <w:ind w:firstLine="398"/>
        <w:spacing w:after="0" w:line="237" w:lineRule="auto"/>
        <w:rPr>
          <w:sz w:val="20"/>
          <w:szCs w:val="20"/>
          <w:color w:val="auto"/>
        </w:rPr>
      </w:pPr>
      <w:r>
        <w:rPr>
          <w:rFonts w:ascii="Times New Roman" w:cs="Times New Roman" w:eastAsia="Times New Roman" w:hAnsi="Times New Roman"/>
          <w:sz w:val="17"/>
          <w:szCs w:val="17"/>
          <w:color w:val="auto"/>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spacing w:after="0" w:line="181" w:lineRule="exact"/>
        <w:rPr>
          <w:sz w:val="20"/>
          <w:szCs w:val="20"/>
          <w:color w:val="auto"/>
        </w:rPr>
      </w:pPr>
    </w:p>
    <w:p>
      <w:pPr>
        <w:jc w:val="both"/>
        <w:ind w:firstLine="398"/>
        <w:spacing w:after="0" w:line="236" w:lineRule="auto"/>
        <w:rPr>
          <w:sz w:val="20"/>
          <w:szCs w:val="20"/>
          <w:color w:val="auto"/>
        </w:rPr>
      </w:pPr>
      <w:r>
        <w:rPr>
          <w:rFonts w:ascii="Times New Roman" w:cs="Times New Roman" w:eastAsia="Times New Roman" w:hAnsi="Times New Roman"/>
          <w:sz w:val="17"/>
          <w:szCs w:val="17"/>
          <w:color w:val="auto"/>
        </w:rPr>
        <w:t>We are dependent on third-party utility companies to provide sufficient utilities including sewer, water, gas and electricity, to sustain our operations and operate our Biogas Conversion Projects. Any major or sustained disruptions in the supply of utilities, such as water, gas or electricity or any fire, flood or other natural calamities, may disrupt our operations or damage our production facilities or inventories and could adversely affect our business, financial 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are subject to risks associated with litigation or administrative proceedings that could materially impact our operations, including proceedings in the future related to our projects we subsequently acquire.</w:t>
      </w:r>
    </w:p>
    <w:p>
      <w:pPr>
        <w:spacing w:after="0" w:line="180" w:lineRule="exact"/>
        <w:rPr>
          <w:sz w:val="20"/>
          <w:szCs w:val="20"/>
          <w:color w:val="auto"/>
        </w:rPr>
      </w:pPr>
    </w:p>
    <w:p>
      <w:pPr>
        <w:jc w:val="both"/>
        <w:ind w:firstLine="398"/>
        <w:spacing w:after="0" w:line="246" w:lineRule="auto"/>
        <w:rPr>
          <w:sz w:val="20"/>
          <w:szCs w:val="20"/>
          <w:color w:val="auto"/>
        </w:rPr>
      </w:pPr>
      <w:r>
        <w:rPr>
          <w:rFonts w:ascii="Times New Roman" w:cs="Times New Roman" w:eastAsia="Times New Roman" w:hAnsi="Times New Roman"/>
          <w:sz w:val="16"/>
          <w:szCs w:val="16"/>
          <w:color w:val="auto"/>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spacing w:after="0" w:line="194" w:lineRule="exact"/>
        <w:rPr>
          <w:sz w:val="20"/>
          <w:szCs w:val="20"/>
          <w:color w:val="auto"/>
        </w:rPr>
      </w:pPr>
    </w:p>
    <w:p>
      <w:pPr>
        <w:jc w:val="both"/>
        <w:ind w:firstLine="398"/>
        <w:spacing w:after="0" w:line="233" w:lineRule="auto"/>
        <w:rPr>
          <w:sz w:val="20"/>
          <w:szCs w:val="20"/>
          <w:color w:val="auto"/>
        </w:rPr>
      </w:pPr>
      <w:r>
        <w:rPr>
          <w:rFonts w:ascii="Times New Roman" w:cs="Times New Roman" w:eastAsia="Times New Roman" w:hAnsi="Times New Roman"/>
          <w:sz w:val="17"/>
          <w:szCs w:val="17"/>
          <w:color w:val="auto"/>
        </w:rPr>
        <w:t>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 See “Business — Legal Proceedings.”</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b w:val="1"/>
          <w:bCs w:val="1"/>
          <w:i w:val="1"/>
          <w:iCs w:val="1"/>
          <w:color w:val="auto"/>
        </w:rPr>
        <w:t>We currently own, and in the future may acquire, certain assets in which we have limited control over management decisions, including through joint ventures, and our interests in such assets may be subject to transfer or other related restrictions.</w:t>
      </w:r>
    </w:p>
    <w:p>
      <w:pPr>
        <w:spacing w:after="0" w:line="196" w:lineRule="exact"/>
        <w:rPr>
          <w:sz w:val="20"/>
          <w:szCs w:val="20"/>
          <w:color w:val="auto"/>
        </w:rPr>
      </w:pPr>
    </w:p>
    <w:p>
      <w:pPr>
        <w:jc w:val="both"/>
        <w:ind w:firstLine="398"/>
        <w:spacing w:after="0" w:line="230" w:lineRule="auto"/>
        <w:rPr>
          <w:sz w:val="20"/>
          <w:szCs w:val="20"/>
          <w:color w:val="auto"/>
        </w:rPr>
      </w:pPr>
      <w:r>
        <w:rPr>
          <w:rFonts w:ascii="Times New Roman" w:cs="Times New Roman" w:eastAsia="Times New Roman" w:hAnsi="Times New Roman"/>
          <w:sz w:val="17"/>
          <w:szCs w:val="17"/>
          <w:color w:val="auto"/>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40"/>
          </w:cols>
          <w:pgMar w:left="320" w:top="1080" w:right="339" w:bottom="1440" w:gutter="0" w:footer="0" w:header="0"/>
        </w:sectPr>
      </w:pPr>
    </w:p>
    <w:bookmarkStart w:id="78" w:name="page79"/>
    <w:bookmarkEnd w:id="78"/>
    <w:p>
      <w:pPr>
        <w:jc w:val="both"/>
        <w:spacing w:after="0" w:line="241" w:lineRule="auto"/>
        <w:rPr>
          <w:sz w:val="20"/>
          <w:szCs w:val="20"/>
          <w:color w:val="auto"/>
        </w:rPr>
      </w:pPr>
      <w:r>
        <w:rPr>
          <w:rFonts w:ascii="Times New Roman" w:cs="Times New Roman" w:eastAsia="Times New Roman" w:hAnsi="Times New Roman"/>
          <w:sz w:val="17"/>
          <w:szCs w:val="17"/>
          <w:color w:val="auto"/>
        </w:rPr>
        <w:t>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spacing w:after="0" w:line="19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b w:val="1"/>
          <w:bCs w:val="1"/>
          <w:i w:val="1"/>
          <w:iCs w:val="1"/>
          <w:color w:val="auto"/>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spacing w:after="0" w:line="182" w:lineRule="exact"/>
        <w:rPr>
          <w:sz w:val="20"/>
          <w:szCs w:val="20"/>
          <w:color w:val="auto"/>
        </w:rPr>
      </w:pPr>
    </w:p>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current changes in natural gas price indices, project productivity or other metrics and involve complex calculations. 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Risks Related to Our Business</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A reduction in the prices we can obtain for the Environmental Attributes generated from RNG, which include RINs, LCFS credits, and other incentives, could have a material adverse effect on our business prospects, financial condition and results of operations</w:t>
      </w:r>
      <w:r>
        <w:rPr>
          <w:rFonts w:ascii="Times New Roman" w:cs="Times New Roman" w:eastAsia="Times New Roman" w:hAnsi="Times New Roman"/>
          <w:sz w:val="17"/>
          <w:szCs w:val="17"/>
          <w:b w:val="1"/>
          <w:bCs w:val="1"/>
          <w:color w:val="auto"/>
        </w:rPr>
        <w:t>.</w:t>
      </w:r>
    </w:p>
    <w:p>
      <w:pPr>
        <w:spacing w:after="0" w:line="180" w:lineRule="exact"/>
        <w:rPr>
          <w:sz w:val="20"/>
          <w:szCs w:val="20"/>
          <w:color w:val="auto"/>
        </w:rPr>
      </w:pPr>
    </w:p>
    <w:p>
      <w:pPr>
        <w:jc w:val="both"/>
        <w:ind w:firstLine="398"/>
        <w:spacing w:after="0" w:line="232" w:lineRule="auto"/>
        <w:rPr>
          <w:sz w:val="20"/>
          <w:szCs w:val="20"/>
          <w:color w:val="auto"/>
        </w:rPr>
      </w:pPr>
      <w:r>
        <w:rPr>
          <w:rFonts w:ascii="Times New Roman" w:cs="Times New Roman" w:eastAsia="Times New Roman" w:hAnsi="Times New Roman"/>
          <w:sz w:val="17"/>
          <w:szCs w:val="17"/>
          <w:color w:val="auto"/>
        </w:rPr>
        <w:t>A significant portion of our revenues comes from the sale of RINs and LCFS credits, which exist because of legal and governmental regulatory requirements. A change in law or in governmental policies concerning renewable fuels, landfill or animal waste site biogas or the sale of RINs and LCFS could be expected to affect the market for, and the pricing of, the RINs and LCFS credits that we can generate through production at our Biogas Conversion Projects. A reduction in the prices we receive for RINs and LCFS credits, or a reduction in demand for RINs or LCFS credits, whether through market forces generally, through the actions of market participants generally, or through the consolidation or elimination of participants competing in the market for the purchase and retirement of RINs or LCFS credits, could have a material adverse effect on our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volatility in the price of oil, gasoline, diesel, natural gas, RNG, or Environmental Attribute prices could adversely affect our business.</w:t>
      </w:r>
    </w:p>
    <w:p>
      <w:pPr>
        <w:spacing w:after="0" w:line="13" w:lineRule="exact"/>
        <w:rPr>
          <w:sz w:val="20"/>
          <w:szCs w:val="20"/>
          <w:color w:val="auto"/>
        </w:rPr>
      </w:pPr>
    </w:p>
    <w:p>
      <w:pPr>
        <w:jc w:val="both"/>
        <w:ind w:firstLine="398"/>
        <w:spacing w:after="0" w:line="228" w:lineRule="auto"/>
        <w:rPr>
          <w:sz w:val="20"/>
          <w:szCs w:val="20"/>
          <w:color w:val="auto"/>
        </w:rPr>
      </w:pPr>
      <w:r>
        <w:rPr>
          <w:rFonts w:ascii="Times New Roman" w:cs="Times New Roman" w:eastAsia="Times New Roman" w:hAnsi="Times New Roman"/>
          <w:sz w:val="17"/>
          <w:szCs w:val="17"/>
          <w:color w:val="auto"/>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 natural gas drilling; (viii) production or transportation techniques and methods; (ix) macro-economic environment and political conditions; (x) transportation costs; and (xi) the price of foreign imports. Specifically, prices for crude oil, which is the commodity used to make gasoline and diesel, have been lower in recent years, due in part to over-production and increased supply without a corresponding increase in demand, and oil prices decreased further in 2020, hitting an all-time low due to the COVID-19 pandemic. More recently, that trend has reversed with oil prices rebounding substantially. Nevertheless, if the prices of crude oil, gasoline and diesel decline again,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40"/>
          </w:cols>
          <w:pgMar w:left="320" w:top="856" w:right="339" w:bottom="1440" w:gutter="0" w:footer="0" w:header="0"/>
        </w:sectPr>
      </w:pPr>
    </w:p>
    <w:bookmarkStart w:id="79" w:name="page80"/>
    <w:bookmarkEnd w:id="79"/>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spacing w:after="0" w:line="19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spacing w:after="0" w:line="192" w:lineRule="exact"/>
        <w:rPr>
          <w:sz w:val="20"/>
          <w:szCs w:val="20"/>
          <w:color w:val="auto"/>
        </w:rPr>
      </w:pPr>
    </w:p>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spacing w:after="0" w:line="195"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7"/>
          <w:szCs w:val="17"/>
          <w:color w:val="auto"/>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spacing w:after="0" w:line="184" w:lineRule="exact"/>
        <w:rPr>
          <w:sz w:val="20"/>
          <w:szCs w:val="20"/>
          <w:color w:val="auto"/>
        </w:rPr>
      </w:pPr>
    </w:p>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currently face declining market prices for LCFS credits specifically within California as well as significant upward pressure on the costs associated with dispensing RNG specifically within California to generate the LCFS credits.</w:t>
      </w:r>
    </w:p>
    <w:p>
      <w:pPr>
        <w:spacing w:after="0" w:line="180" w:lineRule="exact"/>
        <w:rPr>
          <w:sz w:val="20"/>
          <w:szCs w:val="20"/>
          <w:color w:val="auto"/>
        </w:rPr>
      </w:pPr>
    </w:p>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The market prices for LCFS credits specifically within California have declined over the past twelve months,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A prolonged environment of low prices or reduced demand for Renewable Power could have a material adverse effect on our business prospects, financial condition and results of operations</w:t>
      </w:r>
      <w:r>
        <w:rPr>
          <w:rFonts w:ascii="Times New Roman" w:cs="Times New Roman" w:eastAsia="Times New Roman" w:hAnsi="Times New Roman"/>
          <w:sz w:val="17"/>
          <w:szCs w:val="17"/>
          <w:b w:val="1"/>
          <w:bCs w:val="1"/>
          <w:color w:val="auto"/>
        </w:rPr>
        <w:t>.</w:t>
      </w:r>
    </w:p>
    <w:p>
      <w:pPr>
        <w:spacing w:after="0" w:line="180" w:lineRule="exact"/>
        <w:rPr>
          <w:sz w:val="20"/>
          <w:szCs w:val="20"/>
          <w:color w:val="auto"/>
        </w:rPr>
      </w:pPr>
    </w:p>
    <w:p>
      <w:pPr>
        <w:jc w:val="both"/>
        <w:ind w:firstLine="398"/>
        <w:spacing w:after="0" w:line="232" w:lineRule="auto"/>
        <w:rPr>
          <w:sz w:val="20"/>
          <w:szCs w:val="20"/>
          <w:color w:val="auto"/>
        </w:rPr>
      </w:pPr>
      <w:r>
        <w:rPr>
          <w:rFonts w:ascii="Times New Roman" w:cs="Times New Roman" w:eastAsia="Times New Roman" w:hAnsi="Times New Roman"/>
          <w:sz w:val="17"/>
          <w:szCs w:val="17"/>
          <w:color w:val="auto"/>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 or inefficiencies; (iii) power supply disruptions; (iv) weather conditions; (v) seasonal fluctuations; (vi) changes in the demand for power or in patterns of power usage, including the potential development of demand-side management tools and practices; (vi) development of new fuels or new technologies for the production of power; (vii) federal and state regulations; and (viii) actions of the Independent System Operators (“ISOs”) and Regional Transmission Organizations (“RTOs”) that control and administer regional power markets.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40"/>
          </w:cols>
          <w:pgMar w:left="320" w:top="856" w:right="339" w:bottom="1440" w:gutter="0" w:footer="0" w:header="0"/>
        </w:sectPr>
      </w:pPr>
    </w:p>
    <w:bookmarkStart w:id="80" w:name="page81"/>
    <w:bookmarkEnd w:id="80"/>
    <w:p>
      <w:pPr>
        <w:jc w:val="both"/>
        <w:ind w:firstLine="398"/>
        <w:spacing w:after="0" w:line="231" w:lineRule="auto"/>
        <w:rPr>
          <w:sz w:val="20"/>
          <w:szCs w:val="20"/>
          <w:color w:val="auto"/>
        </w:rPr>
      </w:pPr>
      <w:r>
        <w:rPr>
          <w:rFonts w:ascii="Times New Roman" w:cs="Times New Roman" w:eastAsia="Times New Roman" w:hAnsi="Times New Roman"/>
          <w:sz w:val="17"/>
          <w:szCs w:val="17"/>
          <w:color w:val="auto"/>
        </w:rPr>
        <w:t>The volume and composition of LFG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LFG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spacing w:after="0" w:line="196" w:lineRule="exact"/>
        <w:rPr>
          <w:sz w:val="20"/>
          <w:szCs w:val="20"/>
          <w:color w:val="auto"/>
        </w:rPr>
      </w:pPr>
    </w:p>
    <w:p>
      <w:pPr>
        <w:jc w:val="both"/>
        <w:ind w:firstLine="398"/>
        <w:spacing w:after="0" w:line="241" w:lineRule="auto"/>
        <w:rPr>
          <w:sz w:val="20"/>
          <w:szCs w:val="20"/>
          <w:color w:val="auto"/>
        </w:rPr>
      </w:pPr>
      <w:r>
        <w:rPr>
          <w:rFonts w:ascii="Times New Roman" w:cs="Times New Roman" w:eastAsia="Times New Roman" w:hAnsi="Times New Roman"/>
          <w:sz w:val="17"/>
          <w:szCs w:val="17"/>
          <w:color w:val="auto"/>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spacing w:after="0" w:line="194"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7"/>
          <w:szCs w:val="17"/>
          <w:color w:val="auto"/>
        </w:rPr>
        <w:t>It is possible that this deployment of capital may lead to advances which could adversely affect our sources of LFG or provide new or alternative methods of waste disposal or energy generation that become more accepted, or more attractive, than landfills.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currently use, and may continue in the future to use, forward-sale and hedging arrangements, to mitigate certain risks, but the use of such arrangements could have a material adverse effect on our results of operations.</w:t>
      </w:r>
    </w:p>
    <w:p>
      <w:pPr>
        <w:spacing w:after="0" w:line="180" w:lineRule="exact"/>
        <w:rPr>
          <w:sz w:val="20"/>
          <w:szCs w:val="20"/>
          <w:color w:val="auto"/>
        </w:rPr>
      </w:pPr>
    </w:p>
    <w:p>
      <w:pPr>
        <w:jc w:val="both"/>
        <w:ind w:firstLine="398"/>
        <w:spacing w:after="0" w:line="231" w:lineRule="auto"/>
        <w:rPr>
          <w:sz w:val="20"/>
          <w:szCs w:val="20"/>
          <w:color w:val="auto"/>
        </w:rPr>
      </w:pPr>
      <w:r>
        <w:rPr>
          <w:rFonts w:ascii="Times New Roman" w:cs="Times New Roman" w:eastAsia="Times New Roman" w:hAnsi="Times New Roman"/>
          <w:sz w:val="17"/>
          <w:szCs w:val="17"/>
          <w:color w:val="auto"/>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Business and Industry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Additional Risk Factors Relating to Our Biogas Capture Business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ability to acquire, convert, develop and operate Biogas Conversion Projects, as well as expand production at current Biogas Conversion Projects, is subject to many risks.</w:t>
      </w:r>
    </w:p>
    <w:p>
      <w:pPr>
        <w:spacing w:after="0" w:line="180" w:lineRule="exact"/>
        <w:rPr>
          <w:sz w:val="20"/>
          <w:szCs w:val="20"/>
          <w:color w:val="auto"/>
        </w:rPr>
      </w:pPr>
    </w:p>
    <w:p>
      <w:pPr>
        <w:jc w:val="both"/>
        <w:ind w:firstLine="398"/>
        <w:spacing w:after="0" w:line="231" w:lineRule="auto"/>
        <w:rPr>
          <w:sz w:val="20"/>
          <w:szCs w:val="20"/>
          <w:color w:val="auto"/>
        </w:rPr>
      </w:pPr>
      <w:r>
        <w:rPr>
          <w:rFonts w:ascii="Times New Roman" w:cs="Times New Roman" w:eastAsia="Times New Roman" w:hAnsi="Times New Roman"/>
          <w:sz w:val="17"/>
          <w:szCs w:val="17"/>
          <w:color w:val="auto"/>
        </w:rPr>
        <w:t>Our business strategy includes (i) the conversion of LFG projects from Renewable Power to RNG production where we already controls biogas gas rights, (ii) growth through the procurement of LFG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spacing w:after="0" w:line="199"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6"/>
          <w:szCs w:val="16"/>
          <w:color w:val="auto"/>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40"/>
          </w:cols>
          <w:pgMar w:left="320" w:top="856" w:right="339" w:bottom="1440" w:gutter="0" w:footer="0" w:header="0"/>
        </w:sectPr>
      </w:pPr>
    </w:p>
    <w:bookmarkStart w:id="81" w:name="page82"/>
    <w:bookmarkEnd w:id="81"/>
    <w:p>
      <w:pPr>
        <w:spacing w:after="0" w:line="253" w:lineRule="auto"/>
        <w:rPr>
          <w:sz w:val="20"/>
          <w:szCs w:val="20"/>
          <w:color w:val="auto"/>
        </w:rPr>
      </w:pPr>
      <w:r>
        <w:rPr>
          <w:rFonts w:ascii="Times New Roman" w:cs="Times New Roman" w:eastAsia="Times New Roman" w:hAnsi="Times New Roman"/>
          <w:sz w:val="17"/>
          <w:szCs w:val="17"/>
          <w:color w:val="auto"/>
        </w:rPr>
        <w:t>existing projects, there may be a gap in revenue while the electricity project is offline until the conversion is completed and the new RNG facility commences operations, which may adversely affect our financial condition and results of operations.</w:t>
      </w:r>
    </w:p>
    <w:p>
      <w:pPr>
        <w:spacing w:after="0" w:line="184" w:lineRule="exact"/>
        <w:rPr>
          <w:sz w:val="20"/>
          <w:szCs w:val="20"/>
          <w:color w:val="auto"/>
        </w:rPr>
      </w:pPr>
    </w:p>
    <w:p>
      <w:pPr>
        <w:ind w:firstLine="398"/>
        <w:spacing w:after="0" w:line="253" w:lineRule="auto"/>
        <w:rPr>
          <w:sz w:val="20"/>
          <w:szCs w:val="20"/>
          <w:color w:val="auto"/>
        </w:rPr>
      </w:pPr>
      <w:r>
        <w:rPr>
          <w:rFonts w:ascii="Times New Roman" w:cs="Times New Roman" w:eastAsia="Times New Roman" w:hAnsi="Times New Roman"/>
          <w:sz w:val="17"/>
          <w:szCs w:val="17"/>
          <w:color w:val="auto"/>
        </w:rPr>
        <w:t>Our ability to acquire, convert, develop and operate Biogas Conversion Projects, as well as expand production at current Biogas Conversion Projects, is subject to several additional risks, including:</w:t>
      </w:r>
    </w:p>
    <w:p>
      <w:pPr>
        <w:spacing w:after="0" w:line="184" w:lineRule="exact"/>
        <w:rPr>
          <w:sz w:val="20"/>
          <w:szCs w:val="20"/>
          <w:color w:val="auto"/>
        </w:rPr>
      </w:pPr>
    </w:p>
    <w:p>
      <w:pPr>
        <w:ind w:firstLine="397"/>
        <w:spacing w:after="0" w:line="239" w:lineRule="auto"/>
        <w:tabs>
          <w:tab w:leader="none" w:pos="49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p>
      <w:pPr>
        <w:spacing w:after="0" w:line="1" w:lineRule="exact"/>
        <w:rPr>
          <w:rFonts w:ascii="Times New Roman" w:cs="Times New Roman" w:eastAsia="Times New Roman" w:hAnsi="Times New Roman"/>
          <w:sz w:val="17"/>
          <w:szCs w:val="17"/>
          <w:color w:val="auto"/>
        </w:rPr>
      </w:pPr>
    </w:p>
    <w:p>
      <w:pPr>
        <w:ind w:left="500" w:hanging="103"/>
        <w:spacing w:after="0" w:line="227" w:lineRule="auto"/>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energy commodity prices, such as natural gas and wholesale electricity prices, which could have a significant effect on our revenues and expenses;</w:t>
      </w:r>
    </w:p>
    <w:p>
      <w:pPr>
        <w:ind w:firstLine="397"/>
        <w:spacing w:after="0" w:line="228" w:lineRule="auto"/>
        <w:tabs>
          <w:tab w:leader="none" w:pos="50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pipeline gas quality standards or other regulatory changes that may limit our ability to transport RNG on pipelines for delivery to third parties or increase the costs of processing RNG to allow for such deliveries;</w:t>
      </w:r>
    </w:p>
    <w:p>
      <w:pPr>
        <w:spacing w:after="0" w:line="1" w:lineRule="exact"/>
        <w:rPr>
          <w:rFonts w:ascii="Times New Roman" w:cs="Times New Roman" w:eastAsia="Times New Roman" w:hAnsi="Times New Roman"/>
          <w:sz w:val="17"/>
          <w:szCs w:val="17"/>
          <w:color w:val="auto"/>
        </w:rPr>
      </w:pPr>
    </w:p>
    <w:p>
      <w:pPr>
        <w:ind w:firstLine="397"/>
        <w:spacing w:after="0" w:line="228" w:lineRule="auto"/>
        <w:tabs>
          <w:tab w:leader="none" w:pos="49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broader waste collection industry, including changes affecting the waste collection and biogas potential of the landfill industry, which could limit the LFG resource that we currently target for our Biogas Conversion Projects;</w:t>
      </w:r>
    </w:p>
    <w:p>
      <w:pPr>
        <w:spacing w:after="0" w:line="1" w:lineRule="exact"/>
        <w:rPr>
          <w:rFonts w:ascii="Times New Roman" w:cs="Times New Roman" w:eastAsia="Times New Roman" w:hAnsi="Times New Roman"/>
          <w:sz w:val="17"/>
          <w:szCs w:val="17"/>
          <w:color w:val="auto"/>
        </w:rPr>
      </w:pPr>
    </w:p>
    <w:p>
      <w:pPr>
        <w:ind w:firstLine="397"/>
        <w:spacing w:after="0" w:line="228" w:lineRule="auto"/>
        <w:tabs>
          <w:tab w:leader="none" w:pos="52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w:t>
      </w:r>
    </w:p>
    <w:p>
      <w:pPr>
        <w:spacing w:after="0" w:line="1" w:lineRule="exact"/>
        <w:rPr>
          <w:rFonts w:ascii="Times New Roman" w:cs="Times New Roman" w:eastAsia="Times New Roman" w:hAnsi="Times New Roman"/>
          <w:sz w:val="17"/>
          <w:szCs w:val="17"/>
          <w:color w:val="auto"/>
        </w:rPr>
      </w:pPr>
    </w:p>
    <w:p>
      <w:pPr>
        <w:jc w:val="both"/>
        <w:ind w:firstLine="397"/>
        <w:spacing w:after="0" w:line="228" w:lineRule="auto"/>
        <w:tabs>
          <w:tab w:leader="none" w:pos="49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risks and the effect of disruptions on our business, including the effects of global health crises, such as the COVID-19 pandemic, weather conditions, catastrophic events, such as fires, explosions, earthquakes, droughts and acts of terrorism, and other force majeure events that impact us, our counterparties, suppliers, distributors and subcontractors;</w:t>
      </w:r>
    </w:p>
    <w:p>
      <w:pPr>
        <w:spacing w:after="0" w:line="2" w:lineRule="exact"/>
        <w:rPr>
          <w:rFonts w:ascii="Times New Roman" w:cs="Times New Roman" w:eastAsia="Times New Roman" w:hAnsi="Times New Roman"/>
          <w:sz w:val="17"/>
          <w:szCs w:val="17"/>
          <w:color w:val="auto"/>
        </w:rPr>
      </w:pPr>
    </w:p>
    <w:p>
      <w:pPr>
        <w:ind w:left="500" w:hanging="103"/>
        <w:spacing w:after="0" w:line="228" w:lineRule="auto"/>
        <w:tabs>
          <w:tab w:leader="none" w:pos="5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accidents involving personal injury or the loss of life;</w:t>
      </w:r>
    </w:p>
    <w:p>
      <w:pPr>
        <w:ind w:left="500" w:hanging="103"/>
        <w:spacing w:after="0" w:line="228" w:lineRule="auto"/>
        <w:tabs>
          <w:tab w:leader="none" w:pos="5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entering into markets where we have less experience, such as our Biogas Conversion Projects for biogas recovery at livestock farms;</w:t>
      </w:r>
    </w:p>
    <w:p>
      <w:pPr>
        <w:ind w:firstLine="397"/>
        <w:spacing w:after="0" w:line="221" w:lineRule="auto"/>
        <w:tabs>
          <w:tab w:leader="none" w:pos="49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p>
      <w:pPr>
        <w:ind w:left="500" w:hanging="103"/>
        <w:spacing w:after="0" w:line="228" w:lineRule="auto"/>
        <w:tabs>
          <w:tab w:leader="none" w:pos="5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failures or delays in obtaining desired or necessary land rights, including ownership, leases, easements, zoning rights and building permits;</w:t>
      </w:r>
    </w:p>
    <w:p>
      <w:pPr>
        <w:ind w:firstLine="397"/>
        <w:spacing w:after="0" w:line="228" w:lineRule="auto"/>
        <w:tabs>
          <w:tab w:leader="none" w:pos="52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p>
      <w:pPr>
        <w:spacing w:after="0" w:line="1" w:lineRule="exact"/>
        <w:rPr>
          <w:rFonts w:ascii="Times New Roman" w:cs="Times New Roman" w:eastAsia="Times New Roman" w:hAnsi="Times New Roman"/>
          <w:sz w:val="17"/>
          <w:szCs w:val="17"/>
          <w:color w:val="auto"/>
        </w:rPr>
      </w:pPr>
    </w:p>
    <w:p>
      <w:pPr>
        <w:ind w:left="500" w:hanging="103"/>
        <w:spacing w:after="0"/>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keeping in good standing permits, authorizations and consents from local city, county, state and US federal government agencies and organizations;</w:t>
      </w:r>
    </w:p>
    <w:p>
      <w:pPr>
        <w:spacing w:after="0" w:line="2" w:lineRule="exact"/>
        <w:rPr>
          <w:rFonts w:ascii="Times New Roman" w:cs="Times New Roman" w:eastAsia="Times New Roman" w:hAnsi="Times New Roman"/>
          <w:sz w:val="16"/>
          <w:szCs w:val="16"/>
          <w:color w:val="auto"/>
        </w:rPr>
      </w:pPr>
    </w:p>
    <w:p>
      <w:pPr>
        <w:ind w:firstLine="397"/>
        <w:spacing w:after="0" w:line="228" w:lineRule="auto"/>
        <w:tabs>
          <w:tab w:leader="none" w:pos="49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penalties, including potential termination, under short-term and long-term contracts for failing to produce or deliver a sufficient quantity and acceptable quality of RNG in accordance with our contractual obligations;</w:t>
      </w:r>
    </w:p>
    <w:p>
      <w:pPr>
        <w:spacing w:after="0" w:line="1" w:lineRule="exact"/>
        <w:rPr>
          <w:rFonts w:ascii="Times New Roman" w:cs="Times New Roman" w:eastAsia="Times New Roman" w:hAnsi="Times New Roman"/>
          <w:sz w:val="17"/>
          <w:szCs w:val="17"/>
          <w:color w:val="auto"/>
        </w:rPr>
      </w:pPr>
    </w:p>
    <w:p>
      <w:pPr>
        <w:ind w:left="500" w:hanging="103"/>
        <w:spacing w:after="0"/>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unknown regulatory changes related to the transportation of RNG, which may increase the transportation cost for delivering under our contracts then in effect;</w:t>
      </w:r>
    </w:p>
    <w:p>
      <w:pPr>
        <w:spacing w:after="0" w:line="2" w:lineRule="exact"/>
        <w:rPr>
          <w:rFonts w:ascii="Times New Roman" w:cs="Times New Roman" w:eastAsia="Times New Roman" w:hAnsi="Times New Roman"/>
          <w:sz w:val="16"/>
          <w:szCs w:val="16"/>
          <w:color w:val="auto"/>
        </w:rPr>
      </w:pPr>
    </w:p>
    <w:p>
      <w:pPr>
        <w:ind w:firstLine="397"/>
        <w:spacing w:after="0" w:line="228" w:lineRule="auto"/>
        <w:tabs>
          <w:tab w:leader="none" w:pos="49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consent and authorization of local utilities or other energy development off-takers to ensure successful interconnection to energy grids to enable power and gas sales; and</w:t>
      </w:r>
    </w:p>
    <w:p>
      <w:pPr>
        <w:spacing w:after="0" w:line="1" w:lineRule="exact"/>
        <w:rPr>
          <w:rFonts w:ascii="Times New Roman" w:cs="Times New Roman" w:eastAsia="Times New Roman" w:hAnsi="Times New Roman"/>
          <w:sz w:val="17"/>
          <w:szCs w:val="17"/>
          <w:color w:val="auto"/>
        </w:rPr>
      </w:pPr>
    </w:p>
    <w:p>
      <w:pPr>
        <w:ind w:left="500" w:hanging="103"/>
        <w:spacing w:after="0"/>
        <w:tabs>
          <w:tab w:leader="none" w:pos="5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identifying, obtaining and permitting suitable sites for new Biogas Conversion Projects.</w:t>
      </w:r>
    </w:p>
    <w:p>
      <w:pPr>
        <w:spacing w:after="0" w:line="197"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7"/>
          <w:szCs w:val="17"/>
          <w:color w:val="auto"/>
        </w:rPr>
        <w:t>Any of these factors could prevent us from acquiring, developing, converting, operating or expanding our Biogas Conversion Projects, or otherwise adversely affect our business, growth potential, financial condition and results of operations.</w:t>
      </w:r>
    </w:p>
    <w:p>
      <w:pPr>
        <w:spacing w:after="0" w:line="184" w:lineRule="exact"/>
        <w:rPr>
          <w:sz w:val="20"/>
          <w:szCs w:val="20"/>
          <w:color w:val="auto"/>
        </w:rPr>
      </w:pPr>
    </w:p>
    <w:p>
      <w:pPr>
        <w:jc w:val="both"/>
        <w:ind w:firstLine="398"/>
        <w:spacing w:after="0" w:line="239" w:lineRule="auto"/>
        <w:rPr>
          <w:sz w:val="20"/>
          <w:szCs w:val="20"/>
          <w:color w:val="auto"/>
        </w:rPr>
      </w:pPr>
      <w:r>
        <w:rPr>
          <w:rFonts w:ascii="Times New Roman" w:cs="Times New Roman" w:eastAsia="Times New Roman" w:hAnsi="Times New Roman"/>
          <w:sz w:val="17"/>
          <w:szCs w:val="17"/>
          <w:color w:val="auto"/>
        </w:rPr>
        <w:t>Multiple factors, including lower levels of gas collection and delays in commencement and completion of construction, have negatively impacted our business during the nine months ended September 30, 2022. While we continue to execute on our business plan, we expect these factors to continue during 2023.</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Acquiring Biogas Conversion Projects involves numerous risks, including potential exposure to pre-existing liabilities, unanticipated costs in acquiring and implementing the project, and lack of or limited experience in new geographic markets.</w:t>
      </w:r>
    </w:p>
    <w:p>
      <w:pPr>
        <w:spacing w:after="0" w:line="180" w:lineRule="exact"/>
        <w:rPr>
          <w:sz w:val="20"/>
          <w:szCs w:val="20"/>
          <w:color w:val="auto"/>
        </w:rPr>
      </w:pPr>
    </w:p>
    <w:p>
      <w:pPr>
        <w:jc w:val="both"/>
        <w:ind w:firstLine="398"/>
        <w:spacing w:after="0" w:line="236" w:lineRule="auto"/>
        <w:rPr>
          <w:sz w:val="20"/>
          <w:szCs w:val="20"/>
          <w:color w:val="auto"/>
        </w:rPr>
      </w:pPr>
      <w:r>
        <w:rPr>
          <w:rFonts w:ascii="Times New Roman" w:cs="Times New Roman" w:eastAsia="Times New Roman" w:hAnsi="Times New Roman"/>
          <w:sz w:val="17"/>
          <w:szCs w:val="17"/>
          <w:color w:val="auto"/>
        </w:rPr>
        <w:t>The acquisition of existing Biogas Conversion Projects involves numerous risks, many of which may be indiscoverable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40"/>
          </w:cols>
          <w:pgMar w:left="320" w:top="856" w:right="339" w:bottom="1440" w:gutter="0" w:footer="0" w:header="0"/>
        </w:sectPr>
      </w:pPr>
    </w:p>
    <w:bookmarkStart w:id="82" w:name="page83"/>
    <w:bookmarkEnd w:id="82"/>
    <w:p>
      <w:pPr>
        <w:jc w:val="both"/>
        <w:ind w:left="1"/>
        <w:spacing w:after="0" w:line="241" w:lineRule="auto"/>
        <w:rPr>
          <w:sz w:val="20"/>
          <w:szCs w:val="20"/>
          <w:color w:val="auto"/>
        </w:rPr>
      </w:pPr>
      <w:r>
        <w:rPr>
          <w:rFonts w:ascii="Times New Roman" w:cs="Times New Roman" w:eastAsia="Times New Roman" w:hAnsi="Times New Roman"/>
          <w:sz w:val="17"/>
          <w:szCs w:val="17"/>
          <w:color w:val="auto"/>
        </w:rPr>
        <w:t>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spacing w:after="0" w:line="194" w:lineRule="exact"/>
        <w:rPr>
          <w:sz w:val="20"/>
          <w:szCs w:val="20"/>
          <w:color w:val="auto"/>
        </w:rPr>
      </w:pPr>
    </w:p>
    <w:p>
      <w:pPr>
        <w:ind w:left="401"/>
        <w:spacing w:after="0"/>
        <w:rPr>
          <w:sz w:val="20"/>
          <w:szCs w:val="20"/>
          <w:color w:val="auto"/>
        </w:rPr>
      </w:pPr>
      <w:r>
        <w:rPr>
          <w:rFonts w:ascii="Times New Roman" w:cs="Times New Roman" w:eastAsia="Times New Roman" w:hAnsi="Times New Roman"/>
          <w:sz w:val="17"/>
          <w:szCs w:val="17"/>
          <w:color w:val="auto"/>
        </w:rPr>
        <w:t>Additional risks related to acquiring existing projects, include:</w:t>
      </w:r>
    </w:p>
    <w:p>
      <w:pPr>
        <w:ind w:left="501" w:hanging="103"/>
        <w:spacing w:after="0"/>
        <w:tabs>
          <w:tab w:leader="none" w:pos="50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price we pay could significantly deplete our cash reserves or result in dilution to our existing stockholders;</w:t>
      </w:r>
    </w:p>
    <w:p>
      <w:pPr>
        <w:ind w:left="501" w:hanging="103"/>
        <w:spacing w:after="0" w:line="228" w:lineRule="auto"/>
        <w:tabs>
          <w:tab w:leader="none" w:pos="50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acquired companies or assets may not improve our customer offerings or market position as planned;</w:t>
      </w:r>
    </w:p>
    <w:p>
      <w:pPr>
        <w:ind w:left="501" w:hanging="103"/>
        <w:spacing w:after="0" w:line="213" w:lineRule="auto"/>
        <w:tabs>
          <w:tab w:leader="none" w:pos="50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difficulty integrating the operations and personnel of the acquired companies;</w:t>
      </w:r>
    </w:p>
    <w:p>
      <w:pPr>
        <w:ind w:left="521" w:hanging="123"/>
        <w:spacing w:after="0" w:line="228" w:lineRule="auto"/>
        <w:tabs>
          <w:tab w:leader="none" w:pos="52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key personnel and counterparties of the acquired companies may terminate their relationships with the acquired companies as a result of or following the</w:t>
      </w:r>
    </w:p>
    <w:p>
      <w:pPr>
        <w:ind w:left="1"/>
        <w:spacing w:after="0" w:line="229" w:lineRule="auto"/>
        <w:rPr>
          <w:sz w:val="20"/>
          <w:szCs w:val="20"/>
          <w:color w:val="auto"/>
        </w:rPr>
      </w:pPr>
      <w:r>
        <w:rPr>
          <w:rFonts w:ascii="Times New Roman" w:cs="Times New Roman" w:eastAsia="Times New Roman" w:hAnsi="Times New Roman"/>
          <w:sz w:val="17"/>
          <w:szCs w:val="17"/>
          <w:color w:val="auto"/>
        </w:rPr>
        <w:t>acquisition;</w:t>
      </w:r>
    </w:p>
    <w:p>
      <w:pPr>
        <w:ind w:left="501" w:hanging="103"/>
        <w:spacing w:after="0" w:line="229" w:lineRule="auto"/>
        <w:tabs>
          <w:tab w:leader="none" w:pos="50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additional financial and accounting challenges and complexities in certain areas, such as tax planning and financial reporting;</w:t>
      </w:r>
    </w:p>
    <w:p>
      <w:pPr>
        <w:ind w:left="501" w:hanging="103"/>
        <w:spacing w:after="0" w:line="228" w:lineRule="auto"/>
        <w:tabs>
          <w:tab w:leader="none" w:pos="50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incur additional costs and expenses related to complying with additional laws, rules or regulations in new jurisdictions;</w:t>
      </w:r>
    </w:p>
    <w:p>
      <w:pPr>
        <w:ind w:left="1" w:firstLine="397"/>
        <w:spacing w:after="0" w:line="228" w:lineRule="auto"/>
        <w:tabs>
          <w:tab w:leader="none" w:pos="49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assume or be held liable for risks and liabilities (including for environmental-related costs) as a result of our acquisitions, some of which we may not discover during our due diligence or adequately adjust for in our acquisition arrangements;</w:t>
      </w:r>
    </w:p>
    <w:p>
      <w:pPr>
        <w:spacing w:after="0" w:line="1" w:lineRule="exact"/>
        <w:rPr>
          <w:rFonts w:ascii="Times New Roman" w:cs="Times New Roman" w:eastAsia="Times New Roman" w:hAnsi="Times New Roman"/>
          <w:sz w:val="17"/>
          <w:szCs w:val="17"/>
          <w:color w:val="auto"/>
        </w:rPr>
      </w:pPr>
    </w:p>
    <w:p>
      <w:pPr>
        <w:ind w:left="1" w:firstLine="397"/>
        <w:spacing w:after="0" w:line="228" w:lineRule="auto"/>
        <w:tabs>
          <w:tab w:leader="none" w:pos="49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ongoing business and management’s attention may be disrupted or diverted by transition or integration issues and the complexity of managing geographically diverse enterprises;</w:t>
      </w:r>
    </w:p>
    <w:p>
      <w:pPr>
        <w:spacing w:after="0" w:line="1" w:lineRule="exact"/>
        <w:rPr>
          <w:rFonts w:ascii="Times New Roman" w:cs="Times New Roman" w:eastAsia="Times New Roman" w:hAnsi="Times New Roman"/>
          <w:sz w:val="17"/>
          <w:szCs w:val="17"/>
          <w:color w:val="auto"/>
        </w:rPr>
      </w:pPr>
    </w:p>
    <w:p>
      <w:pPr>
        <w:ind w:left="501" w:hanging="103"/>
        <w:spacing w:after="0" w:line="228" w:lineRule="auto"/>
        <w:tabs>
          <w:tab w:leader="none" w:pos="50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incur one-time write-offs or restructuring charges in connection with an acquisition;</w:t>
      </w:r>
    </w:p>
    <w:p>
      <w:pPr>
        <w:ind w:left="501" w:hanging="103"/>
        <w:spacing w:after="0" w:line="228" w:lineRule="auto"/>
        <w:tabs>
          <w:tab w:leader="none" w:pos="50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acquire goodwill and other intangible assets that are subject to amortization or impairment tests, which could result in future charges to earnings; and</w:t>
      </w:r>
    </w:p>
    <w:p>
      <w:pPr>
        <w:ind w:left="501" w:hanging="103"/>
        <w:spacing w:after="0"/>
        <w:tabs>
          <w:tab w:leader="none" w:pos="50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realize the cost savings or other financial benefits we anticipated.</w:t>
      </w:r>
    </w:p>
    <w:p>
      <w:pPr>
        <w:spacing w:after="0" w:line="193" w:lineRule="exact"/>
        <w:rPr>
          <w:sz w:val="20"/>
          <w:szCs w:val="20"/>
          <w:color w:val="auto"/>
        </w:rPr>
      </w:pPr>
    </w:p>
    <w:p>
      <w:pPr>
        <w:jc w:val="both"/>
        <w:ind w:left="1"/>
        <w:spacing w:after="0" w:line="237" w:lineRule="auto"/>
        <w:rPr>
          <w:sz w:val="20"/>
          <w:szCs w:val="20"/>
          <w:color w:val="auto"/>
        </w:rPr>
      </w:pPr>
      <w:r>
        <w:rPr>
          <w:rFonts w:ascii="Times New Roman" w:cs="Times New Roman" w:eastAsia="Times New Roman" w:hAnsi="Times New Roman"/>
          <w:sz w:val="17"/>
          <w:szCs w:val="17"/>
          <w:b w:val="1"/>
          <w:bCs w:val="1"/>
          <w:i w:val="1"/>
          <w:iCs w:val="1"/>
          <w:color w:val="auto"/>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spacing w:after="0" w:line="196" w:lineRule="exact"/>
        <w:rPr>
          <w:sz w:val="20"/>
          <w:szCs w:val="20"/>
          <w:color w:val="auto"/>
        </w:rPr>
      </w:pPr>
    </w:p>
    <w:p>
      <w:pPr>
        <w:jc w:val="both"/>
        <w:ind w:left="1" w:firstLine="398"/>
        <w:spacing w:after="0" w:line="233" w:lineRule="auto"/>
        <w:rPr>
          <w:sz w:val="20"/>
          <w:szCs w:val="20"/>
          <w:color w:val="auto"/>
        </w:rPr>
      </w:pPr>
      <w:r>
        <w:rPr>
          <w:rFonts w:ascii="Times New Roman" w:cs="Times New Roman" w:eastAsia="Times New Roman" w:hAnsi="Times New Roman"/>
          <w:sz w:val="17"/>
          <w:szCs w:val="17"/>
          <w:color w:val="auto"/>
        </w:rPr>
        <w:t>The ongoing operation of our Biogas Conversion Projects involves risks that include the breakdown or failure of equipment or processes or performance below expected levels of output or efficiency due to wear and tear of our 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spacing w:after="0" w:line="197" w:lineRule="exact"/>
        <w:rPr>
          <w:sz w:val="20"/>
          <w:szCs w:val="20"/>
          <w:color w:val="auto"/>
        </w:rPr>
      </w:pPr>
    </w:p>
    <w:p>
      <w:pPr>
        <w:jc w:val="both"/>
        <w:ind w:left="1" w:firstLine="398"/>
        <w:spacing w:after="0" w:line="233" w:lineRule="auto"/>
        <w:rPr>
          <w:sz w:val="20"/>
          <w:szCs w:val="20"/>
          <w:color w:val="auto"/>
        </w:rPr>
      </w:pPr>
      <w:r>
        <w:rPr>
          <w:rFonts w:ascii="Times New Roman" w:cs="Times New Roman" w:eastAsia="Times New Roman" w:hAnsi="Times New Roman"/>
          <w:sz w:val="17"/>
          <w:szCs w:val="17"/>
          <w:color w:val="auto"/>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spacing w:after="0" w:line="191" w:lineRule="exact"/>
        <w:rPr>
          <w:sz w:val="20"/>
          <w:szCs w:val="20"/>
          <w:color w:val="auto"/>
        </w:rPr>
      </w:pPr>
    </w:p>
    <w:p>
      <w:pPr>
        <w:jc w:val="both"/>
        <w:ind w:left="1"/>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or performance under associated dispensing agreements.</w:t>
      </w:r>
    </w:p>
    <w:p>
      <w:pPr>
        <w:spacing w:after="0" w:line="193" w:lineRule="exact"/>
        <w:rPr>
          <w:sz w:val="20"/>
          <w:szCs w:val="20"/>
          <w:color w:val="auto"/>
        </w:rPr>
      </w:pPr>
    </w:p>
    <w:p>
      <w:pPr>
        <w:jc w:val="both"/>
        <w:ind w:left="1" w:firstLine="398"/>
        <w:spacing w:after="0" w:line="254" w:lineRule="auto"/>
        <w:rPr>
          <w:sz w:val="20"/>
          <w:szCs w:val="20"/>
          <w:color w:val="auto"/>
        </w:rPr>
      </w:pPr>
      <w:r>
        <w:rPr>
          <w:rFonts w:ascii="Times New Roman" w:cs="Times New Roman" w:eastAsia="Times New Roman" w:hAnsi="Times New Roman"/>
          <w:sz w:val="16"/>
          <w:szCs w:val="16"/>
          <w:color w:val="auto"/>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w:t>
      </w:r>
    </w:p>
    <w:p>
      <w:pPr>
        <w:spacing w:after="0" w:line="1" w:lineRule="exact"/>
        <w:rPr>
          <w:sz w:val="20"/>
          <w:szCs w:val="20"/>
          <w:color w:val="auto"/>
        </w:rPr>
      </w:pPr>
    </w:p>
    <w:p>
      <w:pPr>
        <w:jc w:val="both"/>
        <w:ind w:left="1" w:hanging="1"/>
        <w:spacing w:after="0" w:line="233" w:lineRule="auto"/>
        <w:tabs>
          <w:tab w:leader="none" w:pos="303"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41"/>
          </w:cols>
          <w:pgMar w:left="319" w:top="856" w:right="339" w:bottom="1440" w:gutter="0" w:footer="0" w:header="0"/>
        </w:sectPr>
      </w:pPr>
    </w:p>
    <w:bookmarkStart w:id="83" w:name="page84"/>
    <w:bookmarkEnd w:id="83"/>
    <w:p>
      <w:pPr>
        <w:jc w:val="both"/>
        <w:ind w:firstLine="398"/>
        <w:spacing w:after="0" w:line="246" w:lineRule="auto"/>
        <w:rPr>
          <w:sz w:val="20"/>
          <w:szCs w:val="20"/>
          <w:color w:val="auto"/>
        </w:rPr>
      </w:pPr>
      <w:r>
        <w:rPr>
          <w:rFonts w:ascii="Times New Roman" w:cs="Times New Roman" w:eastAsia="Times New Roman" w:hAnsi="Times New Roman"/>
          <w:sz w:val="16"/>
          <w:szCs w:val="16"/>
          <w:color w:val="auto"/>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including the ongoing COVID-19 pandemic, (iii) construction delays, (iv) 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Construction, development and operation of our Biogas Conversion Projects involves significant risks and hazards.</w:t>
      </w:r>
    </w:p>
    <w:p>
      <w:pPr>
        <w:spacing w:after="0" w:line="219" w:lineRule="exact"/>
        <w:rPr>
          <w:sz w:val="20"/>
          <w:szCs w:val="20"/>
          <w:color w:val="auto"/>
        </w:rPr>
      </w:pPr>
    </w:p>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spacing w:after="0" w:line="199" w:lineRule="exact"/>
        <w:rPr>
          <w:sz w:val="20"/>
          <w:szCs w:val="20"/>
          <w:color w:val="auto"/>
        </w:rPr>
      </w:pPr>
    </w:p>
    <w:p>
      <w:pPr>
        <w:jc w:val="both"/>
        <w:ind w:firstLine="398"/>
        <w:spacing w:after="0" w:line="231" w:lineRule="auto"/>
        <w:rPr>
          <w:sz w:val="20"/>
          <w:szCs w:val="20"/>
          <w:color w:val="auto"/>
        </w:rPr>
      </w:pPr>
      <w:r>
        <w:rPr>
          <w:rFonts w:ascii="Times New Roman" w:cs="Times New Roman" w:eastAsia="Times New Roman" w:hAnsi="Times New Roman"/>
          <w:sz w:val="17"/>
          <w:szCs w:val="17"/>
          <w:color w:val="auto"/>
        </w:rPr>
        <w:t>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spacing w:after="0" w:line="198" w:lineRule="exact"/>
        <w:rPr>
          <w:sz w:val="20"/>
          <w:szCs w:val="20"/>
          <w:color w:val="auto"/>
        </w:rPr>
      </w:pPr>
    </w:p>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Furthermore, some of our facilities are located in areas prone to extreme weather conditions, most notably extreme cold such as has recently occurred in Texas, Oklahoma, Michigan and Minnesota.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spacing w:after="0" w:line="199" w:lineRule="exact"/>
        <w:rPr>
          <w:sz w:val="20"/>
          <w:szCs w:val="20"/>
          <w:color w:val="auto"/>
        </w:rPr>
      </w:pPr>
    </w:p>
    <w:p>
      <w:pPr>
        <w:jc w:val="both"/>
        <w:ind w:firstLine="398"/>
        <w:spacing w:after="0" w:line="231" w:lineRule="auto"/>
        <w:rPr>
          <w:sz w:val="20"/>
          <w:szCs w:val="20"/>
          <w:color w:val="auto"/>
        </w:rPr>
      </w:pPr>
      <w:r>
        <w:rPr>
          <w:rFonts w:ascii="Times New Roman" w:cs="Times New Roman" w:eastAsia="Times New Roman" w:hAnsi="Times New Roman"/>
          <w:sz w:val="17"/>
          <w:szCs w:val="17"/>
          <w:color w:val="auto"/>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failure to dispense a specified quality or quantity of RNG could have a material adverse effect on our financial condition and results of operations, by subjecting us to, among other things, possible penalties or terminations under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40"/>
          </w:cols>
          <w:pgMar w:left="320" w:top="1080" w:right="339" w:bottom="1440" w:gutter="0" w:footer="0" w:header="0"/>
        </w:sectPr>
      </w:pPr>
    </w:p>
    <w:bookmarkStart w:id="84" w:name="page85"/>
    <w:bookmarkEnd w:id="84"/>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the various contractual arrangements under which we operate, including pursuant to a purchase and sale agreement related to the sale of our Environmental Attributes.</w:t>
      </w:r>
    </w:p>
    <w:p>
      <w:pPr>
        <w:spacing w:after="0" w:line="180" w:lineRule="exact"/>
        <w:rPr>
          <w:sz w:val="20"/>
          <w:szCs w:val="20"/>
          <w:color w:val="auto"/>
        </w:rPr>
      </w:pPr>
    </w:p>
    <w:p>
      <w:pPr>
        <w:jc w:val="both"/>
        <w:ind w:firstLine="398"/>
        <w:spacing w:after="0" w:line="241" w:lineRule="auto"/>
        <w:rPr>
          <w:sz w:val="20"/>
          <w:szCs w:val="20"/>
          <w:color w:val="auto"/>
        </w:rPr>
      </w:pPr>
      <w:r>
        <w:rPr>
          <w:rFonts w:ascii="Times New Roman" w:cs="Times New Roman" w:eastAsia="Times New Roman" w:hAnsi="Times New Roman"/>
          <w:sz w:val="17"/>
          <w:szCs w:val="17"/>
          <w:color w:val="auto"/>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spacing w:after="0" w:line="194" w:lineRule="exact"/>
        <w:rPr>
          <w:sz w:val="20"/>
          <w:szCs w:val="20"/>
          <w:color w:val="auto"/>
        </w:rPr>
      </w:pPr>
    </w:p>
    <w:p>
      <w:pPr>
        <w:jc w:val="both"/>
        <w:ind w:firstLine="398"/>
        <w:spacing w:after="0" w:line="233" w:lineRule="auto"/>
        <w:rPr>
          <w:sz w:val="20"/>
          <w:szCs w:val="20"/>
          <w:color w:val="auto"/>
        </w:rPr>
      </w:pPr>
      <w:r>
        <w:rPr>
          <w:rFonts w:ascii="Times New Roman" w:cs="Times New Roman" w:eastAsia="Times New Roman" w:hAnsi="Times New Roman"/>
          <w:sz w:val="17"/>
          <w:szCs w:val="17"/>
          <w:color w:val="auto"/>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 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spacing w:after="0" w:line="195"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6"/>
          <w:szCs w:val="16"/>
          <w:color w:val="auto"/>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spacing w:after="0" w:line="186" w:lineRule="exact"/>
        <w:rPr>
          <w:sz w:val="20"/>
          <w:szCs w:val="20"/>
          <w:color w:val="auto"/>
        </w:rPr>
      </w:pPr>
    </w:p>
    <w:p>
      <w:pPr>
        <w:jc w:val="both"/>
        <w:ind w:firstLine="398"/>
        <w:spacing w:after="0" w:line="232" w:lineRule="auto"/>
        <w:rPr>
          <w:sz w:val="20"/>
          <w:szCs w:val="20"/>
          <w:color w:val="auto"/>
        </w:rPr>
      </w:pPr>
      <w:r>
        <w:rPr>
          <w:rFonts w:ascii="Times New Roman" w:cs="Times New Roman" w:eastAsia="Times New Roman" w:hAnsi="Times New Roman"/>
          <w:sz w:val="17"/>
          <w:szCs w:val="17"/>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96" w:lineRule="exact"/>
        <w:rPr>
          <w:sz w:val="20"/>
          <w:szCs w:val="20"/>
          <w:color w:val="auto"/>
        </w:rPr>
      </w:pPr>
    </w:p>
    <w:p>
      <w:pPr>
        <w:jc w:val="both"/>
        <w:ind w:firstLine="398"/>
        <w:spacing w:after="0" w:line="245" w:lineRule="auto"/>
        <w:rPr>
          <w:sz w:val="20"/>
          <w:szCs w:val="20"/>
          <w:color w:val="auto"/>
        </w:rPr>
      </w:pPr>
      <w:r>
        <w:rPr>
          <w:rFonts w:ascii="Times New Roman" w:cs="Times New Roman" w:eastAsia="Times New Roman" w:hAnsi="Times New Roman"/>
          <w:sz w:val="16"/>
          <w:szCs w:val="16"/>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“Shortfall Amount”).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report and we were not to deliver any further Environmental Attribute volume to NextEra under the agreement, the maximum potential payment to NextEra under these provisions would be approximately $15.4 million based on current market prices for such Environmental Attributes.</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spacing w:after="0" w:line="193" w:lineRule="exact"/>
        <w:rPr>
          <w:sz w:val="20"/>
          <w:szCs w:val="20"/>
          <w:color w:val="auto"/>
        </w:rPr>
      </w:pPr>
    </w:p>
    <w:p>
      <w:pPr>
        <w:jc w:val="both"/>
        <w:ind w:firstLine="398"/>
        <w:spacing w:after="0" w:line="236" w:lineRule="auto"/>
        <w:rPr>
          <w:sz w:val="20"/>
          <w:szCs w:val="20"/>
          <w:color w:val="auto"/>
        </w:rPr>
      </w:pPr>
      <w:r>
        <w:rPr>
          <w:rFonts w:ascii="Times New Roman" w:cs="Times New Roman" w:eastAsia="Times New Roman" w:hAnsi="Times New Roman"/>
          <w:sz w:val="17"/>
          <w:szCs w:val="17"/>
          <w:color w:val="auto"/>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40"/>
          </w:cols>
          <w:pgMar w:left="320" w:top="852" w:right="339" w:bottom="1440" w:gutter="0" w:footer="0" w:header="0"/>
        </w:sectPr>
      </w:pPr>
    </w:p>
    <w:bookmarkStart w:id="85" w:name="page86"/>
    <w:bookmarkEnd w:id="85"/>
    <w:p>
      <w:pPr>
        <w:jc w:val="both"/>
        <w:ind w:left="1"/>
        <w:spacing w:after="0" w:line="234" w:lineRule="auto"/>
        <w:rPr>
          <w:sz w:val="20"/>
          <w:szCs w:val="20"/>
          <w:color w:val="auto"/>
        </w:rPr>
      </w:pPr>
      <w:r>
        <w:rPr>
          <w:rFonts w:ascii="Times New Roman" w:cs="Times New Roman" w:eastAsia="Times New Roman" w:hAnsi="Times New Roman"/>
          <w:sz w:val="17"/>
          <w:szCs w:val="17"/>
          <w:color w:val="auto"/>
        </w:rPr>
        <w:t>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spacing w:after="0" w:line="195" w:lineRule="exact"/>
        <w:rPr>
          <w:sz w:val="20"/>
          <w:szCs w:val="20"/>
          <w:color w:val="auto"/>
        </w:rPr>
      </w:pPr>
    </w:p>
    <w:p>
      <w:pPr>
        <w:jc w:val="both"/>
        <w:ind w:left="1"/>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Maintenance, expansion and refurbishment of our Biogas Conversion Projects involve the risk of unplanned outages or reduced output, resulting from among other things periodic upgrading and improvement, unplanned breakdowns in equipment, and forced outages.</w:t>
      </w:r>
    </w:p>
    <w:p>
      <w:pPr>
        <w:spacing w:after="0" w:line="192" w:lineRule="exact"/>
        <w:rPr>
          <w:sz w:val="20"/>
          <w:szCs w:val="20"/>
          <w:color w:val="auto"/>
        </w:rPr>
      </w:pPr>
    </w:p>
    <w:p>
      <w:pPr>
        <w:jc w:val="both"/>
        <w:ind w:left="1" w:firstLine="398"/>
        <w:spacing w:after="0" w:line="250" w:lineRule="auto"/>
        <w:rPr>
          <w:sz w:val="20"/>
          <w:szCs w:val="20"/>
          <w:color w:val="auto"/>
        </w:rPr>
      </w:pPr>
      <w:r>
        <w:rPr>
          <w:rFonts w:ascii="Times New Roman" w:cs="Times New Roman" w:eastAsia="Times New Roman" w:hAnsi="Times New Roman"/>
          <w:sz w:val="16"/>
          <w:szCs w:val="16"/>
          <w:color w:val="auto"/>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spacing w:after="0" w:line="183"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spacing w:after="0" w:line="180" w:lineRule="exact"/>
        <w:rPr>
          <w:sz w:val="20"/>
          <w:szCs w:val="20"/>
          <w:color w:val="auto"/>
        </w:rPr>
      </w:pPr>
    </w:p>
    <w:p>
      <w:pPr>
        <w:jc w:val="both"/>
        <w:ind w:left="1" w:firstLine="398"/>
        <w:spacing w:after="0" w:line="231" w:lineRule="auto"/>
        <w:rPr>
          <w:sz w:val="20"/>
          <w:szCs w:val="20"/>
          <w:color w:val="auto"/>
        </w:rPr>
      </w:pPr>
      <w:r>
        <w:rPr>
          <w:rFonts w:ascii="Times New Roman" w:cs="Times New Roman" w:eastAsia="Times New Roman" w:hAnsi="Times New Roman"/>
          <w:sz w:val="17"/>
          <w:szCs w:val="17"/>
          <w:color w:val="auto"/>
        </w:rPr>
        <w:t>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spacing w:after="0" w:line="194"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spacing w:after="0" w:line="180" w:lineRule="exact"/>
        <w:rPr>
          <w:sz w:val="20"/>
          <w:szCs w:val="20"/>
          <w:color w:val="auto"/>
        </w:rPr>
      </w:pPr>
    </w:p>
    <w:p>
      <w:pPr>
        <w:jc w:val="both"/>
        <w:ind w:left="1" w:firstLine="398"/>
        <w:spacing w:after="0" w:line="249" w:lineRule="auto"/>
        <w:rPr>
          <w:sz w:val="20"/>
          <w:szCs w:val="20"/>
          <w:color w:val="auto"/>
        </w:rPr>
      </w:pPr>
      <w:r>
        <w:rPr>
          <w:rFonts w:ascii="Times New Roman" w:cs="Times New Roman" w:eastAsia="Times New Roman" w:hAnsi="Times New Roman"/>
          <w:sz w:val="16"/>
          <w:szCs w:val="16"/>
          <w:color w:val="auto"/>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w:t>
      </w:r>
    </w:p>
    <w:p>
      <w:pPr>
        <w:jc w:val="both"/>
        <w:ind w:left="1" w:hanging="1"/>
        <w:spacing w:after="0" w:line="243" w:lineRule="auto"/>
        <w:tabs>
          <w:tab w:leader="none" w:pos="26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spacing w:after="0" w:line="194" w:lineRule="exact"/>
        <w:rPr>
          <w:sz w:val="20"/>
          <w:szCs w:val="20"/>
          <w:color w:val="auto"/>
        </w:rPr>
      </w:pPr>
    </w:p>
    <w:p>
      <w:pPr>
        <w:jc w:val="both"/>
        <w:ind w:left="1" w:firstLine="398"/>
        <w:spacing w:after="0" w:line="241" w:lineRule="auto"/>
        <w:rPr>
          <w:sz w:val="20"/>
          <w:szCs w:val="20"/>
          <w:color w:val="auto"/>
        </w:rPr>
      </w:pPr>
      <w:r>
        <w:rPr>
          <w:rFonts w:ascii="Times New Roman" w:cs="Times New Roman" w:eastAsia="Times New Roman" w:hAnsi="Times New Roman"/>
          <w:sz w:val="17"/>
          <w:szCs w:val="17"/>
          <w:color w:val="auto"/>
        </w:rPr>
        <w:t>In addition, in order to maximize collection of LFG, we may need to take various measures, such as drilling additional gas wells in the landfill sites to increase LFG collection, balancing the pressure on the gas field based on the data collected by the landfill site operator from the gas wells to ensure optimum LFG utilization and ensuring that we match availability of engines and related equipment to availability of LFG. There can be no guarantee that we will be able to take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41"/>
          </w:cols>
          <w:pgMar w:left="319" w:top="856" w:right="339" w:bottom="1440" w:gutter="0" w:footer="0" w:header="0"/>
        </w:sectPr>
      </w:pPr>
    </w:p>
    <w:bookmarkStart w:id="86" w:name="page87"/>
    <w:bookmarkEnd w:id="86"/>
    <w:p>
      <w:pPr>
        <w:jc w:val="both"/>
        <w:spacing w:after="0" w:line="237" w:lineRule="auto"/>
        <w:rPr>
          <w:sz w:val="20"/>
          <w:szCs w:val="20"/>
          <w:color w:val="auto"/>
        </w:rPr>
      </w:pPr>
      <w:r>
        <w:rPr>
          <w:rFonts w:ascii="Times New Roman" w:cs="Times New Roman" w:eastAsia="Times New Roman" w:hAnsi="Times New Roman"/>
          <w:sz w:val="17"/>
          <w:szCs w:val="17"/>
          <w:color w:val="auto"/>
        </w:rPr>
        <w:t>all necessary measures to maximize collection. In addition, the LFG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spacing w:after="0" w:line="197" w:lineRule="exact"/>
        <w:rPr>
          <w:sz w:val="20"/>
          <w:szCs w:val="20"/>
          <w:color w:val="auto"/>
        </w:rPr>
      </w:pPr>
    </w:p>
    <w:p>
      <w:pPr>
        <w:jc w:val="both"/>
        <w:ind w:firstLine="398"/>
        <w:spacing w:after="0" w:line="232" w:lineRule="auto"/>
        <w:rPr>
          <w:sz w:val="20"/>
          <w:szCs w:val="20"/>
          <w:color w:val="auto"/>
        </w:rPr>
      </w:pPr>
      <w:r>
        <w:rPr>
          <w:rFonts w:ascii="Times New Roman" w:cs="Times New Roman" w:eastAsia="Times New Roman" w:hAnsi="Times New Roman"/>
          <w:sz w:val="17"/>
          <w:szCs w:val="17"/>
          <w:color w:val="auto"/>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spacing w:after="0" w:line="1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spacing w:after="0" w:line="193" w:lineRule="exact"/>
        <w:rPr>
          <w:sz w:val="20"/>
          <w:szCs w:val="20"/>
          <w:color w:val="auto"/>
        </w:rPr>
      </w:pPr>
    </w:p>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spacing w:after="0" w:line="182" w:lineRule="exact"/>
        <w:rPr>
          <w:sz w:val="20"/>
          <w:szCs w:val="20"/>
          <w:color w:val="auto"/>
        </w:rPr>
      </w:pPr>
    </w:p>
    <w:p>
      <w:pPr>
        <w:jc w:val="both"/>
        <w:ind w:firstLine="398"/>
        <w:spacing w:after="0" w:line="236" w:lineRule="auto"/>
        <w:rPr>
          <w:sz w:val="20"/>
          <w:szCs w:val="20"/>
          <w:color w:val="auto"/>
        </w:rPr>
      </w:pPr>
      <w:r>
        <w:rPr>
          <w:rFonts w:ascii="Times New Roman" w:cs="Times New Roman" w:eastAsia="Times New Roman" w:hAnsi="Times New Roman"/>
          <w:sz w:val="17"/>
          <w:szCs w:val="17"/>
          <w:color w:val="auto"/>
        </w:rPr>
        <w:t>Sequestering carbon dioxide is subject to numerous laws and regulations with uncertain permitting timelines and costs. We also intend to explore the production of renewable hydrogen sourced from a number of our projects’ RNG, and we may enter into long-term fixed price off-take contracts for green hydrogen that we may produce at our projects.</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7"/>
          <w:szCs w:val="17"/>
          <w:color w:val="auto"/>
        </w:rPr>
        <w:t>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spacing w:after="0" w:line="196" w:lineRule="exact"/>
        <w:rPr>
          <w:sz w:val="20"/>
          <w:szCs w:val="20"/>
          <w:color w:val="auto"/>
        </w:rPr>
      </w:pPr>
    </w:p>
    <w:p>
      <w:pPr>
        <w:jc w:val="both"/>
        <w:ind w:firstLine="398"/>
        <w:spacing w:after="0" w:line="236" w:lineRule="auto"/>
        <w:rPr>
          <w:sz w:val="20"/>
          <w:szCs w:val="20"/>
          <w:color w:val="auto"/>
        </w:rPr>
      </w:pPr>
      <w:r>
        <w:rPr>
          <w:rFonts w:ascii="Times New Roman" w:cs="Times New Roman" w:eastAsia="Times New Roman" w:hAnsi="Times New Roman"/>
          <w:sz w:val="17"/>
          <w:szCs w:val="17"/>
          <w:color w:val="auto"/>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open-access to our transmission asset, should we acquire one. Such acquisitions could have a material adverse effect on our business, financial condition and results of operations.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gas and manure rights agreements for Biogas Conversion Projects are subject to certain conditions. A failure to satisfy such conditions could result in the loss of such rights.</w:t>
      </w:r>
    </w:p>
    <w:p>
      <w:pPr>
        <w:spacing w:after="0" w:line="168" w:lineRule="exact"/>
        <w:rPr>
          <w:sz w:val="20"/>
          <w:szCs w:val="20"/>
          <w:color w:val="auto"/>
        </w:rPr>
      </w:pPr>
    </w:p>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 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spacing w:after="0" w:line="195" w:lineRule="exact"/>
        <w:rPr>
          <w:sz w:val="20"/>
          <w:szCs w:val="20"/>
          <w:color w:val="auto"/>
        </w:rPr>
      </w:pPr>
    </w:p>
    <w:p>
      <w:pPr>
        <w:jc w:val="both"/>
        <w:ind w:firstLine="398"/>
        <w:spacing w:after="0" w:line="241" w:lineRule="auto"/>
        <w:rPr>
          <w:sz w:val="20"/>
          <w:szCs w:val="20"/>
          <w:color w:val="auto"/>
        </w:rPr>
      </w:pPr>
      <w:r>
        <w:rPr>
          <w:rFonts w:ascii="Times New Roman" w:cs="Times New Roman" w:eastAsia="Times New Roman" w:hAnsi="Times New Roman"/>
          <w:sz w:val="17"/>
          <w:szCs w:val="17"/>
          <w:color w:val="auto"/>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40"/>
          </w:cols>
          <w:pgMar w:left="320" w:top="856" w:right="339" w:bottom="1440" w:gutter="0" w:footer="0" w:header="0"/>
        </w:sectPr>
      </w:pPr>
    </w:p>
    <w:bookmarkStart w:id="87" w:name="page88"/>
    <w:bookmarkEnd w:id="87"/>
    <w:p>
      <w:pPr>
        <w:jc w:val="both"/>
        <w:spacing w:after="0" w:line="237" w:lineRule="auto"/>
        <w:rPr>
          <w:sz w:val="20"/>
          <w:szCs w:val="20"/>
          <w:color w:val="auto"/>
        </w:rPr>
      </w:pPr>
      <w:r>
        <w:rPr>
          <w:rFonts w:ascii="Times New Roman" w:cs="Times New Roman" w:eastAsia="Times New Roman" w:hAnsi="Times New Roman"/>
          <w:sz w:val="17"/>
          <w:szCs w:val="17"/>
          <w:color w:val="auto"/>
        </w:rPr>
        <w:t>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Additional Risk Factors Relating to Our Dispensing Business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spacing w:after="0" w:line="168" w:lineRule="exact"/>
        <w:rPr>
          <w:sz w:val="20"/>
          <w:szCs w:val="20"/>
          <w:color w:val="auto"/>
        </w:rPr>
      </w:pPr>
    </w:p>
    <w:p>
      <w:pPr>
        <w:jc w:val="both"/>
        <w:ind w:firstLine="398"/>
        <w:spacing w:after="0" w:line="237" w:lineRule="auto"/>
        <w:rPr>
          <w:sz w:val="20"/>
          <w:szCs w:val="20"/>
          <w:color w:val="auto"/>
        </w:rPr>
      </w:pPr>
      <w:r>
        <w:rPr>
          <w:rFonts w:ascii="Times New Roman" w:cs="Times New Roman" w:eastAsia="Times New Roman" w:hAnsi="Times New Roman"/>
          <w:sz w:val="17"/>
          <w:szCs w:val="17"/>
          <w:color w:val="auto"/>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w:t>
      </w:r>
    </w:p>
    <w:p>
      <w:pPr>
        <w:spacing w:after="0" w:line="197" w:lineRule="exact"/>
        <w:rPr>
          <w:sz w:val="20"/>
          <w:szCs w:val="20"/>
          <w:color w:val="auto"/>
        </w:rPr>
      </w:pPr>
    </w:p>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In addition, other factors related to the development and operation of renewable energy projects could adversely affect our business, including: (i) changes in pipeline gas quality standards or other regulatory changes that may limit our ability to transport RNG on pipelines or increase the costs of processing RNG; (ii) 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 (vi) 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spacing w:after="0" w:line="168" w:lineRule="exact"/>
        <w:rPr>
          <w:sz w:val="20"/>
          <w:szCs w:val="20"/>
          <w:color w:val="auto"/>
        </w:rPr>
      </w:pPr>
    </w:p>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Also, other important fleet markets, including airports and public transit, had slower than expected volume and customer growth in 2018, 2019 and 2020, which was largely reversed in 2021, but may continue into 2022 and beyond.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Additional factors that may influence the adoption of natural gas vehicle fuels, many of which are beyond our control, include, among others:</w:t>
      </w:r>
    </w:p>
    <w:p>
      <w:pPr>
        <w:ind w:left="500" w:hanging="103"/>
        <w:spacing w:after="0"/>
        <w:tabs>
          <w:tab w:leader="none" w:pos="5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demand for trucks that use natural gas vehicle fuels due to business disruptions and depressed oil prices;</w:t>
      </w:r>
    </w:p>
    <w:p>
      <w:pPr>
        <w:jc w:val="both"/>
        <w:ind w:firstLine="397"/>
        <w:spacing w:after="0" w:line="228" w:lineRule="auto"/>
        <w:tabs>
          <w:tab w:leader="none" w:pos="49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p>
      <w:pPr>
        <w:spacing w:after="0" w:line="2" w:lineRule="exact"/>
        <w:rPr>
          <w:rFonts w:ascii="Times New Roman" w:cs="Times New Roman" w:eastAsia="Times New Roman" w:hAnsi="Times New Roman"/>
          <w:sz w:val="17"/>
          <w:szCs w:val="17"/>
          <w:color w:val="auto"/>
        </w:rPr>
      </w:pPr>
    </w:p>
    <w:p>
      <w:pPr>
        <w:ind w:firstLine="397"/>
        <w:spacing w:after="0" w:line="221" w:lineRule="auto"/>
        <w:tabs>
          <w:tab w:leader="none" w:pos="49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Perceptions about the benefits of natural gas vehicle fuels relative to gasoline, diesel and other alternative vehicle fuels, including with respect to factors such as supply, cost savings, environmental benefits and safety;</w:t>
      </w:r>
    </w:p>
    <w:p>
      <w:pPr>
        <w:ind w:firstLine="397"/>
        <w:spacing w:after="0" w:line="228" w:lineRule="auto"/>
        <w:tabs>
          <w:tab w:leader="none" w:pos="52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volatility in the supply, demand, use and prices of crude oil, gasoline, diesel, RNG, natural gas and other vehicle fuels, such as electricity, hydrogen, renewable diesel, biodiesel and ethanol;</w:t>
      </w:r>
    </w:p>
    <w:p>
      <w:pPr>
        <w:spacing w:after="0" w:line="1" w:lineRule="exact"/>
        <w:rPr>
          <w:rFonts w:ascii="Times New Roman" w:cs="Times New Roman" w:eastAsia="Times New Roman" w:hAnsi="Times New Roman"/>
          <w:sz w:val="17"/>
          <w:szCs w:val="17"/>
          <w:color w:val="auto"/>
        </w:rPr>
      </w:pPr>
    </w:p>
    <w:p>
      <w:pPr>
        <w:jc w:val="both"/>
        <w:ind w:firstLine="397"/>
        <w:spacing w:after="0" w:line="228" w:lineRule="auto"/>
        <w:tabs>
          <w:tab w:leader="none" w:pos="50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p>
      <w:pPr>
        <w:spacing w:after="0" w:line="2" w:lineRule="exact"/>
        <w:rPr>
          <w:rFonts w:ascii="Times New Roman" w:cs="Times New Roman" w:eastAsia="Times New Roman" w:hAnsi="Times New Roman"/>
          <w:sz w:val="17"/>
          <w:szCs w:val="17"/>
          <w:color w:val="auto"/>
        </w:rPr>
      </w:pPr>
    </w:p>
    <w:p>
      <w:pPr>
        <w:ind w:firstLine="397"/>
        <w:spacing w:after="0" w:line="235" w:lineRule="auto"/>
        <w:tabs>
          <w:tab w:leader="none" w:pos="49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40"/>
          </w:cols>
          <w:pgMar w:left="320" w:top="856" w:right="339" w:bottom="1440" w:gutter="0" w:footer="0" w:header="0"/>
        </w:sectPr>
      </w:pPr>
    </w:p>
    <w:bookmarkStart w:id="88" w:name="page89"/>
    <w:bookmarkEnd w:id="88"/>
    <w:p>
      <w:pPr>
        <w:ind w:firstLine="397"/>
        <w:spacing w:after="0" w:line="239" w:lineRule="auto"/>
        <w:tabs>
          <w:tab w:leader="none" w:pos="49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production, cost, availability, performance, sales and marketing and reputation of engines that are well-suited for the vehicles used in our key customer markets, including heavy and medium-duty trucks and other fleets;</w:t>
      </w:r>
    </w:p>
    <w:p>
      <w:pPr>
        <w:spacing w:after="0" w:line="1" w:lineRule="exact"/>
        <w:rPr>
          <w:rFonts w:ascii="Times New Roman" w:cs="Times New Roman" w:eastAsia="Times New Roman" w:hAnsi="Times New Roman"/>
          <w:sz w:val="17"/>
          <w:szCs w:val="17"/>
          <w:color w:val="auto"/>
        </w:rPr>
      </w:pPr>
    </w:p>
    <w:p>
      <w:pPr>
        <w:ind w:firstLine="397"/>
        <w:spacing w:after="0" w:line="228" w:lineRule="auto"/>
        <w:tabs>
          <w:tab w:leader="none" w:pos="49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competition in the market for vehicle fuels generally, and the nature and effect of competitive developments in such market, including improvements in or perceived advantages of other vehicle fuels and engines powered by such fuels;</w:t>
      </w:r>
    </w:p>
    <w:p>
      <w:pPr>
        <w:spacing w:after="0" w:line="1" w:lineRule="exact"/>
        <w:rPr>
          <w:rFonts w:ascii="Times New Roman" w:cs="Times New Roman" w:eastAsia="Times New Roman" w:hAnsi="Times New Roman"/>
          <w:sz w:val="17"/>
          <w:szCs w:val="17"/>
          <w:color w:val="auto"/>
        </w:rPr>
      </w:pPr>
    </w:p>
    <w:p>
      <w:pPr>
        <w:jc w:val="both"/>
        <w:ind w:firstLine="397"/>
        <w:spacing w:after="0" w:line="223" w:lineRule="auto"/>
        <w:tabs>
          <w:tab w:leader="none" w:pos="49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p>
      <w:pPr>
        <w:spacing w:after="0" w:line="2" w:lineRule="exact"/>
        <w:rPr>
          <w:rFonts w:ascii="Times New Roman" w:cs="Times New Roman" w:eastAsia="Times New Roman" w:hAnsi="Times New Roman"/>
          <w:sz w:val="17"/>
          <w:szCs w:val="17"/>
          <w:color w:val="auto"/>
        </w:rPr>
      </w:pPr>
    </w:p>
    <w:p>
      <w:pPr>
        <w:ind w:left="500" w:hanging="103"/>
        <w:spacing w:after="0"/>
        <w:tabs>
          <w:tab w:leader="none" w:pos="5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Emissions and other environmental regulations and pressures on producing, transporting, and dispensing our fuels.</w:t>
      </w:r>
    </w:p>
    <w:p>
      <w:pPr>
        <w:spacing w:after="0" w:line="197" w:lineRule="exact"/>
        <w:rPr>
          <w:sz w:val="20"/>
          <w:szCs w:val="20"/>
          <w:color w:val="auto"/>
        </w:rPr>
      </w:pPr>
    </w:p>
    <w:p>
      <w:pPr>
        <w:jc w:val="both"/>
        <w:ind w:firstLine="398"/>
        <w:spacing w:after="0" w:line="246" w:lineRule="auto"/>
        <w:rPr>
          <w:sz w:val="20"/>
          <w:szCs w:val="20"/>
          <w:color w:val="auto"/>
        </w:rPr>
      </w:pPr>
      <w:r>
        <w:rPr>
          <w:rFonts w:ascii="Times New Roman" w:cs="Times New Roman" w:eastAsia="Times New Roman" w:hAnsi="Times New Roman"/>
          <w:sz w:val="16"/>
          <w:szCs w:val="16"/>
          <w:color w:val="auto"/>
        </w:rPr>
        <w:t>In June 2020, CARB adopted the Advanced Clean Trucks Regulation, which requires manufacturers to sell a gradually increasing proportion of zero-emission electric trucks, vans and pickup trucks from 2024 onwards. By the year 2045, the Advanced Clean Trucks Regulation seeks to have every new commercial vehicle sold in California be zero-emissions. Further, in September 2020, the Governor of the State of California issued the September 2020 Executive Order providing that it shall be the goal of California that (i) 100% of in-state sales of new passenger cars and trucks will be zero-emission by 2035, (ii) 100% of medium- and heavy-duty vehicles in California will be zero-emission by 2045 for all operations, where feasible, and by 2035 for drayage trucks, and (iii) the state will transition to 100% zero-emission off-road vehicles and equipment by 2035 where feasible. The September 2020 Executive Order also directed CARB to develop and propose regulations and strategies aimed at achieving the foregoing goals. Among other things, we believe the intent of the Advanced Clean Trucks Regulation and the September 2020 Executive Order is to limit and ultimately discontinue the production and use of internal combustion engines because such engines have “tailpipe” emissions. If either the Advanced Clean Trucks Regulation or any additional regulations adopted by CARB, including because of the September 2020 Executive Order, is permitted to take effect, it may slow, delay or prevent the adoption by fleets and other commercial consumers of our vehicle fuels, particularly in California. Moreover, because of the adoption of the Advanced Clean Trucks Regulation and the issuance of the September 2020 Executive Order, other states have taken steps to enact similar regulations, which actions may accelerate if either regulation is permitted to take effect, thereby slowing, delaying or preventing the adoption of our vehicle fuels in those states as well.</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Acquisition, financing, construction, and development of Fueling Station projects by us or our partners that own projects may not commence on anticipated timelines or at all.</w:t>
      </w:r>
    </w:p>
    <w:p>
      <w:pPr>
        <w:spacing w:after="0" w:line="180" w:lineRule="exact"/>
        <w:rPr>
          <w:sz w:val="20"/>
          <w:szCs w:val="20"/>
          <w:color w:val="auto"/>
        </w:rPr>
      </w:pPr>
    </w:p>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ind w:left="400"/>
        <w:spacing w:after="0" w:line="230" w:lineRule="auto"/>
        <w:rPr>
          <w:sz w:val="20"/>
          <w:szCs w:val="20"/>
          <w:color w:val="auto"/>
        </w:rPr>
      </w:pPr>
      <w:r>
        <w:rPr>
          <w:rFonts w:ascii="Times New Roman" w:cs="Times New Roman" w:eastAsia="Times New Roman" w:hAnsi="Times New Roman"/>
          <w:sz w:val="17"/>
          <w:szCs w:val="17"/>
          <w:color w:val="auto"/>
        </w:rPr>
        <w:t>The acquisition, financing, construction and development of projects involves numerous risks, including:</w:t>
      </w:r>
    </w:p>
    <w:p>
      <w:pPr>
        <w:ind w:left="500" w:hanging="103"/>
        <w:spacing w:after="0" w:line="229" w:lineRule="auto"/>
        <w:tabs>
          <w:tab w:leader="none" w:pos="5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identifying, obtaining, and permitting suitable sites for new projects;</w:t>
      </w:r>
    </w:p>
    <w:p>
      <w:pPr>
        <w:ind w:left="500" w:hanging="103"/>
        <w:spacing w:after="0" w:line="228" w:lineRule="auto"/>
        <w:tabs>
          <w:tab w:leader="none" w:pos="5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all necessary rights to land access and use;</w:t>
      </w:r>
    </w:p>
    <w:p>
      <w:pPr>
        <w:ind w:left="500" w:hanging="103"/>
        <w:spacing w:after="0" w:line="228" w:lineRule="auto"/>
        <w:tabs>
          <w:tab w:leader="none" w:pos="5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inaccuracy of assumptions with respect to the cost and schedule for completing construction;</w:t>
      </w:r>
    </w:p>
    <w:p>
      <w:pPr>
        <w:ind w:left="500" w:hanging="103"/>
        <w:spacing w:after="0" w:line="228" w:lineRule="auto"/>
        <w:tabs>
          <w:tab w:leader="none" w:pos="5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inaccuracy of assumptions with respect to the biogas potential, including quality, volume, and asset life;</w:t>
      </w:r>
    </w:p>
    <w:p>
      <w:pPr>
        <w:ind w:left="500" w:hanging="103"/>
        <w:spacing w:after="0" w:line="228" w:lineRule="auto"/>
        <w:tabs>
          <w:tab w:leader="none" w:pos="5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obtain financing for a project on acceptable terms or at all;</w:t>
      </w:r>
    </w:p>
    <w:p>
      <w:pPr>
        <w:ind w:left="500" w:hanging="103"/>
        <w:spacing w:after="0" w:line="213" w:lineRule="auto"/>
        <w:tabs>
          <w:tab w:leader="none" w:pos="5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deliveries or increases in the price of equipment or other materials;</w:t>
      </w:r>
    </w:p>
    <w:p>
      <w:pPr>
        <w:ind w:left="500" w:hanging="103"/>
        <w:spacing w:after="0" w:line="228" w:lineRule="auto"/>
        <w:tabs>
          <w:tab w:leader="none" w:pos="5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permitting and other regulatory issues, license revocation and changes in legal requirements;</w:t>
      </w:r>
    </w:p>
    <w:p>
      <w:pPr>
        <w:ind w:left="500" w:hanging="103"/>
        <w:spacing w:after="0" w:line="228" w:lineRule="auto"/>
        <w:tabs>
          <w:tab w:leader="none" w:pos="5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the cost of labor, labor disputes and work stoppages or the inability to find an adequate supply of workers;</w:t>
      </w:r>
    </w:p>
    <w:p>
      <w:pPr>
        <w:ind w:left="500" w:hanging="103"/>
        <w:spacing w:after="0" w:line="228" w:lineRule="auto"/>
        <w:tabs>
          <w:tab w:leader="none" w:pos="5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receive quality and timely performance of third-party services;</w:t>
      </w:r>
    </w:p>
    <w:p>
      <w:pPr>
        <w:ind w:left="500" w:hanging="103"/>
        <w:spacing w:after="0" w:line="228" w:lineRule="auto"/>
        <w:tabs>
          <w:tab w:leader="none" w:pos="5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engineering and environmental problems;</w:t>
      </w:r>
    </w:p>
    <w:p>
      <w:pPr>
        <w:ind w:left="500" w:hanging="103"/>
        <w:spacing w:after="0" w:line="228" w:lineRule="auto"/>
        <w:tabs>
          <w:tab w:leader="none" w:pos="5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overruns or supply chain disruptions;</w:t>
      </w:r>
    </w:p>
    <w:p>
      <w:pPr>
        <w:ind w:left="500" w:hanging="103"/>
        <w:spacing w:after="0" w:line="228" w:lineRule="auto"/>
        <w:tabs>
          <w:tab w:leader="none" w:pos="5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accidents involving personal injury or the loss of life</w:t>
      </w:r>
    </w:p>
    <w:p>
      <w:pPr>
        <w:ind w:firstLine="397"/>
        <w:spacing w:after="0" w:line="228" w:lineRule="auto"/>
        <w:tabs>
          <w:tab w:leader="none" w:pos="49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 conditions, health crises, pandemics, catastrophic events, including fires, explosions, earthquakes, droughts and acts of terrorism, and other force majeure events; and</w:t>
      </w:r>
    </w:p>
    <w:p>
      <w:pPr>
        <w:spacing w:after="0" w:line="1" w:lineRule="exact"/>
        <w:rPr>
          <w:rFonts w:ascii="Times New Roman" w:cs="Times New Roman" w:eastAsia="Times New Roman" w:hAnsi="Times New Roman"/>
          <w:sz w:val="17"/>
          <w:szCs w:val="17"/>
          <w:color w:val="auto"/>
        </w:rPr>
      </w:pPr>
    </w:p>
    <w:p>
      <w:pPr>
        <w:ind w:left="500" w:hanging="103"/>
        <w:spacing w:after="0" w:line="228" w:lineRule="auto"/>
        <w:tabs>
          <w:tab w:leader="none" w:pos="5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interconnection and access to utilities.</w:t>
      </w:r>
    </w:p>
    <w:p>
      <w:pPr>
        <w:spacing w:after="0" w:line="1" w:lineRule="exact"/>
        <w:rPr>
          <w:sz w:val="20"/>
          <w:szCs w:val="20"/>
          <w:color w:val="auto"/>
        </w:rPr>
      </w:pPr>
    </w:p>
    <w:p>
      <w:pPr>
        <w:jc w:val="both"/>
        <w:ind w:firstLine="398"/>
        <w:spacing w:after="0" w:line="235" w:lineRule="auto"/>
        <w:rPr>
          <w:sz w:val="20"/>
          <w:szCs w:val="20"/>
          <w:color w:val="auto"/>
        </w:rPr>
      </w:pPr>
      <w:r>
        <w:rPr>
          <w:rFonts w:ascii="Times New Roman" w:cs="Times New Roman" w:eastAsia="Times New Roman" w:hAnsi="Times New Roman"/>
          <w:sz w:val="17"/>
          <w:szCs w:val="17"/>
          <w:color w:val="auto"/>
        </w:rPr>
        <w:t>In addition, new projects have no operating history. A new project may be unable to fund principal and interest payments under its debt service obligations or may operate at a loss.</w:t>
      </w:r>
    </w:p>
    <w:p>
      <w:pPr>
        <w:spacing w:after="0" w:line="19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b w:val="1"/>
          <w:bCs w:val="1"/>
          <w:i w:val="1"/>
          <w:iCs w:val="1"/>
          <w:color w:val="auto"/>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due to the COVID-19 pandemic or otherwise, and cost overruns.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240"/>
          </w:cols>
          <w:pgMar w:left="320" w:top="856" w:right="339" w:bottom="1440" w:gutter="0" w:footer="0" w:header="0"/>
        </w:sectPr>
      </w:pPr>
    </w:p>
    <w:bookmarkStart w:id="89" w:name="page90"/>
    <w:bookmarkEnd w:id="89"/>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spacing w:after="0" w:line="199" w:lineRule="exact"/>
        <w:rPr>
          <w:sz w:val="20"/>
          <w:szCs w:val="20"/>
          <w:color w:val="auto"/>
        </w:rPr>
      </w:pPr>
    </w:p>
    <w:p>
      <w:pPr>
        <w:jc w:val="both"/>
        <w:ind w:firstLine="398"/>
        <w:spacing w:after="0" w:line="248" w:lineRule="auto"/>
        <w:rPr>
          <w:sz w:val="20"/>
          <w:szCs w:val="20"/>
          <w:color w:val="auto"/>
        </w:rPr>
      </w:pPr>
      <w:r>
        <w:rPr>
          <w:rFonts w:ascii="Times New Roman" w:cs="Times New Roman" w:eastAsia="Times New Roman" w:hAnsi="Times New Roman"/>
          <w:sz w:val="16"/>
          <w:szCs w:val="16"/>
          <w:color w:val="auto"/>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 reduced operations of permitting agencies because of the ongoing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spacing w:after="0" w:line="189" w:lineRule="exact"/>
        <w:rPr>
          <w:sz w:val="20"/>
          <w:szCs w:val="20"/>
          <w:color w:val="auto"/>
        </w:rPr>
      </w:pPr>
    </w:p>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Additional Risk Factors Relating to Our Business in General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of our Biogas Conversion Projects and Fueling Stations are newly constructed or are under construction and may not perform as we expect.</w:t>
      </w:r>
    </w:p>
    <w:p>
      <w:pPr>
        <w:spacing w:after="0" w:line="219" w:lineRule="exact"/>
        <w:rPr>
          <w:sz w:val="20"/>
          <w:szCs w:val="20"/>
          <w:color w:val="auto"/>
        </w:rPr>
      </w:pPr>
    </w:p>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We have a number of Biogas Conversion Projects under construction that will begin production over the next 18-24 months. Therefore, our expectations of the operating performance of these facilities are based on assumptions and estimates made without the benefit of operating history. Our forecasts with respect to our new and developing projects, and related estimates and assumptions, are based on limited operating history or expected operating results.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93" w:lineRule="exact"/>
        <w:rPr>
          <w:sz w:val="20"/>
          <w:szCs w:val="20"/>
          <w:color w:val="auto"/>
        </w:rPr>
      </w:pPr>
    </w:p>
    <w:p>
      <w:pPr>
        <w:jc w:val="both"/>
        <w:ind w:firstLine="398"/>
        <w:spacing w:after="0" w:line="231" w:lineRule="auto"/>
        <w:rPr>
          <w:sz w:val="20"/>
          <w:szCs w:val="20"/>
          <w:color w:val="auto"/>
        </w:rPr>
      </w:pPr>
      <w:r>
        <w:rPr>
          <w:rFonts w:ascii="Times New Roman" w:cs="Times New Roman" w:eastAsia="Times New Roman" w:hAnsi="Times New Roman"/>
          <w:sz w:val="17"/>
          <w:szCs w:val="17"/>
          <w:color w:val="auto"/>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240"/>
          </w:cols>
          <w:pgMar w:left="320" w:top="1080" w:right="339" w:bottom="1440" w:gutter="0" w:footer="0" w:header="0"/>
        </w:sectPr>
      </w:pPr>
    </w:p>
    <w:bookmarkStart w:id="90" w:name="page91"/>
    <w:bookmarkEnd w:id="90"/>
    <w:p>
      <w:pPr>
        <w:jc w:val="both"/>
        <w:ind w:firstLine="398"/>
        <w:spacing w:after="0" w:line="253" w:lineRule="auto"/>
        <w:rPr>
          <w:sz w:val="20"/>
          <w:szCs w:val="20"/>
          <w:color w:val="auto"/>
        </w:rPr>
      </w:pPr>
      <w:r>
        <w:rPr>
          <w:rFonts w:ascii="Times New Roman" w:cs="Times New Roman" w:eastAsia="Times New Roman" w:hAnsi="Times New Roman"/>
          <w:sz w:val="16"/>
          <w:szCs w:val="16"/>
          <w:color w:val="auto"/>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spacing w:after="0" w:line="18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b w:val="1"/>
          <w:bCs w:val="1"/>
          <w:i w:val="1"/>
          <w:iCs w:val="1"/>
          <w:color w:val="auto"/>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spacing w:after="0" w:line="196" w:lineRule="exact"/>
        <w:rPr>
          <w:sz w:val="20"/>
          <w:szCs w:val="20"/>
          <w:color w:val="auto"/>
        </w:rPr>
      </w:pPr>
    </w:p>
    <w:p>
      <w:pPr>
        <w:jc w:val="both"/>
        <w:ind w:firstLine="398"/>
        <w:spacing w:after="0" w:line="236" w:lineRule="auto"/>
        <w:rPr>
          <w:sz w:val="20"/>
          <w:szCs w:val="20"/>
          <w:color w:val="auto"/>
        </w:rPr>
      </w:pPr>
      <w:r>
        <w:rPr>
          <w:rFonts w:ascii="Times New Roman" w:cs="Times New Roman" w:eastAsia="Times New Roman" w:hAnsi="Times New Roman"/>
          <w:sz w:val="17"/>
          <w:szCs w:val="17"/>
          <w:color w:val="auto"/>
        </w:rPr>
        <w:t>As of September 30, 2022, our total indebtedness was $220 million, excluding deferred financing costs. Additionally, on November 29, 2021, we entered into an Exchange Agreement with Hillman pursuant to which OPAL Fuels issued to Hillman Series A-1 Preferred Units of OPAL Fuels, which are redeemable after four years at the option of Hillman for an aggregate redemption price of $30.0 million plus accrued and unpaid dividends thereon. In addition, we have drawn down the NextEra $100.0 million subscription commitment and issued to NextEra 1,000,000 Series A Preferred Units of OPAL Fuels, which are redeemable after four years at the option of NextEra for an aggregate redemption price of $100.0 million plus accrued and unpaid dividends thereon.</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substantial indebtedness and preferred units redemption obligations could have important consequences, including, for example:</w:t>
      </w:r>
    </w:p>
    <w:p>
      <w:pPr>
        <w:spacing w:after="0" w:line="9" w:lineRule="exact"/>
        <w:rPr>
          <w:sz w:val="20"/>
          <w:szCs w:val="20"/>
          <w:color w:val="auto"/>
        </w:rPr>
      </w:pPr>
    </w:p>
    <w:p>
      <w:pPr>
        <w:ind w:firstLine="397"/>
        <w:spacing w:after="0" w:line="228" w:lineRule="auto"/>
        <w:tabs>
          <w:tab w:leader="none" w:pos="49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required to accept then-prevailing market terms in connection with any required refinancing of such indebtedness or redemption obligations, which may be less favorable than existing terms;</w:t>
      </w:r>
    </w:p>
    <w:p>
      <w:pPr>
        <w:spacing w:after="0" w:line="1" w:lineRule="exact"/>
        <w:rPr>
          <w:rFonts w:ascii="Times New Roman" w:cs="Times New Roman" w:eastAsia="Times New Roman" w:hAnsi="Times New Roman"/>
          <w:sz w:val="17"/>
          <w:szCs w:val="17"/>
          <w:color w:val="auto"/>
        </w:rPr>
      </w:pPr>
    </w:p>
    <w:p>
      <w:pPr>
        <w:ind w:firstLine="397"/>
        <w:spacing w:after="0" w:line="228" w:lineRule="auto"/>
        <w:tabs>
          <w:tab w:leader="none" w:pos="49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refinance, or to comply with the covenants in the agreements governing, these obligations could result in an event of default under those agreements, which could be difficult to cure or result in our bankruptcy;</w:t>
      </w:r>
    </w:p>
    <w:p>
      <w:pPr>
        <w:spacing w:after="0" w:line="1" w:lineRule="exact"/>
        <w:rPr>
          <w:rFonts w:ascii="Times New Roman" w:cs="Times New Roman" w:eastAsia="Times New Roman" w:hAnsi="Times New Roman"/>
          <w:sz w:val="17"/>
          <w:szCs w:val="17"/>
          <w:color w:val="auto"/>
        </w:rPr>
      </w:pPr>
    </w:p>
    <w:p>
      <w:pPr>
        <w:ind w:firstLine="397"/>
        <w:spacing w:after="0" w:line="221" w:lineRule="auto"/>
        <w:tabs>
          <w:tab w:leader="none" w:pos="49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p>
      <w:pPr>
        <w:ind w:left="500" w:hanging="103"/>
        <w:spacing w:after="0" w:line="228" w:lineRule="auto"/>
        <w:tabs>
          <w:tab w:leader="none" w:pos="5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financial flexibility could reduce our ability to plan for and react to unexpected opportunities; and</w:t>
      </w:r>
    </w:p>
    <w:p>
      <w:pPr>
        <w:jc w:val="both"/>
        <w:ind w:firstLine="397"/>
        <w:spacing w:after="0" w:line="233" w:lineRule="auto"/>
        <w:tabs>
          <w:tab w:leader="none" w:pos="522"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mandatory redeemable preferred units.</w:t>
      </w:r>
    </w:p>
    <w:p>
      <w:pPr>
        <w:spacing w:after="0" w:line="196" w:lineRule="exact"/>
        <w:rPr>
          <w:sz w:val="20"/>
          <w:szCs w:val="20"/>
          <w:color w:val="auto"/>
        </w:rPr>
      </w:pPr>
    </w:p>
    <w:p>
      <w:pPr>
        <w:jc w:val="both"/>
        <w:ind w:firstLine="398"/>
        <w:spacing w:after="0" w:line="232" w:lineRule="auto"/>
        <w:rPr>
          <w:sz w:val="20"/>
          <w:szCs w:val="20"/>
          <w:color w:val="auto"/>
        </w:rPr>
      </w:pPr>
      <w:r>
        <w:rPr>
          <w:rFonts w:ascii="Times New Roman" w:cs="Times New Roman" w:eastAsia="Times New Roman" w:hAnsi="Times New Roman"/>
          <w:sz w:val="17"/>
          <w:szCs w:val="17"/>
          <w:color w:val="auto"/>
        </w:rPr>
        <w:t>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spacing w:after="0" w:line="189" w:lineRule="exact"/>
        <w:rPr>
          <w:sz w:val="20"/>
          <w:szCs w:val="20"/>
          <w:color w:val="auto"/>
        </w:rPr>
      </w:pPr>
    </w:p>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have the right to designate a director to our board of directors.</w:t>
      </w:r>
    </w:p>
    <w:p>
      <w:pPr>
        <w:spacing w:after="0" w:line="195" w:lineRule="exact"/>
        <w:rPr>
          <w:sz w:val="20"/>
          <w:szCs w:val="20"/>
          <w:color w:val="auto"/>
        </w:rPr>
      </w:pPr>
    </w:p>
    <w:p>
      <w:pPr>
        <w:jc w:val="both"/>
        <w:ind w:firstLine="398"/>
        <w:spacing w:after="0" w:line="241" w:lineRule="auto"/>
        <w:rPr>
          <w:sz w:val="20"/>
          <w:szCs w:val="20"/>
          <w:color w:val="auto"/>
        </w:rPr>
      </w:pPr>
      <w:r>
        <w:rPr>
          <w:rFonts w:ascii="Times New Roman" w:cs="Times New Roman" w:eastAsia="Times New Roman" w:hAnsi="Times New Roman"/>
          <w:sz w:val="17"/>
          <w:szCs w:val="17"/>
          <w:color w:val="auto"/>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 that may be in its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240"/>
          </w:cols>
          <w:pgMar w:left="320" w:top="856" w:right="339" w:bottom="1440" w:gutter="0" w:footer="0" w:header="0"/>
        </w:sectPr>
      </w:pPr>
    </w:p>
    <w:bookmarkStart w:id="91" w:name="page92"/>
    <w:bookmarkEnd w:id="91"/>
    <w:p>
      <w:pPr>
        <w:jc w:val="both"/>
        <w:spacing w:after="0" w:line="236" w:lineRule="auto"/>
        <w:rPr>
          <w:sz w:val="20"/>
          <w:szCs w:val="20"/>
          <w:color w:val="auto"/>
        </w:rPr>
      </w:pPr>
      <w:r>
        <w:rPr>
          <w:rFonts w:ascii="Times New Roman" w:cs="Times New Roman" w:eastAsia="Times New Roman" w:hAnsi="Times New Roman"/>
          <w:sz w:val="17"/>
          <w:szCs w:val="17"/>
          <w:color w:val="auto"/>
        </w:rPr>
        <w:t>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spacing w:after="0" w:line="19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b w:val="1"/>
          <w:bCs w:val="1"/>
          <w:i w:val="1"/>
          <w:iCs w:val="1"/>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96" w:lineRule="exact"/>
        <w:rPr>
          <w:sz w:val="20"/>
          <w:szCs w:val="20"/>
          <w:color w:val="auto"/>
        </w:rPr>
      </w:pPr>
    </w:p>
    <w:p>
      <w:pPr>
        <w:jc w:val="both"/>
        <w:ind w:firstLine="398"/>
        <w:spacing w:after="0" w:line="232" w:lineRule="auto"/>
        <w:rPr>
          <w:sz w:val="20"/>
          <w:szCs w:val="20"/>
          <w:color w:val="auto"/>
        </w:rPr>
      </w:pPr>
      <w:r>
        <w:rPr>
          <w:rFonts w:ascii="Times New Roman" w:cs="Times New Roman" w:eastAsia="Times New Roman" w:hAnsi="Times New Roman"/>
          <w:sz w:val="17"/>
          <w:szCs w:val="17"/>
          <w:color w:val="auto"/>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spacing w:after="0" w:line="201" w:lineRule="exact"/>
        <w:rPr>
          <w:sz w:val="20"/>
          <w:szCs w:val="20"/>
          <w:color w:val="auto"/>
        </w:rPr>
      </w:pPr>
    </w:p>
    <w:p>
      <w:pPr>
        <w:jc w:val="both"/>
        <w:ind w:firstLine="398"/>
        <w:spacing w:after="0" w:line="241" w:lineRule="auto"/>
        <w:rPr>
          <w:sz w:val="20"/>
          <w:szCs w:val="20"/>
          <w:color w:val="auto"/>
        </w:rPr>
      </w:pPr>
      <w:r>
        <w:rPr>
          <w:rFonts w:ascii="Times New Roman" w:cs="Times New Roman" w:eastAsia="Times New Roman" w:hAnsi="Times New Roman"/>
          <w:sz w:val="17"/>
          <w:szCs w:val="17"/>
          <w:color w:val="auto"/>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spacing w:after="0" w:line="182" w:lineRule="exact"/>
        <w:rPr>
          <w:sz w:val="20"/>
          <w:szCs w:val="20"/>
          <w:color w:val="auto"/>
        </w:rPr>
      </w:pPr>
    </w:p>
    <w:p>
      <w:pPr>
        <w:jc w:val="both"/>
        <w:ind w:firstLine="398"/>
        <w:spacing w:after="0" w:line="241" w:lineRule="auto"/>
        <w:rPr>
          <w:sz w:val="20"/>
          <w:szCs w:val="20"/>
          <w:color w:val="auto"/>
        </w:rPr>
      </w:pPr>
      <w:r>
        <w:rPr>
          <w:rFonts w:ascii="Times New Roman" w:cs="Times New Roman" w:eastAsia="Times New Roman" w:hAnsi="Times New Roman"/>
          <w:sz w:val="17"/>
          <w:szCs w:val="17"/>
          <w:color w:val="auto"/>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accounting losses and may incur additional losses in the future.</w:t>
      </w:r>
    </w:p>
    <w:p>
      <w:pPr>
        <w:spacing w:after="0" w:line="219" w:lineRule="exact"/>
        <w:rPr>
          <w:sz w:val="20"/>
          <w:szCs w:val="20"/>
          <w:color w:val="auto"/>
        </w:rPr>
      </w:pPr>
    </w:p>
    <w:p>
      <w:pPr>
        <w:jc w:val="both"/>
        <w:ind w:firstLine="398"/>
        <w:spacing w:after="0" w:line="230" w:lineRule="auto"/>
        <w:rPr>
          <w:sz w:val="20"/>
          <w:szCs w:val="20"/>
          <w:color w:val="auto"/>
        </w:rPr>
      </w:pPr>
      <w:r>
        <w:rPr>
          <w:rFonts w:ascii="Times New Roman" w:cs="Times New Roman" w:eastAsia="Times New Roman" w:hAnsi="Times New Roman"/>
          <w:sz w:val="17"/>
          <w:szCs w:val="17"/>
          <w:color w:val="auto"/>
        </w:rPr>
        <w:t>The Company has incurred net losses historically.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including but not limited to the unpredictability of the COVID-19 pandemic,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report.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Loss of our key management could adversely affect our business performance. Our management team has limited experience in operating a public company such as us.</w:t>
      </w:r>
    </w:p>
    <w:p>
      <w:pPr>
        <w:spacing w:after="0" w:line="180"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7"/>
          <w:szCs w:val="17"/>
          <w:color w:val="auto"/>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The COVID-19 pandemic and measures intended to reduce its spread have, and may continue to,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240"/>
          </w:cols>
          <w:pgMar w:left="320" w:top="856" w:right="339" w:bottom="1440" w:gutter="0" w:footer="0" w:header="0"/>
        </w:sectPr>
      </w:pPr>
    </w:p>
    <w:bookmarkStart w:id="92" w:name="page93"/>
    <w:bookmarkEnd w:id="92"/>
    <w:p>
      <w:pPr>
        <w:jc w:val="both"/>
        <w:ind w:firstLine="398"/>
        <w:spacing w:after="0" w:line="231" w:lineRule="auto"/>
        <w:rPr>
          <w:sz w:val="20"/>
          <w:szCs w:val="20"/>
          <w:color w:val="auto"/>
        </w:rPr>
      </w:pPr>
      <w:r>
        <w:rPr>
          <w:rFonts w:ascii="Times New Roman" w:cs="Times New Roman" w:eastAsia="Times New Roman" w:hAnsi="Times New Roman"/>
          <w:sz w:val="17"/>
          <w:szCs w:val="17"/>
          <w:color w:val="auto"/>
        </w:rPr>
        <w:t>Beginning in late 2019, a novel strain of coronavirus (COVID-19) spread throughout the world, including the United States, ultimately being declared a pandemic. Global health concerns and increased efforts to reduce the spread of the COVID-19 pandemic prompted federal, state and local governments to restrict normal daily activities, which resulted in lockdowns, travel bans, quarantines, “shelter-in-place” orders requiring individuals to remain in their homes other than to conduct essential services or activities, business limitations and shutdowns (subject to exceptions for certain essential operations and businesses, including our business). Some of these governmental restrictions have since been scaled back or lifted, although an increase in the prevalence of COVID-19 cases and the spread of new variants may result in the re-imposition of certain restrictions and may lead to other restrictions being implemented in response to efforts to reduce the spread of COVID-19. Given the dynamic nature of these circumstances and the related adverse impact these restrictions have had, and may continue to have, on the economy generally, our business and financial results may continue to be adversely affected by the COVID-19 pandemic.</w:t>
      </w:r>
    </w:p>
    <w:p>
      <w:pPr>
        <w:spacing w:after="0" w:line="198" w:lineRule="exact"/>
        <w:rPr>
          <w:sz w:val="20"/>
          <w:szCs w:val="20"/>
          <w:color w:val="auto"/>
        </w:rPr>
      </w:pPr>
    </w:p>
    <w:p>
      <w:pPr>
        <w:jc w:val="both"/>
        <w:ind w:firstLine="398"/>
        <w:spacing w:after="0" w:line="251" w:lineRule="auto"/>
        <w:rPr>
          <w:sz w:val="20"/>
          <w:szCs w:val="20"/>
          <w:color w:val="auto"/>
        </w:rPr>
      </w:pPr>
      <w:r>
        <w:rPr>
          <w:rFonts w:ascii="Times New Roman" w:cs="Times New Roman" w:eastAsia="Times New Roman" w:hAnsi="Times New Roman"/>
          <w:sz w:val="16"/>
          <w:szCs w:val="16"/>
          <w:color w:val="auto"/>
        </w:rPr>
        <w:t>Our operations have been designated “essential critical infrastructure work” in the energy sector by the U.S. Department of Homeland Security, meaning that we have been able to continue full operations. Despite our essential designation and our continued operations, however, we are subject to various risk and uncertainties because of the COVID-19 pandemic that could materially adversely affect our business, results of operations and financial condition, including the following:</w:t>
      </w:r>
    </w:p>
    <w:p>
      <w:pPr>
        <w:ind w:left="500" w:hanging="103"/>
        <w:spacing w:after="0" w:line="229" w:lineRule="auto"/>
        <w:tabs>
          <w:tab w:leader="none" w:pos="5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further delay in the adoption of natural gas vehicle fuels by heavy-duty trucks and/or a delay in increasing the use of our vehicle fuels;</w:t>
      </w:r>
    </w:p>
    <w:p>
      <w:pPr>
        <w:ind w:firstLine="397"/>
        <w:spacing w:after="0" w:line="228" w:lineRule="auto"/>
        <w:tabs>
          <w:tab w:leader="none" w:pos="52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continued or further decrease in the volume of truck and fleet operations, including shuttle busses at airports, and lower-than-normal levels of public transportation generally, which have resulted in, and may continue to result in, decreased demand for our vehicle fuels;</w:t>
      </w:r>
    </w:p>
    <w:p>
      <w:pPr>
        <w:spacing w:after="0" w:line="1" w:lineRule="exact"/>
        <w:rPr>
          <w:rFonts w:ascii="Times New Roman" w:cs="Times New Roman" w:eastAsia="Times New Roman" w:hAnsi="Times New Roman"/>
          <w:sz w:val="17"/>
          <w:szCs w:val="17"/>
          <w:color w:val="auto"/>
        </w:rPr>
      </w:pPr>
    </w:p>
    <w:p>
      <w:pPr>
        <w:ind w:firstLine="397"/>
        <w:spacing w:after="0" w:line="228" w:lineRule="auto"/>
        <w:tabs>
          <w:tab w:leader="none" w:pos="509"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business disruptions on the production of vehicles and engines that use our fuels, which has resulted in, and may continue to result in, plant closures, decreased manufacturing capacity, and delays in deliveries; and</w:t>
      </w:r>
    </w:p>
    <w:p>
      <w:pPr>
        <w:spacing w:after="0" w:line="1" w:lineRule="exact"/>
        <w:rPr>
          <w:rFonts w:ascii="Times New Roman" w:cs="Times New Roman" w:eastAsia="Times New Roman" w:hAnsi="Times New Roman"/>
          <w:sz w:val="17"/>
          <w:szCs w:val="17"/>
          <w:color w:val="auto"/>
        </w:rPr>
      </w:pPr>
    </w:p>
    <w:p>
      <w:pPr>
        <w:ind w:firstLine="397"/>
        <w:spacing w:after="0" w:line="235" w:lineRule="auto"/>
        <w:tabs>
          <w:tab w:leader="none" w:pos="49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depressed oil and diesel prices, especially relative to natural gas prices and for a prolonged period, which may decrease the price-related incentive for operators to adopt trucks that use our vehicle fuels.</w:t>
      </w:r>
    </w:p>
    <w:p>
      <w:pPr>
        <w:spacing w:after="0" w:line="196" w:lineRule="exact"/>
        <w:rPr>
          <w:sz w:val="20"/>
          <w:szCs w:val="20"/>
          <w:color w:val="auto"/>
        </w:rPr>
      </w:pPr>
    </w:p>
    <w:p>
      <w:pPr>
        <w:jc w:val="both"/>
        <w:ind w:firstLine="398"/>
        <w:spacing w:after="0" w:line="231" w:lineRule="auto"/>
        <w:rPr>
          <w:sz w:val="20"/>
          <w:szCs w:val="20"/>
          <w:color w:val="auto"/>
        </w:rPr>
      </w:pPr>
      <w:r>
        <w:rPr>
          <w:rFonts w:ascii="Times New Roman" w:cs="Times New Roman" w:eastAsia="Times New Roman" w:hAnsi="Times New Roman"/>
          <w:sz w:val="17"/>
          <w:szCs w:val="17"/>
          <w:color w:val="auto"/>
        </w:rPr>
        <w:t>The duration and extent of the impact of the COVID-19 pandemic on our business and financial results will depend on future developments, including the duration, severity and spread of the COVID-19 pandemic, actions taken to contain its spread, any further resurgence of COVID-19, the severity and transmission rates of new variants of COVID-19, the availability, distribution and efficacy of vaccines and therapeutics for COVID-19 and how quickly and to what extent normal economic and operating conditions can (and will) resume within the markets in which we operate, each of which are highly uncertain at this time and are outside of our control. Even after the COVID-19 pandemic subsides, we may continue to experience adverse effects to our business and financial results because of its global economic impact, including any economic downturn or recession that has occurred or may occur. The adverse effect of the COVID-19 pandemic on our business, results of operations and financial condition could be material.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Some relationships with our counterparties and suppliers may experience disruptions as a result of the Business Combination, which may limit our business.</w:t>
      </w:r>
    </w:p>
    <w:p>
      <w:pPr>
        <w:spacing w:after="0" w:line="219" w:lineRule="exact"/>
        <w:rPr>
          <w:sz w:val="20"/>
          <w:szCs w:val="20"/>
          <w:color w:val="auto"/>
        </w:rPr>
      </w:pPr>
    </w:p>
    <w:p>
      <w:pPr>
        <w:jc w:val="both"/>
        <w:ind w:firstLine="398"/>
        <w:spacing w:after="0" w:line="231" w:lineRule="auto"/>
        <w:rPr>
          <w:sz w:val="20"/>
          <w:szCs w:val="20"/>
          <w:color w:val="auto"/>
        </w:rPr>
      </w:pPr>
      <w:r>
        <w:rPr>
          <w:rFonts w:ascii="Times New Roman" w:cs="Times New Roman" w:eastAsia="Times New Roman" w:hAnsi="Times New Roman"/>
          <w:sz w:val="17"/>
          <w:szCs w:val="17"/>
          <w:color w:val="auto"/>
        </w:rPr>
        <w:t>Parties with which OPAL Fuels did business prior to the Business Combination or with which we may do business in the future, including our counterparties and suppliers, may experience uncertainty as a result of the Business Combination, including with respect to current or future business relationships with us. As a result, our business relationships may be subject to disruptions if our counterparties and suppliers or others attempt to negotiate changes in existing business relationships or consider entering into business relationships with parties other than us. For example, certain of our counterparties, suppliers and third-party providers may have had contractual consent rights or termination rights that were triggered by a change of control or assignment of the rights and obligations of contracts that was transferred in connection with the Business Combination These disruptions could harm relationships with our existing third parties with whom we have relationships and preclude us from attracting new third parties, all of which could have a material adverse effect on our business, financial condition and results of operations, cash flows, and/or share price.</w:t>
      </w:r>
    </w:p>
    <w:p>
      <w:pPr>
        <w:spacing w:after="0" w:line="1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material weaknesses in OPAL Fuels’s and ArcLight’s internal controls over financial reporting. If we are unable to remediate these material weaknesses, or if we identify additional material weaknesses in the future or otherwise fails to maintain an effective system of internal controls, we may not be able to accurately or timely report its financial condition or results of operations, which may adversely affect our business and stock price.</w:t>
      </w:r>
    </w:p>
    <w:p>
      <w:pPr>
        <w:spacing w:after="0" w:line="1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In connection with the preparation and audit of OPAL Fuels’s consolidated financial statements for each of the years ended December 31, 2021, 2020 and 2019, material weaknesses were identified in OPAL Fuels’s internal control over financial reporting. In addition, a material weakness in the internal controls over financial reporting of ArcLight was identified as of November 24, 2021.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40"/>
          </w:cols>
          <w:pgMar w:left="320" w:top="856" w:right="339" w:bottom="1440" w:gutter="0" w:footer="0" w:header="0"/>
        </w:sectPr>
      </w:pPr>
    </w:p>
    <w:bookmarkStart w:id="93" w:name="page94"/>
    <w:bookmarkEnd w:id="93"/>
    <w:p>
      <w:pPr>
        <w:ind w:firstLine="398"/>
        <w:spacing w:after="0" w:line="239" w:lineRule="auto"/>
        <w:rPr>
          <w:sz w:val="20"/>
          <w:szCs w:val="20"/>
          <w:color w:val="auto"/>
        </w:rPr>
      </w:pPr>
      <w:r>
        <w:rPr>
          <w:rFonts w:ascii="Times New Roman" w:cs="Times New Roman" w:eastAsia="Times New Roman" w:hAnsi="Times New Roman"/>
          <w:sz w:val="17"/>
          <w:szCs w:val="17"/>
          <w:color w:val="auto"/>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ind w:left="400"/>
        <w:spacing w:after="0" w:line="230" w:lineRule="auto"/>
        <w:rPr>
          <w:sz w:val="20"/>
          <w:szCs w:val="20"/>
          <w:color w:val="auto"/>
        </w:rPr>
      </w:pPr>
      <w:r>
        <w:rPr>
          <w:rFonts w:ascii="Times New Roman" w:cs="Times New Roman" w:eastAsia="Times New Roman" w:hAnsi="Times New Roman"/>
          <w:sz w:val="17"/>
          <w:szCs w:val="17"/>
          <w:color w:val="auto"/>
        </w:rPr>
        <w:t>With respect to OPAL Fuels, these material weaknesses identified were as follows:</w:t>
      </w:r>
    </w:p>
    <w:p>
      <w:pPr>
        <w:spacing w:after="0" w:line="1" w:lineRule="exact"/>
        <w:rPr>
          <w:sz w:val="20"/>
          <w:szCs w:val="20"/>
          <w:color w:val="auto"/>
        </w:rPr>
      </w:pPr>
    </w:p>
    <w:p>
      <w:pPr>
        <w:ind w:firstLine="397"/>
        <w:spacing w:after="0" w:line="228" w:lineRule="auto"/>
        <w:tabs>
          <w:tab w:leader="none" w:pos="497"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 lack of an adequate control environment, including internal communications, to allow for timeliness of reviews for the accounting and disclosures of significant and unusual transactions and contracts;</w:t>
      </w:r>
    </w:p>
    <w:p>
      <w:pPr>
        <w:spacing w:after="0" w:line="1" w:lineRule="exact"/>
        <w:rPr>
          <w:rFonts w:ascii="Times New Roman" w:cs="Times New Roman" w:eastAsia="Times New Roman" w:hAnsi="Times New Roman"/>
          <w:sz w:val="17"/>
          <w:szCs w:val="17"/>
          <w:color w:val="auto"/>
        </w:rPr>
      </w:pPr>
    </w:p>
    <w:p>
      <w:pPr>
        <w:jc w:val="both"/>
        <w:ind w:firstLine="397"/>
        <w:spacing w:after="0" w:line="237" w:lineRule="auto"/>
        <w:tabs>
          <w:tab w:leader="none" w:pos="497"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 lack of appropriate segregation of duties and appropriate access controls as certain employees have the ability to prepare and post journal entries while other employees have inappropriate access to certain financial systems. For various transactions and account reconciliations, the same person was the originator and preparer of financial information without further review by an independent person with sufficient accounting and/or financial reporting competence and authority;</w:t>
      </w:r>
    </w:p>
    <w:p>
      <w:pPr>
        <w:spacing w:after="0" w:line="1" w:lineRule="exact"/>
        <w:rPr>
          <w:rFonts w:ascii="Times New Roman" w:cs="Times New Roman" w:eastAsia="Times New Roman" w:hAnsi="Times New Roman"/>
          <w:sz w:val="16"/>
          <w:szCs w:val="16"/>
          <w:color w:val="auto"/>
        </w:rPr>
      </w:pPr>
    </w:p>
    <w:p>
      <w:pPr>
        <w:ind w:firstLine="397"/>
        <w:spacing w:after="0" w:line="228" w:lineRule="auto"/>
        <w:tabs>
          <w:tab w:leader="none" w:pos="509"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OPAL Fuels did not have timely and effective reviews over standard account reconciliations and related accounting analysis which resulted in various audit adjustments that we corrected; and</w:t>
      </w:r>
    </w:p>
    <w:p>
      <w:pPr>
        <w:spacing w:after="0" w:line="1" w:lineRule="exact"/>
        <w:rPr>
          <w:rFonts w:ascii="Times New Roman" w:cs="Times New Roman" w:eastAsia="Times New Roman" w:hAnsi="Times New Roman"/>
          <w:sz w:val="17"/>
          <w:szCs w:val="17"/>
          <w:color w:val="auto"/>
        </w:rPr>
      </w:pPr>
    </w:p>
    <w:p>
      <w:pPr>
        <w:ind w:left="500" w:hanging="103"/>
        <w:spacing w:after="0"/>
        <w:tabs>
          <w:tab w:leader="none" w:pos="5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controls over application of ASC-606 were not designed and implemented appropriately during the current year.</w:t>
      </w:r>
    </w:p>
    <w:p>
      <w:pPr>
        <w:spacing w:after="0" w:line="197" w:lineRule="exact"/>
        <w:rPr>
          <w:sz w:val="20"/>
          <w:szCs w:val="20"/>
          <w:color w:val="auto"/>
        </w:rPr>
      </w:pPr>
    </w:p>
    <w:p>
      <w:pPr>
        <w:jc w:val="both"/>
        <w:ind w:firstLine="398"/>
        <w:spacing w:after="0" w:line="237" w:lineRule="auto"/>
        <w:rPr>
          <w:sz w:val="20"/>
          <w:szCs w:val="20"/>
          <w:color w:val="auto"/>
        </w:rPr>
      </w:pPr>
      <w:r>
        <w:rPr>
          <w:rFonts w:ascii="Times New Roman" w:cs="Times New Roman" w:eastAsia="Times New Roman" w:hAnsi="Times New Roman"/>
          <w:sz w:val="17"/>
          <w:szCs w:val="17"/>
          <w:color w:val="auto"/>
        </w:rPr>
        <w:t>With respect to ArcLight, in connection with the preparation of ArcLight’s financial statements as of December 31, 2021, ArcLight concluded it was appropriate to restate the presentation of ArcLight Class A Ordinary Shares subject to possible redemption to reflect its ordinary shares within temporary equity after determining the ordinary shares’ redemption feature is not solely within its control. As part of such process, ArcLight identified a material weakness in its internal controls over financial reporting related to the accounting for its complex financial instruments (including redeemable equity instruments as described above).</w:t>
      </w:r>
    </w:p>
    <w:p>
      <w:pPr>
        <w:spacing w:after="0" w:line="197" w:lineRule="exact"/>
        <w:rPr>
          <w:sz w:val="20"/>
          <w:szCs w:val="20"/>
          <w:color w:val="auto"/>
        </w:rPr>
      </w:pPr>
    </w:p>
    <w:p>
      <w:pPr>
        <w:jc w:val="both"/>
        <w:ind w:firstLine="398"/>
        <w:spacing w:after="0" w:line="253" w:lineRule="auto"/>
        <w:rPr>
          <w:sz w:val="20"/>
          <w:szCs w:val="20"/>
          <w:color w:val="auto"/>
        </w:rPr>
      </w:pPr>
      <w:r>
        <w:rPr>
          <w:rFonts w:ascii="Times New Roman" w:cs="Times New Roman" w:eastAsia="Times New Roman" w:hAnsi="Times New Roman"/>
          <w:sz w:val="17"/>
          <w:szCs w:val="17"/>
          <w:color w:val="auto"/>
        </w:rPr>
        <w:t>These material weaknesses could result in a misstatement of substantially all of our accounts or disclosures that would result in a material misstatement to our annual or interim financial statements that would not be prevented or detected.</w:t>
      </w:r>
    </w:p>
    <w:p>
      <w:pPr>
        <w:spacing w:after="0" w:line="184" w:lineRule="exact"/>
        <w:rPr>
          <w:sz w:val="20"/>
          <w:szCs w:val="20"/>
          <w:color w:val="auto"/>
        </w:rPr>
      </w:pPr>
    </w:p>
    <w:p>
      <w:pPr>
        <w:jc w:val="both"/>
        <w:ind w:firstLine="398"/>
        <w:spacing w:after="0" w:line="233" w:lineRule="auto"/>
        <w:rPr>
          <w:sz w:val="20"/>
          <w:szCs w:val="20"/>
          <w:color w:val="auto"/>
        </w:rPr>
      </w:pPr>
      <w:r>
        <w:rPr>
          <w:rFonts w:ascii="Times New Roman" w:cs="Times New Roman" w:eastAsia="Times New Roman" w:hAnsi="Times New Roman"/>
          <w:sz w:val="17"/>
          <w:szCs w:val="17"/>
          <w:color w:val="auto"/>
        </w:rPr>
        <w:t>We have developed and begun executing on a plan to remediate these material weaknesses, including the hiring of a Chief Financial Officer and a Chief Accounting Officer. Our remediation plans may include measures such as: hiring additional accounting and financial reporting personnel with appropriate technical accounting knowledge and public company experience in financial reporting; designing and implementing formal processes, policies and procedures supporting our financial close process, including creating standard balance sheet reconciliation templates and journal entry controls; and designing and implementing controls to formalize roles and review responsibilities to align with our team’s skills and experience in designing and implementing formal controls over segregation of duties.</w:t>
      </w:r>
    </w:p>
    <w:p>
      <w:pPr>
        <w:spacing w:after="0" w:line="195" w:lineRule="exact"/>
        <w:rPr>
          <w:sz w:val="20"/>
          <w:szCs w:val="20"/>
          <w:color w:val="auto"/>
        </w:rPr>
      </w:pPr>
    </w:p>
    <w:p>
      <w:pPr>
        <w:jc w:val="both"/>
        <w:ind w:firstLine="398"/>
        <w:spacing w:after="0" w:line="233" w:lineRule="auto"/>
        <w:rPr>
          <w:sz w:val="20"/>
          <w:szCs w:val="20"/>
          <w:color w:val="auto"/>
        </w:rPr>
      </w:pPr>
      <w:r>
        <w:rPr>
          <w:rFonts w:ascii="Times New Roman" w:cs="Times New Roman" w:eastAsia="Times New Roman" w:hAnsi="Times New Roman"/>
          <w:sz w:val="17"/>
          <w:szCs w:val="17"/>
          <w:color w:val="auto"/>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failure to timely and effectively implement controls and procedures required by Section 404(a) of the Sarbanes-Oxley Act could have a material adverse effect on its business.</w:t>
      </w:r>
    </w:p>
    <w:p>
      <w:pPr>
        <w:spacing w:after="0" w:line="180" w:lineRule="exact"/>
        <w:rPr>
          <w:sz w:val="20"/>
          <w:szCs w:val="20"/>
          <w:color w:val="auto"/>
        </w:rPr>
      </w:pPr>
    </w:p>
    <w:p>
      <w:pPr>
        <w:jc w:val="both"/>
        <w:ind w:firstLine="398"/>
        <w:spacing w:after="0" w:line="231" w:lineRule="auto"/>
        <w:rPr>
          <w:sz w:val="20"/>
          <w:szCs w:val="20"/>
          <w:color w:val="auto"/>
        </w:rPr>
      </w:pPr>
      <w:r>
        <w:rPr>
          <w:rFonts w:ascii="Times New Roman" w:cs="Times New Roman" w:eastAsia="Times New Roman" w:hAnsi="Times New Roman"/>
          <w:sz w:val="17"/>
          <w:szCs w:val="17"/>
          <w:color w:val="auto"/>
        </w:rPr>
        <w:t>We are currently not subject to Section 404 of the Sarbanes-Oxley Act. However, we are required to provide management’s attestation on internal controls commencing with our annual report for the year ending December 31, 2022 in accordance with applicable SEC guidance. The standards required for a public company under Section 404(a) of the Sarbanes-Oxley Act are significantly more stringent than those required of OPAL Fuels historically as a privately-held company or by ArcLight prior to the closing of the Business Combination. Our management team may not be able to effectively and timely implement controls and procedures that adequately respond to the increased regulatory compliance and reporting requirements as a result of the Business Combination. If we are not able to implement the additional requirements of Section 404(a) of the Sarbanes-Oxley Act in a timely manner or with adequate compliance, we may not be able to assess whether its internal controls over financial reporting are effective, which may subject it to adverse regulatory consequences and could harm investor confidence and the market price of our securities.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Company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40"/>
          </w:cols>
          <w:pgMar w:left="320" w:top="856" w:right="339" w:bottom="1440" w:gutter="0" w:footer="0" w:header="0"/>
        </w:sectPr>
      </w:pPr>
    </w:p>
    <w:bookmarkStart w:id="94" w:name="page95"/>
    <w:bookmarkEnd w:id="94"/>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Future sales and issuances of our Class A common stock could result in additional dilution of the percentage ownership of our shareholders and could cause our share price to fall.</w:t>
      </w:r>
    </w:p>
    <w:p>
      <w:pPr>
        <w:spacing w:after="0" w:line="180" w:lineRule="exact"/>
        <w:rPr>
          <w:sz w:val="20"/>
          <w:szCs w:val="20"/>
          <w:color w:val="auto"/>
        </w:rPr>
      </w:pPr>
    </w:p>
    <w:p>
      <w:pPr>
        <w:jc w:val="both"/>
        <w:ind w:firstLine="398"/>
        <w:spacing w:after="0" w:line="256" w:lineRule="auto"/>
        <w:rPr>
          <w:sz w:val="20"/>
          <w:szCs w:val="20"/>
          <w:color w:val="auto"/>
        </w:rPr>
      </w:pPr>
      <w:r>
        <w:rPr>
          <w:rFonts w:ascii="Times New Roman" w:cs="Times New Roman" w:eastAsia="Times New Roman" w:hAnsi="Times New Roman"/>
          <w:sz w:val="16"/>
          <w:szCs w:val="16"/>
          <w:color w:val="auto"/>
        </w:rPr>
        <w:t>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sell shares of our Class A common stock, convertible securities or other equity securities, investors may be materially diluted by subsequent sales. Such sales may also result in material dilution to our existing shareholders, and new investors could gain rights, preferences, and privileges senior to existing holders of our Class A common stock.</w:t>
      </w:r>
    </w:p>
    <w:p>
      <w:pPr>
        <w:spacing w:after="0" w:line="1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Future sales of a substantial number of shares of our Class A common stock, or the perception in the market that the holders of a large number of shares of Class A common stock intend to sell shares, could reduce the market price of our Class A common stock.</w:t>
      </w:r>
    </w:p>
    <w:p>
      <w:pPr>
        <w:spacing w:after="0" w:line="192" w:lineRule="exact"/>
        <w:rPr>
          <w:sz w:val="20"/>
          <w:szCs w:val="20"/>
          <w:color w:val="auto"/>
        </w:rPr>
      </w:pPr>
    </w:p>
    <w:p>
      <w:pPr>
        <w:jc w:val="both"/>
        <w:ind w:firstLine="398"/>
        <w:spacing w:after="0" w:line="241" w:lineRule="auto"/>
        <w:rPr>
          <w:sz w:val="20"/>
          <w:szCs w:val="20"/>
          <w:color w:val="auto"/>
        </w:rPr>
      </w:pPr>
      <w:r>
        <w:rPr>
          <w:rFonts w:ascii="Times New Roman" w:cs="Times New Roman" w:eastAsia="Times New Roman" w:hAnsi="Times New Roman"/>
          <w:sz w:val="17"/>
          <w:szCs w:val="17"/>
          <w:color w:val="auto"/>
        </w:rPr>
        <w:t>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w:t>
      </w:r>
    </w:p>
    <w:p>
      <w:pPr>
        <w:spacing w:after="0" w:line="194" w:lineRule="exact"/>
        <w:rPr>
          <w:sz w:val="20"/>
          <w:szCs w:val="20"/>
          <w:color w:val="auto"/>
        </w:rPr>
      </w:pPr>
    </w:p>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Approximately 155,237,646 of these shares of Class A common stock are currently subject to restrictions on transfer under a 180-day lock-up agreement entered into between us and the holders of those shares. These restrictions are due to expire on January 17, 2023, resulting in these shares becoming eligible for public sale on January 18, 2023. Sales of such shares may be made under the registration statement filed under the Securities Act, or in reliance upon an exemption from registration under the Securities Act. Pursuant to that certain Investor Rights Agreement, dated July 21, 2022, by and among OPAL Fuels Inc., each of the Sellers named therein, the Sponsor and the sponsor principals, those stockholders are entitled to have the registration statement under the Securities Act kept effective for a prolonged period of time such that registered resales of their shares of Class A common stock can be made.</w:t>
      </w:r>
    </w:p>
    <w:p>
      <w:pPr>
        <w:spacing w:after="0" w:line="199" w:lineRule="exact"/>
        <w:rPr>
          <w:sz w:val="20"/>
          <w:szCs w:val="20"/>
          <w:color w:val="auto"/>
        </w:rPr>
      </w:pPr>
    </w:p>
    <w:p>
      <w:pPr>
        <w:jc w:val="both"/>
        <w:ind w:firstLine="398"/>
        <w:spacing w:after="0" w:line="247" w:lineRule="auto"/>
        <w:rPr>
          <w:sz w:val="20"/>
          <w:szCs w:val="20"/>
          <w:color w:val="auto"/>
        </w:rPr>
      </w:pPr>
      <w:r>
        <w:rPr>
          <w:rFonts w:ascii="Times New Roman" w:cs="Times New Roman" w:eastAsia="Times New Roman" w:hAnsi="Times New Roman"/>
          <w:sz w:val="16"/>
          <w:szCs w:val="16"/>
          <w:color w:val="auto"/>
        </w:rPr>
        <w:t>Until such time that such registration statement is effective, the registration statement registering such securities will permit the resale of these shares. 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 a large number of shares were registered pursuant to such registration statement,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Sales of substantial numbers of such shares in the public market, including the resale of the shares of Class A common stock held by our stockholders, could adversely affect the market price of our Class A common stock.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If certain holders of our Class A common stock sell a significant portion of their securities, it may negatively impact the market price of the shares of our Class A common stock and such holders still may receive significant proceeds.</w:t>
      </w:r>
    </w:p>
    <w:p>
      <w:pPr>
        <w:spacing w:after="0" w:line="180" w:lineRule="exact"/>
        <w:rPr>
          <w:sz w:val="20"/>
          <w:szCs w:val="20"/>
          <w:color w:val="auto"/>
        </w:rPr>
      </w:pPr>
    </w:p>
    <w:p>
      <w:pPr>
        <w:jc w:val="both"/>
        <w:ind w:firstLine="398"/>
        <w:spacing w:after="0" w:line="231" w:lineRule="auto"/>
        <w:rPr>
          <w:sz w:val="20"/>
          <w:szCs w:val="20"/>
          <w:color w:val="auto"/>
        </w:rPr>
      </w:pPr>
      <w:r>
        <w:rPr>
          <w:rFonts w:ascii="Times New Roman" w:cs="Times New Roman" w:eastAsia="Times New Roman" w:hAnsi="Times New Roman"/>
          <w:sz w:val="17"/>
          <w:szCs w:val="17"/>
          <w:color w:val="auto"/>
        </w:rPr>
        <w:t>As of the date of this report, the market price of our Class A common stock is below $10.00 per share, which was the price per unit sold in the initial public offering of our predecessor, ArcLight, the per-share price of the 11,080,600 shares of our Class A common stock sold to the PIPE Investors and also the per share value of the consideration issued to OPAL Fuels Common equityholders upon consummation of our Business Combination. However, certain of our shareholders who hold shares of our Class A common stock that were originally purchased by Arclight’s Sponsor in a private placement prior to Arclight’s initial public offering (the “Founder Shares”), may nonetheless be inclined to sell such Founder Shares as they were originally purchased at an effective price significantly less than $10.00 per share. The currently outstanding 7,779,076 Founder Shares were purchased at an effective price of $0.003 per share. Accordingly, holders of the Founder Shares could sell their securities at a per-share price that is less than $10.00 and still realize a significant profit from the sale of those securities that could not be realized by our other shareholders. On November 11, 2022, the closing price of our Class A common stock was $8.90. Based on this closing price, the aggregate sales price of the Founder Shares would be approximately $69,233,776.</w:t>
      </w:r>
    </w:p>
    <w:p>
      <w:pPr>
        <w:spacing w:after="0" w:line="196" w:lineRule="exact"/>
        <w:rPr>
          <w:sz w:val="20"/>
          <w:szCs w:val="20"/>
          <w:color w:val="auto"/>
        </w:rPr>
      </w:pPr>
    </w:p>
    <w:p>
      <w:pPr>
        <w:jc w:val="both"/>
        <w:ind w:firstLine="398"/>
        <w:spacing w:after="0" w:line="241" w:lineRule="auto"/>
        <w:rPr>
          <w:sz w:val="20"/>
          <w:szCs w:val="20"/>
          <w:color w:val="auto"/>
        </w:rPr>
      </w:pPr>
      <w:r>
        <w:rPr>
          <w:rFonts w:ascii="Times New Roman" w:cs="Times New Roman" w:eastAsia="Times New Roman" w:hAnsi="Times New Roman"/>
          <w:sz w:val="17"/>
          <w:szCs w:val="17"/>
          <w:color w:val="auto"/>
        </w:rPr>
        <w:t>The Founder Shares are currently subject to restrictions on transfer under applicable lock-up agreements; however, these restrictions are due to expire on January 17, 2023, resulting in these shares becoming eligible for public sale on January 18, 2023, if they are registered under the Securities Act, or if they qualify for an exemption from registration under the Securities 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 or legal proceedings could expose us to significant liabilities and have a negative impact on our reputations or business.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240"/>
          </w:cols>
          <w:pgMar w:left="320" w:top="852" w:right="339" w:bottom="1440" w:gutter="0" w:footer="0" w:header="0"/>
        </w:sectPr>
      </w:pPr>
    </w:p>
    <w:bookmarkStart w:id="95" w:name="page96"/>
    <w:bookmarkEnd w:id="95"/>
    <w:p>
      <w:pPr>
        <w:jc w:val="both"/>
        <w:ind w:firstLine="398"/>
        <w:spacing w:after="0" w:line="256" w:lineRule="auto"/>
        <w:rPr>
          <w:sz w:val="20"/>
          <w:szCs w:val="20"/>
          <w:color w:val="auto"/>
        </w:rPr>
      </w:pPr>
      <w:r>
        <w:rPr>
          <w:rFonts w:ascii="Times New Roman" w:cs="Times New Roman" w:eastAsia="Times New Roman" w:hAnsi="Times New Roman"/>
          <w:sz w:val="16"/>
          <w:szCs w:val="16"/>
          <w:color w:val="auto"/>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spacing w:after="0" w:line="185" w:lineRule="exact"/>
        <w:rPr>
          <w:sz w:val="20"/>
          <w:szCs w:val="20"/>
          <w:color w:val="auto"/>
        </w:rPr>
      </w:pPr>
    </w:p>
    <w:p>
      <w:pPr>
        <w:jc w:val="both"/>
        <w:ind w:firstLine="398"/>
        <w:spacing w:after="0" w:line="244" w:lineRule="auto"/>
        <w:rPr>
          <w:sz w:val="20"/>
          <w:szCs w:val="20"/>
          <w:color w:val="auto"/>
        </w:rPr>
      </w:pPr>
      <w:r>
        <w:rPr>
          <w:rFonts w:ascii="Times New Roman" w:cs="Times New Roman" w:eastAsia="Times New Roman" w:hAnsi="Times New Roman"/>
          <w:sz w:val="16"/>
          <w:szCs w:val="16"/>
          <w:color w:val="auto"/>
        </w:rPr>
        <w:t>Under the terms of ArcLight’s placement agent agreements with BofA Securities, Inc. (“BofA”), Credit Suisse Securities (USA) LLC (“CS”), Barclays Capital Inc. (“Barclays”) and Citigroup Global Markets Inc. (“Citi” and together with BofA, CS and Barclays, the “Advisors”) entered into in connection with the PIPE Investment, its financial advisory agreement with Citi entered into in connection with the Business Combination, and its Underwriting Agreement with Citi and Barclays entered in connection with ArcLight’s IPO, ArcLight agreed to indemnify and hold harmless each of the respective Advisors, their affiliates and each of their respective directors, officers, agents and employees from and against any losses and claims arising in any manner out of or in connection with the services provided to ArcLight thereunder. Under the terms of OPAL Fuels’s financial advisory agreements with BofA and CS, OPAL Fuels agreed to indemnify and hold harmless each of BofA and CS, their affiliates and each of their respective directors, officers, employees and agents from and against any losses and claims arising in any manner out of or in connection with the services provided to OPAL Fuels thereunder. Accordingly, if any claims, litigation, disputes or other legal proceedings are brought by third parties against any of the Advisors in relation to the services it provided to ArcLight or OPAL Fuels under any of these agreements, then we may be liable to pay for or reimburse such Advisor or Advisors for the losses and costs it incurs unless the losses and costs are finally judicially determined to have resulted from the gross negligence, bad faith or willful misconduct of such Advisor or Advisors or their respective directors, officers, employees and agents. Additionally, each of the agreements described above contains a contribution provision in the event that such indemnification is unavailable or otherwise prohibited by law, however, the contribution obligations of each Advisor are limited to the amount of compensation or fees actually paid to such party in respect of the engagement. As a result, the contribution obligations of Barclays and Citi under the Underwriting Agreement are limited to the initial underwriting commission paid at the time of ArcLight’s IPO and the Advisors otherwise have no further contribution liability under the other agreements (including the Underwriting Agreement) because they waived their rights to any fees or deferred underwriting</w:t>
      </w:r>
    </w:p>
    <w:p>
      <w:pPr>
        <w:spacing w:after="0" w:line="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 xml:space="preserve">commissions in connection with their resignations as described under </w:t>
      </w:r>
      <w:r>
        <w:rPr>
          <w:rFonts w:ascii="Times New Roman" w:cs="Times New Roman" w:eastAsia="Times New Roman" w:hAnsi="Times New Roman"/>
          <w:sz w:val="19"/>
          <w:szCs w:val="19"/>
          <w:i w:val="1"/>
          <w:iCs w:val="1"/>
          <w:color w:val="auto"/>
        </w:rPr>
        <w:t>Summary — Recent Developments</w:t>
      </w:r>
      <w:r>
        <w:rPr>
          <w:rFonts w:ascii="Times New Roman" w:cs="Times New Roman" w:eastAsia="Times New Roman" w:hAnsi="Times New Roman"/>
          <w:sz w:val="17"/>
          <w:szCs w:val="17"/>
          <w:color w:val="auto"/>
        </w:rPr>
        <w:t>. Therefore, as a result of the Advisors’ resignations, and in contrast to other transactions where the underwriters and financial advisors did not resign and waive rights to fees or deferred underwriting commissions, as the case may be, our potential financial liability with respect to an indemnified loss where such indemnification is otherwise unavailable to the indemnified party may be higher under the respective agreements than it would have been had such underwriters and financial advisors not resigned and waived their rights to any fees or deferred underwriting commissions.</w:t>
      </w:r>
    </w:p>
    <w:p>
      <w:pPr>
        <w:spacing w:after="0" w:line="196" w:lineRule="exact"/>
        <w:rPr>
          <w:sz w:val="20"/>
          <w:szCs w:val="20"/>
          <w:color w:val="auto"/>
        </w:rPr>
      </w:pPr>
    </w:p>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spacing w:after="0" w:line="195" w:lineRule="exact"/>
        <w:rPr>
          <w:sz w:val="20"/>
          <w:szCs w:val="20"/>
          <w:color w:val="auto"/>
        </w:rPr>
      </w:pPr>
    </w:p>
    <w:p>
      <w:pPr>
        <w:jc w:val="both"/>
        <w:ind w:firstLine="398"/>
        <w:spacing w:after="0" w:line="235" w:lineRule="auto"/>
        <w:rPr>
          <w:sz w:val="20"/>
          <w:szCs w:val="20"/>
          <w:color w:val="auto"/>
        </w:rPr>
      </w:pPr>
      <w:r>
        <w:rPr>
          <w:rFonts w:ascii="Times New Roman" w:cs="Times New Roman" w:eastAsia="Times New Roman" w:hAnsi="Times New Roman"/>
          <w:sz w:val="17"/>
          <w:szCs w:val="17"/>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spacing w:after="0" w:line="180" w:lineRule="exact"/>
        <w:rPr>
          <w:sz w:val="20"/>
          <w:szCs w:val="20"/>
          <w:color w:val="auto"/>
        </w:rPr>
      </w:pPr>
    </w:p>
    <w:p>
      <w:pPr>
        <w:jc w:val="both"/>
        <w:ind w:firstLine="398"/>
        <w:spacing w:after="0" w:line="236" w:lineRule="auto"/>
        <w:rPr>
          <w:sz w:val="20"/>
          <w:szCs w:val="20"/>
          <w:color w:val="auto"/>
        </w:rPr>
      </w:pPr>
      <w:r>
        <w:rPr>
          <w:rFonts w:ascii="Times New Roman" w:cs="Times New Roman" w:eastAsia="Times New Roman" w:hAnsi="Times New Roman"/>
          <w:sz w:val="17"/>
          <w:szCs w:val="17"/>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240"/>
          </w:cols>
          <w:pgMar w:left="320" w:top="1080" w:right="339" w:bottom="1440" w:gutter="0" w:footer="0" w:header="0"/>
        </w:sectPr>
      </w:pPr>
    </w:p>
    <w:bookmarkStart w:id="96" w:name="page97"/>
    <w:bookmarkEnd w:id="96"/>
    <w:p>
      <w:pPr>
        <w:jc w:val="both"/>
        <w:spacing w:after="0" w:line="237" w:lineRule="auto"/>
        <w:rPr>
          <w:sz w:val="20"/>
          <w:szCs w:val="20"/>
          <w:color w:val="auto"/>
        </w:rPr>
      </w:pPr>
      <w:r>
        <w:rPr>
          <w:rFonts w:ascii="Times New Roman" w:cs="Times New Roman" w:eastAsia="Times New Roman" w:hAnsi="Times New Roman"/>
          <w:sz w:val="17"/>
          <w:szCs w:val="17"/>
          <w:color w:val="auto"/>
        </w:rPr>
        <w:t>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are subject to changing law and regulations regarding regulatory matters, corporate governance and public disclosure that will increase both our costs and the risk of noncompliance.</w:t>
      </w:r>
    </w:p>
    <w:p>
      <w:pPr>
        <w:spacing w:after="0" w:line="180" w:lineRule="exact"/>
        <w:rPr>
          <w:sz w:val="20"/>
          <w:szCs w:val="20"/>
          <w:color w:val="auto"/>
        </w:rPr>
      </w:pPr>
    </w:p>
    <w:p>
      <w:pPr>
        <w:jc w:val="both"/>
        <w:ind w:firstLine="398"/>
        <w:spacing w:after="0" w:line="235" w:lineRule="auto"/>
        <w:rPr>
          <w:sz w:val="20"/>
          <w:szCs w:val="20"/>
          <w:color w:val="auto"/>
        </w:rPr>
      </w:pPr>
      <w:r>
        <w:rPr>
          <w:rFonts w:ascii="Times New Roman" w:cs="Times New Roman" w:eastAsia="Times New Roman" w:hAnsi="Times New Roman"/>
          <w:sz w:val="17"/>
          <w:szCs w:val="17"/>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has resulted in increased general and administrative expenses.</w:t>
      </w:r>
    </w:p>
    <w:p>
      <w:pPr>
        <w:spacing w:after="0" w:line="196" w:lineRule="exact"/>
        <w:rPr>
          <w:sz w:val="20"/>
          <w:szCs w:val="20"/>
          <w:color w:val="auto"/>
        </w:rPr>
      </w:pPr>
    </w:p>
    <w:p>
      <w:pPr>
        <w:jc w:val="both"/>
        <w:ind w:firstLine="398"/>
        <w:spacing w:after="0" w:line="237" w:lineRule="auto"/>
        <w:rPr>
          <w:sz w:val="20"/>
          <w:szCs w:val="20"/>
          <w:color w:val="auto"/>
        </w:rPr>
      </w:pPr>
      <w:r>
        <w:rPr>
          <w:rFonts w:ascii="Times New Roman" w:cs="Times New Roman" w:eastAsia="Times New Roman" w:hAnsi="Times New Roman"/>
          <w:sz w:val="17"/>
          <w:szCs w:val="17"/>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Warrants may have an adverse effect on the market price of our Class A common stock.</w:t>
      </w:r>
    </w:p>
    <w:p>
      <w:pPr>
        <w:spacing w:after="0" w:line="219" w:lineRule="exact"/>
        <w:rPr>
          <w:sz w:val="20"/>
          <w:szCs w:val="20"/>
          <w:color w:val="auto"/>
        </w:rPr>
      </w:pPr>
    </w:p>
    <w:p>
      <w:pPr>
        <w:jc w:val="both"/>
        <w:ind w:firstLine="398"/>
        <w:spacing w:after="0" w:line="236" w:lineRule="auto"/>
        <w:rPr>
          <w:sz w:val="20"/>
          <w:szCs w:val="20"/>
          <w:color w:val="auto"/>
        </w:rPr>
      </w:pPr>
      <w:r>
        <w:rPr>
          <w:rFonts w:ascii="Times New Roman" w:cs="Times New Roman" w:eastAsia="Times New Roman" w:hAnsi="Times New Roman"/>
          <w:sz w:val="17"/>
          <w:szCs w:val="17"/>
          <w:color w:val="auto"/>
        </w:rPr>
        <w:t>As of the date of this report, we have 6,223,233 outstanding Public Warrants to purchase 6,223,233 shares of our Class A common stock, exercisable at an exercise price of $11.50 per share, which expire on the earlier to occur of July 21, 2027 or redemption; and (ii) 9,223,261 outstanding Private Warrants to purchase 9,223,261 shares of our Class A common stock, exercisable at an exercise price of $11.50 per share, which expire on the earlier to occur of July 21, 2027 or redemption. The exercise of a significant number of the Warrants in the future may have an adverse effect on the market price of our Class A common stock, in that it may increase the number of shares that are available for sale in the market.</w:t>
      </w:r>
    </w:p>
    <w:p>
      <w:pPr>
        <w:spacing w:after="0" w:line="195" w:lineRule="exact"/>
        <w:rPr>
          <w:sz w:val="20"/>
          <w:szCs w:val="20"/>
          <w:color w:val="auto"/>
        </w:rPr>
      </w:pPr>
    </w:p>
    <w:p>
      <w:pPr>
        <w:jc w:val="both"/>
        <w:ind w:firstLine="398"/>
        <w:spacing w:after="0" w:line="232" w:lineRule="auto"/>
        <w:rPr>
          <w:sz w:val="20"/>
          <w:szCs w:val="20"/>
          <w:color w:val="auto"/>
        </w:rPr>
      </w:pPr>
      <w:r>
        <w:rPr>
          <w:rFonts w:ascii="Times New Roman" w:cs="Times New Roman" w:eastAsia="Times New Roman" w:hAnsi="Times New Roman"/>
          <w:sz w:val="17"/>
          <w:szCs w:val="17"/>
          <w:color w:val="auto"/>
        </w:rPr>
        <w:t>The exercise of Warrants, and any proceeds we may receive from their exercise, are highly dependent on the price of our Class A common stock and the spread between the exercise price of the Warrant and the price of our Class A common stock at the time of exercise. For example, to the extent that the price of our Class A common stock exceeds $11.50 per share, it is more likely that holders of our Warrants will exercise their Warrants. If the price of our Class A common stock is less than $11.50 per share, it is unlikely that such holders will exercise their Warrants. As of November 11, 2022, the closing price of our Class A common stock was $8.90 per share. There can be no assurance that all of our Warrants will be in the money prior to their expiration. Further, our Sponsor and its permitted transferees have the option to exercise the Private Warrants on a cashless basis.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80" w:lineRule="exact"/>
        <w:rPr>
          <w:sz w:val="20"/>
          <w:szCs w:val="20"/>
          <w:color w:val="auto"/>
        </w:rPr>
      </w:pPr>
    </w:p>
    <w:p>
      <w:pPr>
        <w:jc w:val="both"/>
        <w:ind w:firstLine="398"/>
        <w:spacing w:after="0" w:line="236" w:lineRule="auto"/>
        <w:rPr>
          <w:sz w:val="20"/>
          <w:szCs w:val="20"/>
          <w:color w:val="auto"/>
        </w:rPr>
      </w:pPr>
      <w:r>
        <w:rPr>
          <w:rFonts w:ascii="Times New Roman" w:cs="Times New Roman" w:eastAsia="Times New Roman" w:hAnsi="Times New Roman"/>
          <w:sz w:val="17"/>
          <w:szCs w:val="17"/>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spacing w:after="0" w:line="195" w:lineRule="exact"/>
        <w:rPr>
          <w:sz w:val="20"/>
          <w:szCs w:val="20"/>
          <w:color w:val="auto"/>
        </w:rPr>
      </w:pPr>
    </w:p>
    <w:p>
      <w:pPr>
        <w:jc w:val="both"/>
        <w:ind w:firstLine="398"/>
        <w:spacing w:after="0" w:line="231" w:lineRule="auto"/>
        <w:rPr>
          <w:sz w:val="20"/>
          <w:szCs w:val="20"/>
          <w:color w:val="auto"/>
        </w:rPr>
      </w:pPr>
      <w:r>
        <w:rPr>
          <w:rFonts w:ascii="Times New Roman" w:cs="Times New Roman" w:eastAsia="Times New Roman" w:hAnsi="Times New Roman"/>
          <w:sz w:val="17"/>
          <w:szCs w:val="17"/>
          <w:color w:val="auto"/>
        </w:rPr>
        <w:t>We may lose our emerging growth company status and become subject to the SEC’s internal control over financial reporting management and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$1.235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spacing w:after="0" w:line="199" w:lineRule="exact"/>
        <w:rPr>
          <w:sz w:val="20"/>
          <w:szCs w:val="20"/>
          <w:color w:val="auto"/>
        </w:rPr>
      </w:pPr>
    </w:p>
    <w:p>
      <w:pPr>
        <w:jc w:val="both"/>
        <w:ind w:firstLine="398"/>
        <w:spacing w:after="0" w:line="241" w:lineRule="auto"/>
        <w:rPr>
          <w:sz w:val="20"/>
          <w:szCs w:val="20"/>
          <w:color w:val="auto"/>
        </w:rPr>
      </w:pPr>
      <w:r>
        <w:rPr>
          <w:rFonts w:ascii="Times New Roman" w:cs="Times New Roman" w:eastAsia="Times New Roman" w:hAnsi="Times New Roman"/>
          <w:sz w:val="17"/>
          <w:szCs w:val="17"/>
          <w:color w:val="auto"/>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40"/>
          </w:cols>
          <w:pgMar w:left="320" w:top="856" w:right="339" w:bottom="1440" w:gutter="0" w:footer="0" w:header="0"/>
        </w:sectPr>
      </w:pPr>
    </w:p>
    <w:bookmarkStart w:id="97" w:name="page98"/>
    <w:bookmarkEnd w:id="97"/>
    <w:p>
      <w:pPr>
        <w:jc w:val="both"/>
        <w:spacing w:after="0" w:line="237" w:lineRule="auto"/>
        <w:rPr>
          <w:sz w:val="20"/>
          <w:szCs w:val="20"/>
          <w:color w:val="auto"/>
        </w:rPr>
      </w:pPr>
      <w:r>
        <w:rPr>
          <w:rFonts w:ascii="Times New Roman" w:cs="Times New Roman" w:eastAsia="Times New Roman" w:hAnsi="Times New Roman"/>
          <w:sz w:val="17"/>
          <w:szCs w:val="17"/>
          <w:color w:val="auto"/>
        </w:rPr>
        <w:t>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19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b w:val="1"/>
          <w:bCs w:val="1"/>
          <w:i w:val="1"/>
          <w:iCs w:val="1"/>
          <w:color w:val="auto"/>
        </w:rPr>
        <w:t>Our current majority stockholder has control over all stockholder decisions because it controls a substantial majority of our voting power through “high vote” voting stock. Such majority stockholder, and the persons controlling such majority stockholder, including Fortistar and Mr. Mark Comora, our Chairman of the board of directors,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spacing w:after="0" w:line="195" w:lineRule="exact"/>
        <w:rPr>
          <w:sz w:val="20"/>
          <w:szCs w:val="20"/>
          <w:color w:val="auto"/>
        </w:rPr>
      </w:pPr>
    </w:p>
    <w:p>
      <w:pPr>
        <w:jc w:val="both"/>
        <w:ind w:firstLine="398"/>
        <w:spacing w:after="0" w:line="251" w:lineRule="auto"/>
        <w:rPr>
          <w:sz w:val="20"/>
          <w:szCs w:val="20"/>
          <w:color w:val="auto"/>
        </w:rPr>
      </w:pPr>
      <w:r>
        <w:rPr>
          <w:rFonts w:ascii="Times New Roman" w:cs="Times New Roman" w:eastAsia="Times New Roman" w:hAnsi="Times New Roman"/>
          <w:sz w:val="16"/>
          <w:szCs w:val="16"/>
          <w:color w:val="auto"/>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145,279,637 shares of OPAL, comprising 85.7% of our outstanding common stock as of November 11, 2022. All of these shares (with the exception of 800,600 shares of Class A common stock purchased by Fortistar in the PIPE Investment) are Class D common stock, which have no economic rights but are entitled to five votes per share, giving Mr. Mark Comora control over 96.6% of our voting power. OPAL Holdco and Hillman are controlled, indirectly, by Mr. Mark Comora through entities affiliated with Mr. Mark Comora, including Fortistar and certain of its other affiliates. Mr. Mark Comora is the Chairman of our board of directors.</w:t>
      </w:r>
    </w:p>
    <w:p>
      <w:pPr>
        <w:spacing w:after="0" w:line="188" w:lineRule="exact"/>
        <w:rPr>
          <w:sz w:val="20"/>
          <w:szCs w:val="20"/>
          <w:color w:val="auto"/>
        </w:rPr>
      </w:pPr>
    </w:p>
    <w:p>
      <w:pPr>
        <w:jc w:val="both"/>
        <w:ind w:firstLine="398"/>
        <w:spacing w:after="0" w:line="246" w:lineRule="auto"/>
        <w:rPr>
          <w:sz w:val="20"/>
          <w:szCs w:val="20"/>
          <w:color w:val="auto"/>
        </w:rPr>
      </w:pPr>
      <w:r>
        <w:rPr>
          <w:rFonts w:ascii="Times New Roman" w:cs="Times New Roman" w:eastAsia="Times New Roman" w:hAnsi="Times New Roman"/>
          <w:sz w:val="16"/>
          <w:szCs w:val="16"/>
          <w:color w:val="auto"/>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spacing w:after="0" w:line="192" w:lineRule="exact"/>
        <w:rPr>
          <w:sz w:val="20"/>
          <w:szCs w:val="20"/>
          <w:color w:val="auto"/>
        </w:rPr>
      </w:pPr>
    </w:p>
    <w:p>
      <w:pPr>
        <w:jc w:val="both"/>
        <w:ind w:firstLine="398"/>
        <w:spacing w:after="0" w:line="256" w:lineRule="auto"/>
        <w:rPr>
          <w:sz w:val="20"/>
          <w:szCs w:val="20"/>
          <w:color w:val="auto"/>
        </w:rPr>
      </w:pPr>
      <w:r>
        <w:rPr>
          <w:rFonts w:ascii="Times New Roman" w:cs="Times New Roman" w:eastAsia="Times New Roman" w:hAnsi="Times New Roman"/>
          <w:sz w:val="16"/>
          <w:szCs w:val="16"/>
          <w:color w:val="auto"/>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spacing w:after="0" w:line="185" w:lineRule="exact"/>
        <w:rPr>
          <w:sz w:val="20"/>
          <w:szCs w:val="20"/>
          <w:color w:val="auto"/>
        </w:rPr>
      </w:pPr>
    </w:p>
    <w:p>
      <w:pPr>
        <w:jc w:val="both"/>
        <w:ind w:firstLine="398"/>
        <w:spacing w:after="0" w:line="230" w:lineRule="auto"/>
        <w:rPr>
          <w:sz w:val="20"/>
          <w:szCs w:val="20"/>
          <w:color w:val="auto"/>
        </w:rPr>
      </w:pPr>
      <w:r>
        <w:rPr>
          <w:rFonts w:ascii="Times New Roman" w:cs="Times New Roman" w:eastAsia="Times New Roman" w:hAnsi="Times New Roman"/>
          <w:sz w:val="17"/>
          <w:szCs w:val="17"/>
          <w:color w:val="auto"/>
        </w:rPr>
        <w:t>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240"/>
          </w:cols>
          <w:pgMar w:left="320" w:top="856" w:right="339" w:bottom="1440" w:gutter="0" w:footer="0" w:header="0"/>
        </w:sectPr>
      </w:pPr>
    </w:p>
    <w:bookmarkStart w:id="98" w:name="page99"/>
    <w:bookmarkEnd w:id="98"/>
    <w:p>
      <w:pPr>
        <w:jc w:val="both"/>
        <w:spacing w:after="0" w:line="253" w:lineRule="auto"/>
        <w:rPr>
          <w:sz w:val="20"/>
          <w:szCs w:val="20"/>
          <w:color w:val="auto"/>
        </w:rPr>
      </w:pPr>
      <w:r>
        <w:rPr>
          <w:rFonts w:ascii="Times New Roman" w:cs="Times New Roman" w:eastAsia="Times New Roman" w:hAnsi="Times New Roman"/>
          <w:sz w:val="17"/>
          <w:szCs w:val="17"/>
          <w:color w:val="auto"/>
        </w:rPr>
        <w:t>conflict with the interests of ours and influence their motivation in identifying and selecting our business opportunities, their support or lack thereof for pursuing such business opportunities and our operations.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b w:val="1"/>
          <w:bCs w:val="1"/>
          <w:i w:val="1"/>
          <w:iCs w:val="1"/>
          <w:color w:val="auto"/>
        </w:rPr>
        <w:t>The existence of a family relationship between Mr. Mark Comora, as our Chairman of our board, and Mr. Adam Comora, as our Co-Chief Executive Officer, may result in a conflict of interest on the part of such persons between what he, in his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spacing w:after="0" w:line="195" w:lineRule="exact"/>
        <w:rPr>
          <w:sz w:val="20"/>
          <w:szCs w:val="20"/>
          <w:color w:val="auto"/>
        </w:rPr>
      </w:pPr>
    </w:p>
    <w:p>
      <w:pPr>
        <w:jc w:val="both"/>
        <w:ind w:firstLine="398"/>
        <w:spacing w:after="0" w:line="230" w:lineRule="auto"/>
        <w:rPr>
          <w:sz w:val="20"/>
          <w:szCs w:val="20"/>
          <w:color w:val="auto"/>
        </w:rPr>
      </w:pPr>
      <w:r>
        <w:rPr>
          <w:rFonts w:ascii="Times New Roman" w:cs="Times New Roman" w:eastAsia="Times New Roman" w:hAnsi="Times New Roman"/>
          <w:sz w:val="17"/>
          <w:szCs w:val="17"/>
          <w:color w:val="auto"/>
        </w:rPr>
        <w:t>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only material assets are our direct interests in OPAL Fuels, and we are accordingly dependent upon distributions from OPAL Fuels to pay dividends and taxes and other expenses.</w:t>
      </w:r>
    </w:p>
    <w:p>
      <w:pPr>
        <w:spacing w:after="0" w:line="180" w:lineRule="exact"/>
        <w:rPr>
          <w:sz w:val="20"/>
          <w:szCs w:val="20"/>
          <w:color w:val="auto"/>
        </w:rPr>
      </w:pPr>
    </w:p>
    <w:p>
      <w:pPr>
        <w:jc w:val="both"/>
        <w:ind w:firstLine="398"/>
        <w:spacing w:after="0" w:line="231" w:lineRule="auto"/>
        <w:rPr>
          <w:sz w:val="20"/>
          <w:szCs w:val="20"/>
          <w:color w:val="auto"/>
        </w:rPr>
      </w:pPr>
      <w:r>
        <w:rPr>
          <w:rFonts w:ascii="Times New Roman" w:cs="Times New Roman" w:eastAsia="Times New Roman" w:hAnsi="Times New Roman"/>
          <w:sz w:val="17"/>
          <w:szCs w:val="17"/>
          <w:color w:val="auto"/>
        </w:rPr>
        <w:t>We are a holding company and have no material assets other than our ownership of Class A Units in OPAL Fuels. We therefore have no independent means of generating revenue. We intend to cause our subsidiaries (including OPAL Fuels) to make distributions in an amount sufficient to cover all applicable taxes and other expenses payable and dividends, if any, declared by us. The agreements governing our debt facilities impose, and agreements governing our future debt 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needs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spacing w:after="0" w:line="19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b w:val="1"/>
          <w:bCs w:val="1"/>
          <w:i w:val="1"/>
          <w:iCs w:val="1"/>
          <w:color w:val="auto"/>
        </w:rPr>
        <w:t>If we are deemed an “investment company” under the Investment Company Act as a result of our ownership of OPAL Fuels, applicable restrictions could make it impractical for us to continue our business as contemplated and could have a material adverse effect on its business.</w:t>
      </w:r>
    </w:p>
    <w:p>
      <w:pPr>
        <w:spacing w:after="0" w:line="1" w:lineRule="exact"/>
        <w:rPr>
          <w:sz w:val="20"/>
          <w:szCs w:val="20"/>
          <w:color w:val="auto"/>
        </w:rPr>
      </w:pPr>
    </w:p>
    <w:p>
      <w:pPr>
        <w:jc w:val="both"/>
        <w:ind w:firstLine="398"/>
        <w:spacing w:after="0" w:line="228" w:lineRule="auto"/>
        <w:rPr>
          <w:sz w:val="20"/>
          <w:szCs w:val="20"/>
          <w:color w:val="auto"/>
        </w:rPr>
      </w:pPr>
      <w:r>
        <w:rPr>
          <w:rFonts w:ascii="Times New Roman" w:cs="Times New Roman" w:eastAsia="Times New Roman" w:hAnsi="Times New Roman"/>
          <w:sz w:val="17"/>
          <w:szCs w:val="17"/>
          <w:color w:val="auto"/>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OPAL Fuels. As managing member of OPAL Fuels, we generally have control over all of the affairs and decision making of OPAL Fuels. On the basis of our control over OPAL Fuels, we believe our direct interest in OPAL Fuels is not an “investment security” within the meaning of the Investment Company Act. If we were to cease participation in the management of OPAL Fuels, however, our interest in OPAL Fuels could be deemed an “investment security,” which could result in our being required to register as an investment company under the Investment Company Act and becoming subject to the registration and other requirements of the Investment Company Act.</w:t>
      </w:r>
    </w:p>
    <w:p>
      <w:pPr>
        <w:spacing w:after="0" w:line="198" w:lineRule="exact"/>
        <w:rPr>
          <w:sz w:val="20"/>
          <w:szCs w:val="20"/>
          <w:color w:val="auto"/>
        </w:rPr>
      </w:pPr>
    </w:p>
    <w:p>
      <w:pPr>
        <w:jc w:val="both"/>
        <w:ind w:firstLine="398"/>
        <w:spacing w:after="0" w:line="233" w:lineRule="auto"/>
        <w:rPr>
          <w:sz w:val="20"/>
          <w:szCs w:val="20"/>
          <w:color w:val="auto"/>
        </w:rPr>
      </w:pPr>
      <w:r>
        <w:rPr>
          <w:rFonts w:ascii="Times New Roman" w:cs="Times New Roman" w:eastAsia="Times New Roman" w:hAnsi="Times New Roman"/>
          <w:sz w:val="17"/>
          <w:szCs w:val="17"/>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OPAL Fuels, members of their respective management teams and related entities or any combination thereof and materially adversely affect our business, financial condition and results of operations.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40"/>
          </w:cols>
          <w:pgMar w:left="320" w:top="856" w:right="339" w:bottom="1440" w:gutter="0" w:footer="0" w:header="0"/>
        </w:sectPr>
      </w:pPr>
    </w:p>
    <w:bookmarkStart w:id="99" w:name="page100"/>
    <w:bookmarkEnd w:id="99"/>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are a controlled company, and thus not subject to all of the corporate governance rules of Nasdaq. You will not have the same protections afforded to stockholders of companies that are subject to such requirements.</w:t>
      </w:r>
    </w:p>
    <w:p>
      <w:pPr>
        <w:spacing w:after="0" w:line="180" w:lineRule="exact"/>
        <w:rPr>
          <w:sz w:val="20"/>
          <w:szCs w:val="20"/>
          <w:color w:val="auto"/>
        </w:rPr>
      </w:pPr>
    </w:p>
    <w:p>
      <w:pPr>
        <w:jc w:val="both"/>
        <w:ind w:firstLine="398"/>
        <w:spacing w:after="0" w:line="248" w:lineRule="auto"/>
        <w:rPr>
          <w:sz w:val="20"/>
          <w:szCs w:val="20"/>
          <w:color w:val="auto"/>
        </w:rPr>
      </w:pPr>
      <w:r>
        <w:rPr>
          <w:rFonts w:ascii="Times New Roman" w:cs="Times New Roman" w:eastAsia="Times New Roman" w:hAnsi="Times New Roman"/>
          <w:sz w:val="16"/>
          <w:szCs w:val="16"/>
          <w:color w:val="auto"/>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dual-class structure of our common stock may adversely affect the trading market for the shares of Class A common stock.</w:t>
      </w:r>
    </w:p>
    <w:p>
      <w:pPr>
        <w:spacing w:after="0" w:line="219" w:lineRule="exact"/>
        <w:rPr>
          <w:sz w:val="20"/>
          <w:szCs w:val="20"/>
          <w:color w:val="auto"/>
        </w:rPr>
      </w:pPr>
    </w:p>
    <w:p>
      <w:pPr>
        <w:jc w:val="both"/>
        <w:ind w:firstLine="398"/>
        <w:spacing w:after="0" w:line="249" w:lineRule="auto"/>
        <w:rPr>
          <w:sz w:val="20"/>
          <w:szCs w:val="20"/>
          <w:color w:val="auto"/>
        </w:rPr>
      </w:pPr>
      <w:r>
        <w:rPr>
          <w:rFonts w:ascii="Times New Roman" w:cs="Times New Roman" w:eastAsia="Times New Roman" w:hAnsi="Times New Roman"/>
          <w:sz w:val="16"/>
          <w:szCs w:val="16"/>
          <w:color w:val="auto"/>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may be required to repurchase up to 1,659,658 shares of our Class A common stock from an investor with whom we entered into a forward purchase agreement in connection with the Business Combination closing, which would reduce the amount of cash available to us to fund our growth plan.</w:t>
      </w:r>
    </w:p>
    <w:p>
      <w:pPr>
        <w:spacing w:after="0" w:line="180" w:lineRule="exact"/>
        <w:rPr>
          <w:sz w:val="20"/>
          <w:szCs w:val="20"/>
          <w:color w:val="auto"/>
        </w:rPr>
      </w:pPr>
    </w:p>
    <w:p>
      <w:pPr>
        <w:jc w:val="both"/>
        <w:ind w:firstLine="398"/>
        <w:spacing w:after="0" w:line="230" w:lineRule="auto"/>
        <w:rPr>
          <w:sz w:val="20"/>
          <w:szCs w:val="20"/>
          <w:color w:val="auto"/>
        </w:rPr>
      </w:pPr>
      <w:r>
        <w:rPr>
          <w:rFonts w:ascii="Times New Roman" w:cs="Times New Roman" w:eastAsia="Times New Roman" w:hAnsi="Times New Roman"/>
          <w:sz w:val="17"/>
          <w:szCs w:val="17"/>
          <w:color w:val="auto"/>
        </w:rPr>
        <w:t>In connection with the closing of the Business Combination, Arclight entered into the Forward Purchase Agreement with Meteora, pursuant to which Meteora purchased 2,000,000 Class A ordinary shares of ArcLight from shareholders that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We have agreed that on the six-month anniversary of the closing of the Business Combination, to the extent Meteora still holds such shares, Meteora may elect to cause us to purchase such shares at a per share price of $10.02 per share. Subsequent to the closing, Meteora informed the Company that it has entered into sale transactions with respect to 340,342 shares of Class A common stock. As a result, approximately $3,410,227 was released from escrow to the Company. If Meteora holds some or all of the 1,659,658 remaining shares on that date, and the per share trading price of our Class A common shares is less than $10.02 per share, we would expect that Meteora will exercise this repurchase right with respect to such shares. We have placed $16,629,773 remaining in escrow to secure our purchase obligations to Meteora under the Forward Purchase Agreement. If we are required to repurchase these shares, it would reduce the amount of cash available to fund our growth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can be no assurance that we will be able to comply with the continued listing standards of Nasdaq.</w:t>
      </w:r>
    </w:p>
    <w:p>
      <w:pPr>
        <w:spacing w:after="0" w:line="219" w:lineRule="exact"/>
        <w:rPr>
          <w:sz w:val="20"/>
          <w:szCs w:val="20"/>
          <w:color w:val="auto"/>
        </w:rPr>
      </w:pPr>
    </w:p>
    <w:p>
      <w:pPr>
        <w:jc w:val="both"/>
        <w:ind w:firstLine="398"/>
        <w:spacing w:after="0" w:line="230" w:lineRule="auto"/>
        <w:rPr>
          <w:sz w:val="20"/>
          <w:szCs w:val="20"/>
          <w:color w:val="auto"/>
        </w:rPr>
      </w:pPr>
      <w:r>
        <w:rPr>
          <w:rFonts w:ascii="Times New Roman" w:cs="Times New Roman" w:eastAsia="Times New Roman" w:hAnsi="Times New Roman"/>
          <w:sz w:val="17"/>
          <w:szCs w:val="17"/>
          <w:color w:val="auto"/>
        </w:rPr>
        <w:t>Our shares of Class A common stock and the Public Warrants are listed on Nasdaq under the symbols “OPAL” and “OPALW,” respectively. If Nasdaq delists our securities from trading on its exchange for failure to meet the listing standards, we and our stockholders could face significant negative consequences. If we are required to repurchase any shares of our Class A common stock from Meteora pursuant to the Forward Purchase Agreement, it may cause us to fail to satisfy the Nasdaq’s minimum standard requirements, including its requirement that we have a minimum of 1,000,000 unrestricted publicly held shares. The consequences of failing to meet the listing requirements include:</w:t>
      </w:r>
    </w:p>
    <w:p>
      <w:pPr>
        <w:ind w:left="500" w:hanging="103"/>
        <w:spacing w:after="0" w:line="230" w:lineRule="auto"/>
        <w:tabs>
          <w:tab w:leader="none" w:pos="5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availability of market quotations for our securities;</w:t>
      </w:r>
    </w:p>
    <w:p>
      <w:pPr>
        <w:ind w:left="500" w:hanging="103"/>
        <w:spacing w:after="0"/>
        <w:tabs>
          <w:tab w:leader="none" w:pos="5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determination that the Class A common stock is a “penny stock” which will require brokers trading in the Class A common stock to adhere to more stringent</w:t>
      </w:r>
    </w:p>
    <w:p>
      <w:pPr>
        <w:spacing w:after="0" w:line="231" w:lineRule="auto"/>
        <w:rPr>
          <w:sz w:val="20"/>
          <w:szCs w:val="20"/>
          <w:color w:val="auto"/>
        </w:rPr>
      </w:pPr>
      <w:r>
        <w:rPr>
          <w:rFonts w:ascii="Times New Roman" w:cs="Times New Roman" w:eastAsia="Times New Roman" w:hAnsi="Times New Roman"/>
          <w:sz w:val="17"/>
          <w:szCs w:val="17"/>
          <w:color w:val="auto"/>
        </w:rPr>
        <w:t>rules;</w:t>
      </w:r>
    </w:p>
    <w:p>
      <w:pPr>
        <w:ind w:left="500" w:hanging="103"/>
        <w:spacing w:after="0" w:line="229" w:lineRule="auto"/>
        <w:tabs>
          <w:tab w:leader="none" w:pos="5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reduction in the level of trading activity in the secondary trading market for shares of the Class A common stock;</w:t>
      </w:r>
    </w:p>
    <w:p>
      <w:pPr>
        <w:ind w:left="500" w:hanging="103"/>
        <w:spacing w:after="0" w:line="228" w:lineRule="auto"/>
        <w:tabs>
          <w:tab w:leader="none" w:pos="5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 amount of analyst coverage; and</w:t>
      </w:r>
    </w:p>
    <w:p>
      <w:pPr>
        <w:ind w:left="500" w:hanging="103"/>
        <w:spacing w:after="0"/>
        <w:tabs>
          <w:tab w:leader="none" w:pos="5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decreased ability to issue additional securities or obtain additional financing in the future.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240"/>
          </w:cols>
          <w:pgMar w:left="320" w:top="1076" w:right="339" w:bottom="1440" w:gutter="0" w:footer="0" w:header="0"/>
        </w:sectPr>
      </w:pPr>
    </w:p>
    <w:bookmarkStart w:id="100" w:name="page101"/>
    <w:bookmarkEnd w:id="100"/>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Because there are no current plans to pay cash dividends on shares of common stock for the foreseeable future, you may not receive any return on investment unless you sell your shares of common stock for a price greater than that which you paid for it.</w:t>
      </w:r>
    </w:p>
    <w:p>
      <w:pPr>
        <w:spacing w:after="0" w:line="180" w:lineRule="exact"/>
        <w:rPr>
          <w:sz w:val="20"/>
          <w:szCs w:val="20"/>
          <w:color w:val="auto"/>
        </w:rPr>
      </w:pPr>
    </w:p>
    <w:p>
      <w:pPr>
        <w:jc w:val="both"/>
        <w:ind w:firstLine="398"/>
        <w:spacing w:after="0" w:line="231" w:lineRule="auto"/>
        <w:rPr>
          <w:sz w:val="20"/>
          <w:szCs w:val="20"/>
          <w:color w:val="auto"/>
        </w:rPr>
      </w:pPr>
      <w:r>
        <w:rPr>
          <w:rFonts w:ascii="Times New Roman" w:cs="Times New Roman" w:eastAsia="Times New Roman" w:hAnsi="Times New Roman"/>
          <w:sz w:val="17"/>
          <w:szCs w:val="17"/>
          <w:color w:val="auto"/>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its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Anti-takeover provisions are contained in the Organizational Documents that could delay or prevent a change of control.</w:t>
      </w:r>
    </w:p>
    <w:p>
      <w:pPr>
        <w:spacing w:after="0" w:line="219" w:lineRule="exact"/>
        <w:rPr>
          <w:sz w:val="20"/>
          <w:szCs w:val="20"/>
          <w:color w:val="auto"/>
        </w:rPr>
      </w:pPr>
    </w:p>
    <w:p>
      <w:pPr>
        <w:jc w:val="both"/>
        <w:ind w:firstLine="398"/>
        <w:spacing w:after="0" w:line="241" w:lineRule="auto"/>
        <w:rPr>
          <w:sz w:val="20"/>
          <w:szCs w:val="20"/>
          <w:color w:val="auto"/>
        </w:rPr>
      </w:pPr>
      <w:r>
        <w:rPr>
          <w:rFonts w:ascii="Times New Roman" w:cs="Times New Roman" w:eastAsia="Times New Roman" w:hAnsi="Times New Roman"/>
          <w:sz w:val="17"/>
          <w:szCs w:val="17"/>
          <w:color w:val="auto"/>
        </w:rPr>
        <w:t>Certain provisions of the Organizational Documents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These provisions, among other things:</w:t>
      </w:r>
    </w:p>
    <w:p>
      <w:pPr>
        <w:spacing w:after="0" w:line="9" w:lineRule="exact"/>
        <w:rPr>
          <w:sz w:val="20"/>
          <w:szCs w:val="20"/>
          <w:color w:val="auto"/>
        </w:rPr>
      </w:pPr>
    </w:p>
    <w:p>
      <w:pPr>
        <w:ind w:firstLine="397"/>
        <w:spacing w:after="0" w:line="228" w:lineRule="auto"/>
        <w:tabs>
          <w:tab w:leader="none" w:pos="50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spacing w:after="0" w:line="1" w:lineRule="exact"/>
        <w:rPr>
          <w:rFonts w:ascii="Times New Roman" w:cs="Times New Roman" w:eastAsia="Times New Roman" w:hAnsi="Times New Roman"/>
          <w:sz w:val="17"/>
          <w:szCs w:val="17"/>
          <w:color w:val="auto"/>
        </w:rPr>
      </w:pPr>
    </w:p>
    <w:p>
      <w:pPr>
        <w:ind w:left="500" w:hanging="103"/>
        <w:spacing w:after="0" w:line="228" w:lineRule="auto"/>
        <w:tabs>
          <w:tab w:leader="none" w:pos="5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eliminate the ability of stockholders to call special meetings of stockholders;</w:t>
      </w:r>
    </w:p>
    <w:p>
      <w:pPr>
        <w:ind w:left="500" w:hanging="103"/>
        <w:spacing w:after="0" w:line="228" w:lineRule="auto"/>
        <w:tabs>
          <w:tab w:leader="none" w:pos="5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eliminate the ability of stockholders to fill vacancies on our board;</w:t>
      </w:r>
    </w:p>
    <w:p>
      <w:pPr>
        <w:ind w:firstLine="397"/>
        <w:spacing w:after="0" w:line="221" w:lineRule="auto"/>
        <w:tabs>
          <w:tab w:leader="none" w:pos="50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advance notice requirements for nominations for election to our board or for proposing matters that can be acted upon by stockholders at annual stockholder meetings;</w:t>
      </w:r>
    </w:p>
    <w:p>
      <w:pPr>
        <w:ind w:left="500" w:hanging="103"/>
        <w:spacing w:after="0" w:line="228" w:lineRule="auto"/>
        <w:tabs>
          <w:tab w:leader="none" w:pos="5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our board to establish the number of directors;</w:t>
      </w:r>
    </w:p>
    <w:p>
      <w:pPr>
        <w:ind w:left="500" w:hanging="103"/>
        <w:spacing w:after="0" w:line="228" w:lineRule="auto"/>
        <w:tabs>
          <w:tab w:leader="none" w:pos="5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our board is expressly authorized to make, alter or repeal the Bylaws; and</w:t>
      </w:r>
    </w:p>
    <w:p>
      <w:pPr>
        <w:ind w:left="500" w:hanging="103"/>
        <w:spacing w:after="0"/>
        <w:tabs>
          <w:tab w:leader="none" w:pos="5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the jurisdictions in which certain stockholder litigation may be brought.</w:t>
      </w:r>
    </w:p>
    <w:p>
      <w:pPr>
        <w:spacing w:after="0" w:line="197" w:lineRule="exact"/>
        <w:rPr>
          <w:sz w:val="20"/>
          <w:szCs w:val="20"/>
          <w:color w:val="auto"/>
        </w:rPr>
      </w:pPr>
    </w:p>
    <w:p>
      <w:pPr>
        <w:jc w:val="both"/>
        <w:ind w:firstLine="398"/>
        <w:spacing w:after="0" w:line="259" w:lineRule="auto"/>
        <w:rPr>
          <w:sz w:val="20"/>
          <w:szCs w:val="20"/>
          <w:color w:val="auto"/>
        </w:rPr>
      </w:pPr>
      <w:r>
        <w:rPr>
          <w:rFonts w:ascii="Times New Roman" w:cs="Times New Roman" w:eastAsia="Times New Roman" w:hAnsi="Times New Roman"/>
          <w:sz w:val="16"/>
          <w:szCs w:val="16"/>
          <w:color w:val="auto"/>
        </w:rPr>
        <w:t>These anti-takeover provisions, together with the control of the voting power of by OPAL Holdco, could make it more difficult for a third-party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cause us to take other corporate actions you desire. See “Description of Securities — Anti-Takeover Effects of Provisions of Delaware Law and the Organizational Documents.”</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b w:val="1"/>
          <w:bCs w:val="1"/>
          <w:i w:val="1"/>
          <w:iCs w:val="1"/>
          <w:color w:val="auto"/>
        </w:rPr>
        <w:t>In certain cases, payments under the Tax Receivable Agreement may be accelerated and/or significantly exceed the actual benefits that we realize in respect of the tax attributes subject to the Tax Receivable Agreement.</w:t>
      </w:r>
    </w:p>
    <w:p>
      <w:pPr>
        <w:spacing w:after="0" w:line="196" w:lineRule="exact"/>
        <w:rPr>
          <w:sz w:val="20"/>
          <w:szCs w:val="20"/>
          <w:color w:val="auto"/>
        </w:rPr>
      </w:pPr>
    </w:p>
    <w:p>
      <w:pPr>
        <w:jc w:val="both"/>
        <w:ind w:firstLine="398"/>
        <w:spacing w:after="0" w:line="233" w:lineRule="auto"/>
        <w:rPr>
          <w:sz w:val="20"/>
          <w:szCs w:val="20"/>
          <w:color w:val="auto"/>
        </w:rPr>
      </w:pPr>
      <w:r>
        <w:rPr>
          <w:rFonts w:ascii="Times New Roman" w:cs="Times New Roman" w:eastAsia="Times New Roman" w:hAnsi="Times New Roman"/>
          <w:sz w:val="17"/>
          <w:szCs w:val="17"/>
          <w:color w:val="auto"/>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95" w:lineRule="exact"/>
        <w:rPr>
          <w:sz w:val="20"/>
          <w:szCs w:val="20"/>
          <w:color w:val="auto"/>
        </w:rPr>
      </w:pPr>
    </w:p>
    <w:p>
      <w:pPr>
        <w:jc w:val="both"/>
        <w:ind w:firstLine="398"/>
        <w:spacing w:after="0" w:line="233" w:lineRule="auto"/>
        <w:rPr>
          <w:sz w:val="20"/>
          <w:szCs w:val="20"/>
          <w:color w:val="auto"/>
        </w:rPr>
      </w:pPr>
      <w:r>
        <w:rPr>
          <w:rFonts w:ascii="Times New Roman" w:cs="Times New Roman" w:eastAsia="Times New Roman" w:hAnsi="Times New Roman"/>
          <w:sz w:val="17"/>
          <w:szCs w:val="17"/>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termination date and (iii) the utilization of certain loss carryovers over a certain time period. Our ability to generate net taxable income is subject to</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1240"/>
          </w:cols>
          <w:pgMar w:left="320" w:top="1076" w:right="339" w:bottom="1440" w:gutter="0" w:footer="0" w:header="0"/>
        </w:sectPr>
      </w:pPr>
    </w:p>
    <w:bookmarkStart w:id="101" w:name="page102"/>
    <w:bookmarkEnd w:id="101"/>
    <w:p>
      <w:pPr>
        <w:jc w:val="both"/>
        <w:spacing w:after="0" w:line="253" w:lineRule="auto"/>
        <w:rPr>
          <w:sz w:val="20"/>
          <w:szCs w:val="20"/>
          <w:color w:val="auto"/>
        </w:rPr>
      </w:pPr>
      <w:r>
        <w:rPr>
          <w:rFonts w:ascii="Times New Roman" w:cs="Times New Roman" w:eastAsia="Times New Roman" w:hAnsi="Times New Roman"/>
          <w:sz w:val="17"/>
          <w:szCs w:val="17"/>
          <w:color w:val="auto"/>
        </w:rPr>
        <w:t>substantial uncertainty. Accordingly, as a result of the assumptions, the required lump-sum payment may be significantly in advance of, and could materially exceed, the realized future tax benefits to which the payment relates.</w:t>
      </w:r>
    </w:p>
    <w:p>
      <w:pPr>
        <w:spacing w:after="0" w:line="184" w:lineRule="exact"/>
        <w:rPr>
          <w:sz w:val="20"/>
          <w:szCs w:val="20"/>
          <w:color w:val="auto"/>
        </w:rPr>
      </w:pPr>
    </w:p>
    <w:p>
      <w:pPr>
        <w:jc w:val="both"/>
        <w:ind w:firstLine="398"/>
        <w:spacing w:after="0" w:line="230" w:lineRule="auto"/>
        <w:rPr>
          <w:sz w:val="20"/>
          <w:szCs w:val="20"/>
          <w:color w:val="auto"/>
        </w:rPr>
      </w:pPr>
      <w:r>
        <w:rPr>
          <w:rFonts w:ascii="Times New Roman" w:cs="Times New Roman" w:eastAsia="Times New Roman" w:hAnsi="Times New Roman"/>
          <w:sz w:val="17"/>
          <w:szCs w:val="17"/>
          <w:color w:val="auto"/>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range from approximately $316.0 million to approximately $356.0 million depending on OPAL Fuels’s rate of recovery of the tax basis increases associated with the deemed exchange of the OPAL Fuels Common Units (other than those held by us). This estimated Tax Receivable Agreement lump-sum payment is calculated using a discount rate equal to 3.58%, applied against an undiscounted liability of approximately $433.0 million. If the Tax Receivable Agreement Participants were to exchange all of their OPAL Fuels Common Units, OPAL would recognize a deferred tax asset of approximately $508.0 million and a related liability for payments under the Tax Receivable Agreement of approximately $432.0 million, assuming (i) that the Tax Receivable Agreement Participants redeemed or exchanged all of their OPAL Fuels Common Units on the Closing Date; (ii) a price of $10.00 per share; (iii) a constant combined effective income tax rate of 26.47%; (iv) OPAL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199" w:lineRule="exact"/>
        <w:rPr>
          <w:sz w:val="20"/>
          <w:szCs w:val="20"/>
          <w:color w:val="auto"/>
        </w:rPr>
      </w:pPr>
    </w:p>
    <w:p>
      <w:pPr>
        <w:jc w:val="both"/>
        <w:ind w:firstLine="398"/>
        <w:spacing w:after="0" w:line="241" w:lineRule="auto"/>
        <w:rPr>
          <w:sz w:val="20"/>
          <w:szCs w:val="20"/>
          <w:color w:val="auto"/>
        </w:rPr>
      </w:pPr>
      <w:r>
        <w:rPr>
          <w:rFonts w:ascii="Times New Roman" w:cs="Times New Roman" w:eastAsia="Times New Roman" w:hAnsi="Times New Roman"/>
          <w:sz w:val="17"/>
          <w:szCs w:val="17"/>
          <w:color w:val="auto"/>
        </w:rPr>
        <w:t>It is more likely than not that the deferred tax assets will not be realized in accordance with ASC Topic 740, ‘Income Taxes’. As such, ArcLight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94" w:lineRule="exact"/>
        <w:rPr>
          <w:sz w:val="20"/>
          <w:szCs w:val="20"/>
          <w:color w:val="auto"/>
        </w:rPr>
      </w:pPr>
    </w:p>
    <w:p>
      <w:pPr>
        <w:jc w:val="both"/>
        <w:ind w:firstLine="398"/>
        <w:spacing w:after="0" w:line="234" w:lineRule="auto"/>
        <w:rPr>
          <w:sz w:val="20"/>
          <w:szCs w:val="20"/>
          <w:color w:val="auto"/>
        </w:rPr>
      </w:pPr>
      <w:r>
        <w:rPr>
          <w:rFonts w:ascii="Times New Roman" w:cs="Times New Roman" w:eastAsia="Times New Roman" w:hAnsi="Times New Roman"/>
          <w:sz w:val="17"/>
          <w:szCs w:val="17"/>
          <w:color w:val="auto"/>
        </w:rPr>
        <w:t>Finally, because we are a holding company with no operations of its own, its ability to make payments under the Tax Receivable Agreement depends on the ability of OPAL Fuels to make distributions to it. To the extent that OPAL is unable to make payments under the Tax Receivable Agreement for any reason, such payments will be deferred and will accrue interest until paid, which could negatively impact OPAL’s results of operations and could also affect its liquidity in periods in which such payments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1240"/>
          </w:cols>
          <w:pgMar w:left="320" w:top="856"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Index</w:t>
      </w:r>
    </w:p>
    <w:p>
      <w:pPr>
        <w:sectPr>
          <w:pgSz w:w="11900" w:h="16838" w:orient="portrait"/>
          <w:cols w:equalWidth="0" w:num="1">
            <w:col w:w="11220"/>
          </w:cols>
          <w:pgMar w:left="320" w:top="865" w:right="3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Exhibit</w:t>
      </w:r>
    </w:p>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6000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762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2.1†*</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3.1*</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3.2*</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4.1*</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4.2*</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10.1*</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10.2*</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10.3*</w:t>
      </w:r>
    </w:p>
    <w:p>
      <w:pPr>
        <w:spacing w:after="0" w:line="2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10.4*</w:t>
      </w:r>
    </w:p>
    <w:p>
      <w:pPr>
        <w:spacing w:after="0" w:line="2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10.5*</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10.6*</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10.7*</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10.8*</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10.9*</w:t>
      </w:r>
    </w:p>
    <w:p>
      <w:pPr>
        <w:spacing w:after="0" w:line="2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10.10*</w:t>
      </w: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10.11*</w:t>
      </w: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10.12#*</w:t>
      </w:r>
    </w:p>
    <w:p>
      <w:pPr>
        <w:spacing w:after="0" w:line="2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10.13#*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-228600</wp:posOffset>
            </wp:positionV>
            <wp:extent cx="7143115" cy="252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115" cy="252730"/>
                    </a:xfrm>
                    <a:prstGeom prst="rect">
                      <a:avLst/>
                    </a:prstGeom>
                    <a:noFill/>
                  </pic:spPr>
                </pic:pic>
              </a:graphicData>
            </a:graphic>
          </wp:anchor>
        </w:drawing>
      </w:r>
    </w:p>
    <w:p>
      <w:pPr>
        <w:spacing w:after="0" w:line="12" w:lineRule="exact"/>
        <w:rPr>
          <w:sz w:val="20"/>
          <w:szCs w:val="20"/>
          <w:color w:val="auto"/>
        </w:rPr>
      </w:pPr>
    </w:p>
    <w:p>
      <w:pPr>
        <w:ind w:right="40"/>
        <w:spacing w:after="0" w:line="231" w:lineRule="auto"/>
        <w:rPr>
          <w:rFonts w:ascii="Times New Roman" w:cs="Times New Roman" w:eastAsia="Times New Roman" w:hAnsi="Times New Roman"/>
          <w:sz w:val="17"/>
          <w:szCs w:val="17"/>
          <w:color w:val="0000FF"/>
        </w:rPr>
      </w:pPr>
      <w:hyperlink r:id="rId13">
        <w:r>
          <w:rPr>
            <w:rFonts w:ascii="Times New Roman" w:cs="Times New Roman" w:eastAsia="Times New Roman" w:hAnsi="Times New Roman"/>
            <w:sz w:val="17"/>
            <w:szCs w:val="17"/>
            <w:u w:val="single" w:color="auto"/>
            <w:color w:val="0000FF"/>
          </w:rPr>
          <w:t>Business Combination Agreement, dated as of December 2, 2021, by and among ArcLight, OPAL Fuels and OPAL Holdco (incorporated by reference to</w:t>
        </w:r>
      </w:hyperlink>
      <w:r>
        <w:rPr>
          <w:rFonts w:ascii="Times New Roman" w:cs="Times New Roman" w:eastAsia="Times New Roman" w:hAnsi="Times New Roman"/>
          <w:sz w:val="17"/>
          <w:szCs w:val="17"/>
          <w:u w:val="single" w:color="auto"/>
          <w:color w:val="0000FF"/>
        </w:rPr>
        <w:t xml:space="preserve"> </w:t>
      </w:r>
      <w:hyperlink r:id="rId13">
        <w:r>
          <w:rPr>
            <w:rFonts w:ascii="Times New Roman" w:cs="Times New Roman" w:eastAsia="Times New Roman" w:hAnsi="Times New Roman"/>
            <w:sz w:val="17"/>
            <w:szCs w:val="17"/>
            <w:u w:val="single" w:color="auto"/>
            <w:color w:val="0000FF"/>
          </w:rPr>
          <w:t>Exhibit 2.1 of the Company’s Current Report on Form 8-K, filed with the SEC on December 3, 2021)</w:t>
        </w:r>
        <w:r>
          <w:rPr>
            <w:rFonts w:ascii="Times New Roman" w:cs="Times New Roman" w:eastAsia="Times New Roman" w:hAnsi="Times New Roman"/>
            <w:sz w:val="17"/>
            <w:szCs w:val="17"/>
            <w:color w:val="000000"/>
          </w:rPr>
          <w:t>.</w:t>
        </w:r>
      </w:hyperlink>
    </w:p>
    <w:p>
      <w:pPr>
        <w:spacing w:after="0" w:line="9" w:lineRule="exact"/>
        <w:rPr>
          <w:sz w:val="20"/>
          <w:szCs w:val="20"/>
          <w:color w:val="auto"/>
        </w:rPr>
      </w:pPr>
    </w:p>
    <w:p>
      <w:pPr>
        <w:ind w:right="340"/>
        <w:spacing w:after="0" w:line="231" w:lineRule="auto"/>
        <w:rPr>
          <w:rFonts w:ascii="Times New Roman" w:cs="Times New Roman" w:eastAsia="Times New Roman" w:hAnsi="Times New Roman"/>
          <w:sz w:val="17"/>
          <w:szCs w:val="17"/>
          <w:u w:val="single" w:color="auto"/>
          <w:color w:val="0000FF"/>
        </w:rPr>
      </w:pPr>
      <w:hyperlink r:id="rId14">
        <w:r>
          <w:rPr>
            <w:rFonts w:ascii="Times New Roman" w:cs="Times New Roman" w:eastAsia="Times New Roman" w:hAnsi="Times New Roman"/>
            <w:sz w:val="17"/>
            <w:szCs w:val="17"/>
            <w:u w:val="single" w:color="auto"/>
            <w:color w:val="0000FF"/>
          </w:rPr>
          <w:t>Restated Certificate of Incorporation of OPAL Fuels Inc. (incorporated by reference to Exhibit 3.1 to the Current Report on Form 8-K/A filed by the</w:t>
        </w:r>
      </w:hyperlink>
      <w:r>
        <w:rPr>
          <w:rFonts w:ascii="Times New Roman" w:cs="Times New Roman" w:eastAsia="Times New Roman" w:hAnsi="Times New Roman"/>
          <w:sz w:val="17"/>
          <w:szCs w:val="17"/>
          <w:u w:val="single" w:color="auto"/>
          <w:color w:val="0000FF"/>
        </w:rPr>
        <w:t xml:space="preserve"> </w:t>
      </w:r>
      <w:hyperlink r:id="rId14">
        <w:r>
          <w:rPr>
            <w:rFonts w:ascii="Times New Roman" w:cs="Times New Roman" w:eastAsia="Times New Roman" w:hAnsi="Times New Roman"/>
            <w:sz w:val="17"/>
            <w:szCs w:val="17"/>
            <w:u w:val="single" w:color="auto"/>
            <w:color w:val="0000FF"/>
          </w:rPr>
          <w:t>Company on August 10,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-235585</wp:posOffset>
            </wp:positionV>
            <wp:extent cx="7143115" cy="244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spacing w:after="0"/>
        <w:rPr>
          <w:rFonts w:ascii="Times New Roman" w:cs="Times New Roman" w:eastAsia="Times New Roman" w:hAnsi="Times New Roman"/>
          <w:sz w:val="17"/>
          <w:szCs w:val="17"/>
          <w:u w:val="single" w:color="auto"/>
          <w:color w:val="0000FF"/>
        </w:rPr>
      </w:pPr>
      <w:hyperlink r:id="rId16">
        <w:r>
          <w:rPr>
            <w:rFonts w:ascii="Times New Roman" w:cs="Times New Roman" w:eastAsia="Times New Roman" w:hAnsi="Times New Roman"/>
            <w:sz w:val="17"/>
            <w:szCs w:val="17"/>
            <w:u w:val="single" w:color="auto"/>
            <w:color w:val="0000FF"/>
          </w:rPr>
          <w:t>Bylaws of OPAL Fuels Inc. (incorporated by reference to Exhibit 3.2 to the Current Report on Form 8-K filed by the Company on July 27,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12700</wp:posOffset>
            </wp:positionV>
            <wp:extent cx="7143115" cy="2444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ind w:right="280"/>
        <w:spacing w:after="0" w:line="228" w:lineRule="auto"/>
        <w:rPr>
          <w:rFonts w:ascii="Times New Roman" w:cs="Times New Roman" w:eastAsia="Times New Roman" w:hAnsi="Times New Roman"/>
          <w:sz w:val="17"/>
          <w:szCs w:val="17"/>
          <w:color w:val="0000FF"/>
        </w:rPr>
      </w:pPr>
      <w:hyperlink r:id="rId18">
        <w:r>
          <w:rPr>
            <w:rFonts w:ascii="Times New Roman" w:cs="Times New Roman" w:eastAsia="Times New Roman" w:hAnsi="Times New Roman"/>
            <w:sz w:val="17"/>
            <w:szCs w:val="17"/>
            <w:u w:val="single" w:color="auto"/>
            <w:color w:val="0000FF"/>
          </w:rPr>
          <w:t>Specimen Warrant Certificate (incorporated by reference to Exhibit 4.3 to the Registration Statement on Form S-1 (File No. 333-252730) filed by the</w:t>
        </w:r>
      </w:hyperlink>
      <w:r>
        <w:rPr>
          <w:rFonts w:ascii="Times New Roman" w:cs="Times New Roman" w:eastAsia="Times New Roman" w:hAnsi="Times New Roman"/>
          <w:sz w:val="17"/>
          <w:szCs w:val="17"/>
          <w:u w:val="single" w:color="auto"/>
          <w:color w:val="0000FF"/>
        </w:rPr>
        <w:t xml:space="preserve"> </w:t>
      </w:r>
      <w:hyperlink r:id="rId18">
        <w:r>
          <w:rPr>
            <w:rFonts w:ascii="Times New Roman" w:cs="Times New Roman" w:eastAsia="Times New Roman" w:hAnsi="Times New Roman"/>
            <w:sz w:val="17"/>
            <w:szCs w:val="17"/>
            <w:u w:val="single" w:color="auto"/>
            <w:color w:val="0000FF"/>
          </w:rPr>
          <w:t>Registrant on March 8, 2021)</w:t>
        </w:r>
        <w:r>
          <w:rPr>
            <w:rFonts w:ascii="Times New Roman" w:cs="Times New Roman" w:eastAsia="Times New Roman" w:hAnsi="Times New Roman"/>
            <w:sz w:val="17"/>
            <w:szCs w:val="17"/>
            <w:color w:val="000000"/>
          </w:rPr>
          <w:t>.</w:t>
        </w:r>
      </w:hyperlink>
    </w:p>
    <w:p>
      <w:pPr>
        <w:spacing w:after="0" w:line="10" w:lineRule="exact"/>
        <w:rPr>
          <w:sz w:val="20"/>
          <w:szCs w:val="20"/>
          <w:color w:val="auto"/>
        </w:rPr>
      </w:pPr>
    </w:p>
    <w:p>
      <w:pPr>
        <w:ind w:right="100"/>
        <w:spacing w:after="0" w:line="231" w:lineRule="auto"/>
        <w:rPr>
          <w:rFonts w:ascii="Times New Roman" w:cs="Times New Roman" w:eastAsia="Times New Roman" w:hAnsi="Times New Roman"/>
          <w:sz w:val="17"/>
          <w:szCs w:val="17"/>
          <w:u w:val="single" w:color="auto"/>
          <w:color w:val="0000FF"/>
        </w:rPr>
      </w:pPr>
      <w:hyperlink r:id="rId19">
        <w:r>
          <w:rPr>
            <w:rFonts w:ascii="Times New Roman" w:cs="Times New Roman" w:eastAsia="Times New Roman" w:hAnsi="Times New Roman"/>
            <w:sz w:val="17"/>
            <w:szCs w:val="17"/>
            <w:u w:val="single" w:color="auto"/>
            <w:color w:val="0000FF"/>
          </w:rPr>
          <w:t>Warrant Agreement between Continental Stock Transfer &amp; Trust Company and ArcLight Clean Transition Corp. II, dated March 22, 2021 (incorporated</w:t>
        </w:r>
      </w:hyperlink>
      <w:r>
        <w:rPr>
          <w:rFonts w:ascii="Times New Roman" w:cs="Times New Roman" w:eastAsia="Times New Roman" w:hAnsi="Times New Roman"/>
          <w:sz w:val="17"/>
          <w:szCs w:val="17"/>
          <w:u w:val="single" w:color="auto"/>
          <w:color w:val="0000FF"/>
        </w:rPr>
        <w:t xml:space="preserve"> </w:t>
      </w:r>
      <w:hyperlink r:id="rId19">
        <w:r>
          <w:rPr>
            <w:rFonts w:ascii="Times New Roman" w:cs="Times New Roman" w:eastAsia="Times New Roman" w:hAnsi="Times New Roman"/>
            <w:sz w:val="17"/>
            <w:szCs w:val="17"/>
            <w:u w:val="single" w:color="auto"/>
            <w:color w:val="0000FF"/>
          </w:rPr>
          <w:t>by reference to Exhibit 4.1 to the Current Report on Form 8-K filed by the Company on March 26, 2021).</w:t>
        </w:r>
      </w:hyperlink>
    </w:p>
    <w:p>
      <w:pPr>
        <w:spacing w:after="0" w:line="9" w:lineRule="exact"/>
        <w:rPr>
          <w:sz w:val="20"/>
          <w:szCs w:val="20"/>
          <w:color w:val="auto"/>
        </w:rPr>
      </w:pPr>
    </w:p>
    <w:p>
      <w:pPr>
        <w:ind w:right="40"/>
        <w:spacing w:after="0" w:line="231" w:lineRule="auto"/>
        <w:rPr>
          <w:rFonts w:ascii="Times New Roman" w:cs="Times New Roman" w:eastAsia="Times New Roman" w:hAnsi="Times New Roman"/>
          <w:sz w:val="17"/>
          <w:szCs w:val="17"/>
          <w:color w:val="0000FF"/>
        </w:rPr>
      </w:pPr>
      <w:hyperlink r:id="rId20">
        <w:r>
          <w:rPr>
            <w:rFonts w:ascii="Times New Roman" w:cs="Times New Roman" w:eastAsia="Times New Roman" w:hAnsi="Times New Roman"/>
            <w:sz w:val="17"/>
            <w:szCs w:val="17"/>
            <w:u w:val="single" w:color="auto"/>
            <w:color w:val="0000FF"/>
          </w:rPr>
          <w:t>Form of OPAL Indemnification Agreement (incorporated by reference to Exhibit 10.1 to the Registration Statement on Form S-4 (File No. 333-262583),</w:t>
        </w:r>
      </w:hyperlink>
      <w:r>
        <w:rPr>
          <w:rFonts w:ascii="Times New Roman" w:cs="Times New Roman" w:eastAsia="Times New Roman" w:hAnsi="Times New Roman"/>
          <w:sz w:val="17"/>
          <w:szCs w:val="17"/>
          <w:u w:val="single" w:color="auto"/>
          <w:color w:val="0000FF"/>
        </w:rPr>
        <w:t xml:space="preserve"> </w:t>
      </w:r>
      <w:hyperlink r:id="rId20">
        <w:r>
          <w:rPr>
            <w:rFonts w:ascii="Times New Roman" w:cs="Times New Roman" w:eastAsia="Times New Roman" w:hAnsi="Times New Roman"/>
            <w:sz w:val="17"/>
            <w:szCs w:val="17"/>
            <w:u w:val="single" w:color="auto"/>
            <w:color w:val="0000FF"/>
          </w:rPr>
          <w:t>filed on May 6, 2022</w:t>
        </w:r>
        <w:r>
          <w:rPr>
            <w:rFonts w:ascii="Times New Roman" w:cs="Times New Roman" w:eastAsia="Times New Roman" w:hAnsi="Times New Roman"/>
            <w:sz w:val="17"/>
            <w:szCs w:val="17"/>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-235585</wp:posOffset>
            </wp:positionV>
            <wp:extent cx="7143115" cy="244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spacing w:after="0" w:line="231" w:lineRule="auto"/>
        <w:rPr>
          <w:rFonts w:ascii="Times New Roman" w:cs="Times New Roman" w:eastAsia="Times New Roman" w:hAnsi="Times New Roman"/>
          <w:sz w:val="17"/>
          <w:szCs w:val="17"/>
          <w:u w:val="single" w:color="auto"/>
          <w:color w:val="0000FF"/>
        </w:rPr>
      </w:pPr>
      <w:hyperlink r:id="rId22">
        <w:r>
          <w:rPr>
            <w:rFonts w:ascii="Times New Roman" w:cs="Times New Roman" w:eastAsia="Times New Roman" w:hAnsi="Times New Roman"/>
            <w:sz w:val="17"/>
            <w:szCs w:val="17"/>
            <w:u w:val="single" w:color="auto"/>
            <w:color w:val="0000FF"/>
          </w:rPr>
          <w:t>2022 Omnibus Equity Incentive Plan (incorporated by reference to Exhibit 10.2 to the Current Report on Form 8-K filed by the Company on July 27,</w:t>
        </w:r>
      </w:hyperlink>
    </w:p>
    <w:p>
      <w:pPr>
        <w:spacing w:after="0"/>
        <w:rPr>
          <w:rFonts w:ascii="Times New Roman" w:cs="Times New Roman" w:eastAsia="Times New Roman" w:hAnsi="Times New Roman"/>
          <w:sz w:val="17"/>
          <w:szCs w:val="17"/>
          <w:u w:val="single" w:color="auto"/>
          <w:color w:val="0000FF"/>
        </w:rPr>
      </w:pPr>
      <w:hyperlink r:id="rId22">
        <w:r>
          <w:rPr>
            <w:rFonts w:ascii="Times New Roman" w:cs="Times New Roman" w:eastAsia="Times New Roman" w:hAnsi="Times New Roman"/>
            <w:sz w:val="17"/>
            <w:szCs w:val="17"/>
            <w:u w:val="single" w:color="auto"/>
            <w:color w:val="0000FF"/>
          </w:rPr>
          <w:t>2022).</w:t>
        </w:r>
      </w:hyperlink>
    </w:p>
    <w:p>
      <w:pPr>
        <w:spacing w:after="0" w:line="10" w:lineRule="exact"/>
        <w:rPr>
          <w:sz w:val="20"/>
          <w:szCs w:val="20"/>
          <w:color w:val="auto"/>
        </w:rPr>
      </w:pPr>
    </w:p>
    <w:p>
      <w:pPr>
        <w:ind w:right="240"/>
        <w:spacing w:after="0" w:line="251" w:lineRule="auto"/>
        <w:rPr>
          <w:rFonts w:ascii="Times New Roman" w:cs="Times New Roman" w:eastAsia="Times New Roman" w:hAnsi="Times New Roman"/>
          <w:sz w:val="16"/>
          <w:szCs w:val="16"/>
          <w:color w:val="0000FF"/>
        </w:rPr>
      </w:pPr>
      <w:hyperlink r:id="rId23">
        <w:r>
          <w:rPr>
            <w:rFonts w:ascii="Times New Roman" w:cs="Times New Roman" w:eastAsia="Times New Roman" w:hAnsi="Times New Roman"/>
            <w:sz w:val="16"/>
            <w:szCs w:val="16"/>
            <w:u w:val="single" w:color="auto"/>
            <w:color w:val="0000FF"/>
          </w:rPr>
          <w:t>Letter Agreement, dated as of March 25, 2021, by and among ArcLight CTC Holdings II, L.P., ArcLight Clean Transition Corp. II and certain other</w:t>
        </w:r>
      </w:hyperlink>
      <w:r>
        <w:rPr>
          <w:rFonts w:ascii="Times New Roman" w:cs="Times New Roman" w:eastAsia="Times New Roman" w:hAnsi="Times New Roman"/>
          <w:sz w:val="16"/>
          <w:szCs w:val="16"/>
          <w:u w:val="single" w:color="auto"/>
          <w:color w:val="0000FF"/>
        </w:rPr>
        <w:t xml:space="preserve"> </w:t>
      </w:r>
      <w:hyperlink r:id="rId23">
        <w:r>
          <w:rPr>
            <w:rFonts w:ascii="Times New Roman" w:cs="Times New Roman" w:eastAsia="Times New Roman" w:hAnsi="Times New Roman"/>
            <w:sz w:val="16"/>
            <w:szCs w:val="16"/>
            <w:u w:val="single" w:color="auto"/>
            <w:color w:val="0000FF"/>
          </w:rPr>
          <w:t>parties thereto (incorporated by referenced to Exhibit 10.4 to the Company’s Current Report on Form 8-K filed by the Registrant on March 26, 2021)</w:t>
        </w:r>
      </w:hyperlink>
      <w:r>
        <w:rPr>
          <w:rFonts w:ascii="Times New Roman" w:cs="Times New Roman" w:eastAsia="Times New Roman" w:hAnsi="Times New Roman"/>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-241300</wp:posOffset>
            </wp:positionV>
            <wp:extent cx="7143115" cy="244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jc w:val="both"/>
        <w:spacing w:after="0" w:line="220" w:lineRule="auto"/>
        <w:rPr>
          <w:rFonts w:ascii="Times New Roman" w:cs="Times New Roman" w:eastAsia="Times New Roman" w:hAnsi="Times New Roman"/>
          <w:sz w:val="17"/>
          <w:szCs w:val="17"/>
          <w:u w:val="single" w:color="auto"/>
          <w:color w:val="0000FF"/>
        </w:rPr>
      </w:pPr>
      <w:hyperlink r:id="rId25">
        <w:r>
          <w:rPr>
            <w:rFonts w:ascii="Times New Roman" w:cs="Times New Roman" w:eastAsia="Times New Roman" w:hAnsi="Times New Roman"/>
            <w:sz w:val="17"/>
            <w:szCs w:val="17"/>
            <w:u w:val="single" w:color="auto"/>
            <w:color w:val="0000FF"/>
          </w:rPr>
          <w:t>Sponsor Letter Agreement, dated as of December 2, 2021, by and among OPAL Fuels LLC, ArcLight Clean Transition Corp. II and certain other parties</w:t>
        </w:r>
      </w:hyperlink>
      <w:r>
        <w:rPr>
          <w:rFonts w:ascii="Times New Roman" w:cs="Times New Roman" w:eastAsia="Times New Roman" w:hAnsi="Times New Roman"/>
          <w:sz w:val="17"/>
          <w:szCs w:val="17"/>
          <w:u w:val="single" w:color="auto"/>
          <w:color w:val="0000FF"/>
        </w:rPr>
        <w:t xml:space="preserve"> </w:t>
      </w:r>
      <w:hyperlink r:id="rId25">
        <w:r>
          <w:rPr>
            <w:rFonts w:ascii="Times New Roman" w:cs="Times New Roman" w:eastAsia="Times New Roman" w:hAnsi="Times New Roman"/>
            <w:sz w:val="17"/>
            <w:szCs w:val="17"/>
            <w:u w:val="single" w:color="auto"/>
            <w:color w:val="0000FF"/>
          </w:rPr>
          <w:t>thereto (incorporated by reference to incorporated by referenced to Exhibit 10.2 to the Company’s Current Report on Form 8-K filed by the Registrant on</w:t>
        </w:r>
      </w:hyperlink>
      <w:r>
        <w:rPr>
          <w:rFonts w:ascii="Times New Roman" w:cs="Times New Roman" w:eastAsia="Times New Roman" w:hAnsi="Times New Roman"/>
          <w:sz w:val="17"/>
          <w:szCs w:val="17"/>
          <w:u w:val="single" w:color="auto"/>
          <w:color w:val="0000FF"/>
        </w:rPr>
        <w:t xml:space="preserve"> </w:t>
      </w:r>
      <w:hyperlink r:id="rId25">
        <w:r>
          <w:rPr>
            <w:rFonts w:ascii="Times New Roman" w:cs="Times New Roman" w:eastAsia="Times New Roman" w:hAnsi="Times New Roman"/>
            <w:sz w:val="17"/>
            <w:szCs w:val="17"/>
            <w:u w:val="single" w:color="auto"/>
            <w:color w:val="0000FF"/>
          </w:rPr>
          <w:t>December 3, 2021)</w:t>
        </w:r>
      </w:hyperlink>
    </w:p>
    <w:p>
      <w:pPr>
        <w:spacing w:after="0" w:line="9" w:lineRule="exact"/>
        <w:rPr>
          <w:rFonts w:ascii="Times New Roman" w:cs="Times New Roman" w:eastAsia="Times New Roman" w:hAnsi="Times New Roman"/>
          <w:sz w:val="17"/>
          <w:szCs w:val="17"/>
          <w:u w:val="single" w:color="auto"/>
          <w:color w:val="0000FF"/>
        </w:rPr>
      </w:pPr>
    </w:p>
    <w:p>
      <w:pPr>
        <w:ind w:right="460"/>
        <w:spacing w:after="0" w:line="231" w:lineRule="auto"/>
        <w:rPr>
          <w:rFonts w:ascii="Times New Roman" w:cs="Times New Roman" w:eastAsia="Times New Roman" w:hAnsi="Times New Roman"/>
          <w:sz w:val="17"/>
          <w:szCs w:val="17"/>
          <w:u w:val="single" w:color="auto"/>
          <w:color w:val="0000FF"/>
        </w:rPr>
      </w:pPr>
      <w:hyperlink r:id="rId26">
        <w:r>
          <w:rPr>
            <w:rFonts w:ascii="Times New Roman" w:cs="Times New Roman" w:eastAsia="Times New Roman" w:hAnsi="Times New Roman"/>
            <w:sz w:val="17"/>
            <w:szCs w:val="17"/>
            <w:u w:val="single" w:color="auto"/>
            <w:color w:val="0000FF"/>
          </w:rPr>
          <w:t>Form of Subscription Agreement (incorporated by reference to Exhibit 10.1 of the Company’s Current Report on Form 8-K, filed with the SEC on</w:t>
        </w:r>
      </w:hyperlink>
      <w:r>
        <w:rPr>
          <w:rFonts w:ascii="Times New Roman" w:cs="Times New Roman" w:eastAsia="Times New Roman" w:hAnsi="Times New Roman"/>
          <w:sz w:val="17"/>
          <w:szCs w:val="17"/>
          <w:u w:val="single" w:color="auto"/>
          <w:color w:val="0000FF"/>
        </w:rPr>
        <w:t xml:space="preserve"> </w:t>
      </w:r>
      <w:hyperlink r:id="rId26">
        <w:r>
          <w:rPr>
            <w:rFonts w:ascii="Times New Roman" w:cs="Times New Roman" w:eastAsia="Times New Roman" w:hAnsi="Times New Roman"/>
            <w:sz w:val="17"/>
            <w:szCs w:val="17"/>
            <w:u w:val="single" w:color="auto"/>
            <w:color w:val="0000FF"/>
          </w:rPr>
          <w:t>December 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-235585</wp:posOffset>
            </wp:positionV>
            <wp:extent cx="7143115" cy="244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ind w:right="260"/>
        <w:spacing w:after="0" w:line="231" w:lineRule="auto"/>
        <w:rPr>
          <w:rFonts w:ascii="Times New Roman" w:cs="Times New Roman" w:eastAsia="Times New Roman" w:hAnsi="Times New Roman"/>
          <w:sz w:val="17"/>
          <w:szCs w:val="17"/>
          <w:u w:val="single" w:color="auto"/>
          <w:color w:val="0000FF"/>
        </w:rPr>
      </w:pPr>
      <w:hyperlink r:id="rId28">
        <w:r>
          <w:rPr>
            <w:rFonts w:ascii="Times New Roman" w:cs="Times New Roman" w:eastAsia="Times New Roman" w:hAnsi="Times New Roman"/>
            <w:sz w:val="17"/>
            <w:szCs w:val="17"/>
            <w:u w:val="single" w:color="auto"/>
            <w:color w:val="0000FF"/>
          </w:rPr>
          <w:t>Form of Amendment No. 1 to the Subscription Agreement (incorporated by reference to Exhibit 10.1 of the Company’s Current Report on Form 8-K,</w:t>
        </w:r>
      </w:hyperlink>
      <w:r>
        <w:rPr>
          <w:rFonts w:ascii="Times New Roman" w:cs="Times New Roman" w:eastAsia="Times New Roman" w:hAnsi="Times New Roman"/>
          <w:sz w:val="17"/>
          <w:szCs w:val="17"/>
          <w:u w:val="single" w:color="auto"/>
          <w:color w:val="0000FF"/>
        </w:rPr>
        <w:t xml:space="preserve"> </w:t>
      </w:r>
      <w:hyperlink r:id="rId28">
        <w:r>
          <w:rPr>
            <w:rFonts w:ascii="Times New Roman" w:cs="Times New Roman" w:eastAsia="Times New Roman" w:hAnsi="Times New Roman"/>
            <w:sz w:val="17"/>
            <w:szCs w:val="17"/>
            <w:u w:val="single" w:color="auto"/>
            <w:color w:val="0000FF"/>
          </w:rPr>
          <w:t>filed with the SEC on May 12, 2022).</w:t>
        </w:r>
      </w:hyperlink>
    </w:p>
    <w:p>
      <w:pPr>
        <w:spacing w:after="0" w:line="9" w:lineRule="exact"/>
        <w:rPr>
          <w:sz w:val="20"/>
          <w:szCs w:val="20"/>
          <w:color w:val="auto"/>
        </w:rPr>
      </w:pPr>
    </w:p>
    <w:p>
      <w:pPr>
        <w:ind w:right="260"/>
        <w:spacing w:after="0" w:line="231" w:lineRule="auto"/>
        <w:rPr>
          <w:rFonts w:ascii="Times New Roman" w:cs="Times New Roman" w:eastAsia="Times New Roman" w:hAnsi="Times New Roman"/>
          <w:sz w:val="17"/>
          <w:szCs w:val="17"/>
          <w:u w:val="single" w:color="auto"/>
          <w:color w:val="0000FF"/>
        </w:rPr>
      </w:pPr>
      <w:hyperlink r:id="rId29">
        <w:r>
          <w:rPr>
            <w:rFonts w:ascii="Times New Roman" w:cs="Times New Roman" w:eastAsia="Times New Roman" w:hAnsi="Times New Roman"/>
            <w:sz w:val="17"/>
            <w:szCs w:val="17"/>
            <w:u w:val="single" w:color="auto"/>
            <w:color w:val="0000FF"/>
          </w:rPr>
          <w:t>Tax Receivable Agreement, dated July 21, 2022, by and among OPAL Fuels Inc. and the persons named therein (incorporated by reference to Exhibit</w:t>
        </w:r>
      </w:hyperlink>
      <w:r>
        <w:rPr>
          <w:rFonts w:ascii="Times New Roman" w:cs="Times New Roman" w:eastAsia="Times New Roman" w:hAnsi="Times New Roman"/>
          <w:sz w:val="17"/>
          <w:szCs w:val="17"/>
          <w:u w:val="single" w:color="auto"/>
          <w:color w:val="0000FF"/>
        </w:rPr>
        <w:t xml:space="preserve"> </w:t>
      </w:r>
      <w:hyperlink r:id="rId29">
        <w:r>
          <w:rPr>
            <w:rFonts w:ascii="Times New Roman" w:cs="Times New Roman" w:eastAsia="Times New Roman" w:hAnsi="Times New Roman"/>
            <w:sz w:val="17"/>
            <w:szCs w:val="17"/>
            <w:u w:val="single" w:color="auto"/>
            <w:color w:val="0000FF"/>
          </w:rPr>
          <w:t>10.6 to the Current Report on Form 8-K filed by the Company on July 27,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-235585</wp:posOffset>
            </wp:positionV>
            <wp:extent cx="7143115" cy="244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ind w:right="140"/>
        <w:spacing w:after="0" w:line="231" w:lineRule="auto"/>
        <w:rPr>
          <w:rFonts w:ascii="Times New Roman" w:cs="Times New Roman" w:eastAsia="Times New Roman" w:hAnsi="Times New Roman"/>
          <w:sz w:val="17"/>
          <w:szCs w:val="17"/>
          <w:u w:val="single" w:color="auto"/>
          <w:color w:val="0000FF"/>
        </w:rPr>
      </w:pPr>
      <w:hyperlink r:id="rId31">
        <w:r>
          <w:rPr>
            <w:rFonts w:ascii="Times New Roman" w:cs="Times New Roman" w:eastAsia="Times New Roman" w:hAnsi="Times New Roman"/>
            <w:sz w:val="17"/>
            <w:szCs w:val="17"/>
            <w:u w:val="single" w:color="auto"/>
            <w:color w:val="0000FF"/>
          </w:rPr>
          <w:t>Investor Rights Agreement, dated July 21, 2022, by and among OPAL Fuels Inc., ArcLight CTC Holdings II, L.P., and the other persons named therein</w:t>
        </w:r>
      </w:hyperlink>
      <w:r>
        <w:rPr>
          <w:rFonts w:ascii="Times New Roman" w:cs="Times New Roman" w:eastAsia="Times New Roman" w:hAnsi="Times New Roman"/>
          <w:sz w:val="17"/>
          <w:szCs w:val="17"/>
          <w:u w:val="single" w:color="auto"/>
          <w:color w:val="0000FF"/>
        </w:rPr>
        <w:t xml:space="preserve"> </w:t>
      </w:r>
      <w:hyperlink r:id="rId31">
        <w:r>
          <w:rPr>
            <w:rFonts w:ascii="Times New Roman" w:cs="Times New Roman" w:eastAsia="Times New Roman" w:hAnsi="Times New Roman"/>
            <w:sz w:val="17"/>
            <w:szCs w:val="17"/>
            <w:u w:val="single" w:color="auto"/>
            <w:color w:val="0000FF"/>
          </w:rPr>
          <w:t>(incorporated by reference to Exhibit 10.7 to the Current Report on Form 8-K filed by the Company on July 27, 2022).</w:t>
        </w:r>
      </w:hyperlink>
    </w:p>
    <w:p>
      <w:pPr>
        <w:spacing w:after="0" w:line="9" w:lineRule="exact"/>
        <w:rPr>
          <w:sz w:val="20"/>
          <w:szCs w:val="20"/>
          <w:color w:val="auto"/>
        </w:rPr>
      </w:pPr>
    </w:p>
    <w:p>
      <w:pPr>
        <w:ind w:right="440"/>
        <w:spacing w:after="0" w:line="231" w:lineRule="auto"/>
        <w:rPr>
          <w:rFonts w:ascii="Times New Roman" w:cs="Times New Roman" w:eastAsia="Times New Roman" w:hAnsi="Times New Roman"/>
          <w:sz w:val="17"/>
          <w:szCs w:val="17"/>
          <w:u w:val="single" w:color="auto"/>
          <w:color w:val="0000FF"/>
        </w:rPr>
      </w:pPr>
      <w:hyperlink r:id="rId32">
        <w:r>
          <w:rPr>
            <w:rFonts w:ascii="Times New Roman" w:cs="Times New Roman" w:eastAsia="Times New Roman" w:hAnsi="Times New Roman"/>
            <w:sz w:val="17"/>
            <w:szCs w:val="17"/>
            <w:u w:val="single" w:color="auto"/>
            <w:color w:val="0000FF"/>
          </w:rPr>
          <w:t>Second A&amp;R LLC Agreement of OPAL Fuels, including any Certificates of Designations (incorporated by reference to Exhibit 10.8 to the Current</w:t>
        </w:r>
      </w:hyperlink>
      <w:r>
        <w:rPr>
          <w:rFonts w:ascii="Times New Roman" w:cs="Times New Roman" w:eastAsia="Times New Roman" w:hAnsi="Times New Roman"/>
          <w:sz w:val="17"/>
          <w:szCs w:val="17"/>
          <w:u w:val="single" w:color="auto"/>
          <w:color w:val="0000FF"/>
        </w:rPr>
        <w:t xml:space="preserve"> </w:t>
      </w:r>
      <w:hyperlink r:id="rId32">
        <w:r>
          <w:rPr>
            <w:rFonts w:ascii="Times New Roman" w:cs="Times New Roman" w:eastAsia="Times New Roman" w:hAnsi="Times New Roman"/>
            <w:sz w:val="17"/>
            <w:szCs w:val="17"/>
            <w:u w:val="single" w:color="auto"/>
            <w:color w:val="0000FF"/>
          </w:rPr>
          <w:t>Report on Form 8-K filed by the Company on July 27,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-235585</wp:posOffset>
            </wp:positionV>
            <wp:extent cx="7143115" cy="244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ind w:right="380"/>
        <w:spacing w:after="0" w:line="234" w:lineRule="auto"/>
        <w:rPr>
          <w:rFonts w:ascii="Times New Roman" w:cs="Times New Roman" w:eastAsia="Times New Roman" w:hAnsi="Times New Roman"/>
          <w:sz w:val="16"/>
          <w:szCs w:val="16"/>
          <w:u w:val="single" w:color="auto"/>
          <w:color w:val="0000FF"/>
        </w:rPr>
      </w:pPr>
      <w:hyperlink r:id="rId34">
        <w:r>
          <w:rPr>
            <w:rFonts w:ascii="Times New Roman" w:cs="Times New Roman" w:eastAsia="Times New Roman" w:hAnsi="Times New Roman"/>
            <w:sz w:val="16"/>
            <w:szCs w:val="16"/>
            <w:u w:val="single" w:color="auto"/>
            <w:color w:val="0000FF"/>
          </w:rPr>
          <w:t>Delayed Draw Term Loan and Guaranty Agreement, dated October 22, 2021, by and among OPAL Fuels Intermediate Holdco LLC, the Guarantors</w:t>
        </w:r>
      </w:hyperlink>
      <w:r>
        <w:rPr>
          <w:rFonts w:ascii="Times New Roman" w:cs="Times New Roman" w:eastAsia="Times New Roman" w:hAnsi="Times New Roman"/>
          <w:sz w:val="16"/>
          <w:szCs w:val="16"/>
          <w:u w:val="single" w:color="auto"/>
          <w:color w:val="0000FF"/>
        </w:rPr>
        <w:t xml:space="preserve"> </w:t>
      </w:r>
      <w:hyperlink r:id="rId34">
        <w:r>
          <w:rPr>
            <w:rFonts w:ascii="Times New Roman" w:cs="Times New Roman" w:eastAsia="Times New Roman" w:hAnsi="Times New Roman"/>
            <w:sz w:val="16"/>
            <w:szCs w:val="16"/>
            <w:u w:val="single" w:color="auto"/>
            <w:color w:val="0000FF"/>
          </w:rPr>
          <w:t>named on the signature pages thereto, and the Lenders (as defined therein), and Bank of America, N.A., as Administrative Agent for the Lenders</w:t>
        </w:r>
      </w:hyperlink>
      <w:r>
        <w:rPr>
          <w:rFonts w:ascii="Times New Roman" w:cs="Times New Roman" w:eastAsia="Times New Roman" w:hAnsi="Times New Roman"/>
          <w:sz w:val="16"/>
          <w:szCs w:val="16"/>
          <w:u w:val="single" w:color="auto"/>
          <w:color w:val="0000FF"/>
        </w:rPr>
        <w:t xml:space="preserve"> </w:t>
      </w:r>
      <w:hyperlink r:id="rId34">
        <w:r>
          <w:rPr>
            <w:rFonts w:ascii="Times New Roman" w:cs="Times New Roman" w:eastAsia="Times New Roman" w:hAnsi="Times New Roman"/>
            <w:sz w:val="16"/>
            <w:szCs w:val="16"/>
            <w:u w:val="single" w:color="auto"/>
            <w:color w:val="0000FF"/>
          </w:rPr>
          <w:t>(incorporated by reference to Exhibit 10.8 to the Registration Statement on Form S-4 (File No. 333-262583), filed on March 25, 2022).</w:t>
        </w:r>
      </w:hyperlink>
    </w:p>
    <w:p>
      <w:pPr>
        <w:spacing w:after="0" w:line="9" w:lineRule="exact"/>
        <w:rPr>
          <w:rFonts w:ascii="Times New Roman" w:cs="Times New Roman" w:eastAsia="Times New Roman" w:hAnsi="Times New Roman"/>
          <w:sz w:val="16"/>
          <w:szCs w:val="16"/>
          <w:u w:val="single" w:color="auto"/>
          <w:color w:val="0000FF"/>
        </w:rPr>
      </w:pPr>
    </w:p>
    <w:p>
      <w:pPr>
        <w:ind w:right="40"/>
        <w:spacing w:after="0" w:line="231" w:lineRule="auto"/>
        <w:rPr>
          <w:rFonts w:ascii="Times New Roman" w:cs="Times New Roman" w:eastAsia="Times New Roman" w:hAnsi="Times New Roman"/>
          <w:sz w:val="17"/>
          <w:szCs w:val="17"/>
          <w:u w:val="single" w:color="auto"/>
          <w:color w:val="0000FF"/>
        </w:rPr>
      </w:pPr>
      <w:hyperlink r:id="rId35">
        <w:r>
          <w:rPr>
            <w:rFonts w:ascii="Times New Roman" w:cs="Times New Roman" w:eastAsia="Times New Roman" w:hAnsi="Times New Roman"/>
            <w:sz w:val="17"/>
            <w:szCs w:val="17"/>
            <w:u w:val="single" w:color="auto"/>
            <w:color w:val="0000FF"/>
          </w:rPr>
          <w:t>Amendment No. 1 to Delayed Draw Term Loan and Guaranty Agreement and Waiver, dated February 1, 2022 (incorporated by reference to Exhibit 10.9</w:t>
        </w:r>
      </w:hyperlink>
      <w:r>
        <w:rPr>
          <w:rFonts w:ascii="Times New Roman" w:cs="Times New Roman" w:eastAsia="Times New Roman" w:hAnsi="Times New Roman"/>
          <w:sz w:val="17"/>
          <w:szCs w:val="17"/>
          <w:u w:val="single" w:color="auto"/>
          <w:color w:val="0000FF"/>
        </w:rPr>
        <w:t xml:space="preserve"> </w:t>
      </w:r>
      <w:hyperlink r:id="rId35">
        <w:r>
          <w:rPr>
            <w:rFonts w:ascii="Times New Roman" w:cs="Times New Roman" w:eastAsia="Times New Roman" w:hAnsi="Times New Roman"/>
            <w:sz w:val="17"/>
            <w:szCs w:val="17"/>
            <w:u w:val="single" w:color="auto"/>
            <w:color w:val="0000FF"/>
          </w:rPr>
          <w:t>to the Registration Statement on Form S-4 (File No. 333-262583), filed on March 25,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-235585</wp:posOffset>
            </wp:positionV>
            <wp:extent cx="7143115" cy="244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jc w:val="both"/>
        <w:ind w:right="60"/>
        <w:spacing w:after="0" w:line="220" w:lineRule="auto"/>
        <w:rPr>
          <w:rFonts w:ascii="Times New Roman" w:cs="Times New Roman" w:eastAsia="Times New Roman" w:hAnsi="Times New Roman"/>
          <w:sz w:val="17"/>
          <w:szCs w:val="17"/>
          <w:u w:val="single" w:color="auto"/>
          <w:color w:val="0000FF"/>
        </w:rPr>
      </w:pPr>
      <w:hyperlink r:id="rId37">
        <w:r>
          <w:rPr>
            <w:rFonts w:ascii="Times New Roman" w:cs="Times New Roman" w:eastAsia="Times New Roman" w:hAnsi="Times New Roman"/>
            <w:sz w:val="17"/>
            <w:szCs w:val="17"/>
            <w:u w:val="single" w:color="auto"/>
            <w:color w:val="0000FF"/>
          </w:rPr>
          <w:t>Environmental Attributes Purchase and Sale Agreement, dated November 29, 2021, by and between, on the one hand, NextEra Energy Marketing, LLC</w:t>
        </w:r>
      </w:hyperlink>
      <w:r>
        <w:rPr>
          <w:rFonts w:ascii="Times New Roman" w:cs="Times New Roman" w:eastAsia="Times New Roman" w:hAnsi="Times New Roman"/>
          <w:sz w:val="17"/>
          <w:szCs w:val="17"/>
          <w:u w:val="single" w:color="auto"/>
          <w:color w:val="0000FF"/>
        </w:rPr>
        <w:t xml:space="preserve"> </w:t>
      </w:r>
      <w:hyperlink r:id="rId37">
        <w:r>
          <w:rPr>
            <w:rFonts w:ascii="Times New Roman" w:cs="Times New Roman" w:eastAsia="Times New Roman" w:hAnsi="Times New Roman"/>
            <w:sz w:val="17"/>
            <w:szCs w:val="17"/>
            <w:u w:val="single" w:color="auto"/>
            <w:color w:val="0000FF"/>
          </w:rPr>
          <w:t>and, on the other hand, TruStar Energy LLC and OPAL Fuels LLC (incorporated by reference to Exhibit 10.10 to the Registration Statement on Form S-</w:t>
        </w:r>
      </w:hyperlink>
      <w:hyperlink r:id="rId37">
        <w:r>
          <w:rPr>
            <w:rFonts w:ascii="Times New Roman" w:cs="Times New Roman" w:eastAsia="Times New Roman" w:hAnsi="Times New Roman"/>
            <w:sz w:val="17"/>
            <w:szCs w:val="17"/>
            <w:u w:val="single" w:color="auto"/>
            <w:color w:val="0000FF"/>
          </w:rPr>
          <w:t>4 (File No. 333-262583), filed on March 25, 2022).</w:t>
        </w:r>
      </w:hyperlink>
    </w:p>
    <w:p>
      <w:pPr>
        <w:spacing w:after="0" w:line="9" w:lineRule="exact"/>
        <w:rPr>
          <w:rFonts w:ascii="Times New Roman" w:cs="Times New Roman" w:eastAsia="Times New Roman" w:hAnsi="Times New Roman"/>
          <w:sz w:val="17"/>
          <w:szCs w:val="17"/>
          <w:u w:val="single" w:color="auto"/>
          <w:color w:val="0000FF"/>
        </w:rPr>
      </w:pPr>
    </w:p>
    <w:p>
      <w:pPr>
        <w:ind w:right="100"/>
        <w:spacing w:after="0" w:line="231" w:lineRule="auto"/>
        <w:rPr>
          <w:rFonts w:ascii="Times New Roman" w:cs="Times New Roman" w:eastAsia="Times New Roman" w:hAnsi="Times New Roman"/>
          <w:sz w:val="17"/>
          <w:szCs w:val="17"/>
          <w:u w:val="single" w:color="auto"/>
          <w:color w:val="0000FF"/>
        </w:rPr>
      </w:pPr>
      <w:hyperlink r:id="rId38">
        <w:r>
          <w:rPr>
            <w:rFonts w:ascii="Times New Roman" w:cs="Times New Roman" w:eastAsia="Times New Roman" w:hAnsi="Times New Roman"/>
            <w:sz w:val="17"/>
            <w:szCs w:val="17"/>
            <w:u w:val="single" w:color="auto"/>
            <w:color w:val="0000FF"/>
          </w:rPr>
          <w:t>Administrative Services Agreement, dated December 31, 2021, by and between OPAL Fuels and Fortistar Services 2 LLC (incorporated by reference to</w:t>
        </w:r>
      </w:hyperlink>
      <w:r>
        <w:rPr>
          <w:rFonts w:ascii="Times New Roman" w:cs="Times New Roman" w:eastAsia="Times New Roman" w:hAnsi="Times New Roman"/>
          <w:sz w:val="17"/>
          <w:szCs w:val="17"/>
          <w:u w:val="single" w:color="auto"/>
          <w:color w:val="0000FF"/>
        </w:rPr>
        <w:t xml:space="preserve"> </w:t>
      </w:r>
      <w:hyperlink r:id="rId38">
        <w:r>
          <w:rPr>
            <w:rFonts w:ascii="Times New Roman" w:cs="Times New Roman" w:eastAsia="Times New Roman" w:hAnsi="Times New Roman"/>
            <w:sz w:val="17"/>
            <w:szCs w:val="17"/>
            <w:u w:val="single" w:color="auto"/>
            <w:color w:val="0000FF"/>
          </w:rPr>
          <w:t>Exhibit 10.11 to the Registration Statement on Form S-4 (File No. 333-262583), filed on March 25,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-235585</wp:posOffset>
            </wp:positionV>
            <wp:extent cx="7143115" cy="244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0" w:space="280"/>
            <w:col w:w="10180"/>
          </w:cols>
          <w:pgMar w:left="320" w:top="865" w:right="35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1220"/>
          </w:cols>
          <w:pgMar w:left="320" w:top="865" w:right="359" w:bottom="1440" w:gutter="0" w:footer="0" w:header="0"/>
          <w:type w:val="continuous"/>
        </w:sectPr>
      </w:pPr>
    </w:p>
    <w:bookmarkStart w:id="103" w:name="page104"/>
    <w:bookmarkEnd w:id="103"/>
    <w:p>
      <w:pPr>
        <w:spacing w:after="0" w:line="87" w:lineRule="exact"/>
        <w:rPr>
          <w:sz w:val="20"/>
          <w:szCs w:val="20"/>
          <w:color w:val="auto"/>
        </w:rPr>
      </w:pPr>
    </w:p>
    <w:p>
      <w:pPr>
        <w:ind w:left="184"/>
        <w:spacing w:after="0"/>
        <w:rPr>
          <w:sz w:val="20"/>
          <w:szCs w:val="20"/>
          <w:color w:val="auto"/>
        </w:rPr>
      </w:pPr>
      <w:r>
        <w:rPr>
          <w:rFonts w:ascii="Times New Roman" w:cs="Times New Roman" w:eastAsia="Times New Roman" w:hAnsi="Times New Roman"/>
          <w:sz w:val="16"/>
          <w:szCs w:val="16"/>
          <w:color w:val="auto"/>
        </w:rPr>
        <w:t>10.14#*</w:t>
      </w:r>
    </w:p>
    <w:p>
      <w:pPr>
        <w:spacing w:after="0" w:line="201" w:lineRule="exact"/>
        <w:rPr>
          <w:sz w:val="20"/>
          <w:szCs w:val="20"/>
          <w:color w:val="auto"/>
        </w:rPr>
      </w:pPr>
    </w:p>
    <w:p>
      <w:pPr>
        <w:ind w:left="184"/>
        <w:spacing w:after="0"/>
        <w:rPr>
          <w:sz w:val="20"/>
          <w:szCs w:val="20"/>
          <w:color w:val="auto"/>
        </w:rPr>
      </w:pPr>
      <w:r>
        <w:rPr>
          <w:rFonts w:ascii="Times New Roman" w:cs="Times New Roman" w:eastAsia="Times New Roman" w:hAnsi="Times New Roman"/>
          <w:sz w:val="16"/>
          <w:szCs w:val="16"/>
          <w:color w:val="auto"/>
        </w:rPr>
        <w:t>10.15#*</w:t>
      </w:r>
    </w:p>
    <w:p>
      <w:pPr>
        <w:spacing w:after="0" w:line="201"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7"/>
          <w:szCs w:val="17"/>
          <w:color w:val="auto"/>
        </w:rPr>
        <w:t>10.16*</w:t>
      </w:r>
    </w:p>
    <w:p>
      <w:pPr>
        <w:spacing w:after="0" w:line="190"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7"/>
          <w:szCs w:val="17"/>
          <w:color w:val="auto"/>
        </w:rPr>
        <w:t>10.17*</w:t>
      </w:r>
    </w:p>
    <w:p>
      <w:pPr>
        <w:spacing w:after="0" w:line="264"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7"/>
          <w:szCs w:val="17"/>
          <w:color w:val="auto"/>
        </w:rPr>
        <w:t>10.18*</w:t>
      </w:r>
    </w:p>
    <w:p>
      <w:pPr>
        <w:spacing w:after="0" w:line="351"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7"/>
          <w:szCs w:val="17"/>
          <w:color w:val="auto"/>
        </w:rPr>
        <w:t>10.19*</w:t>
      </w:r>
    </w:p>
    <w:p>
      <w:pPr>
        <w:spacing w:after="0" w:line="277"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7"/>
          <w:szCs w:val="17"/>
          <w:color w:val="auto"/>
        </w:rPr>
        <w:t>10.20*</w:t>
      </w:r>
    </w:p>
    <w:p>
      <w:pPr>
        <w:spacing w:after="0" w:line="190"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7"/>
          <w:szCs w:val="17"/>
          <w:color w:val="auto"/>
        </w:rPr>
        <w:t>31.1**</w:t>
      </w:r>
    </w:p>
    <w:p>
      <w:pPr>
        <w:spacing w:after="0" w:line="190"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7"/>
          <w:szCs w:val="17"/>
          <w:color w:val="auto"/>
        </w:rPr>
        <w:t>31.2**</w:t>
      </w:r>
    </w:p>
    <w:p>
      <w:pPr>
        <w:spacing w:after="0" w:line="190"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7"/>
          <w:szCs w:val="17"/>
          <w:color w:val="auto"/>
        </w:rPr>
        <w:t>31.3**</w:t>
      </w:r>
    </w:p>
    <w:p>
      <w:pPr>
        <w:spacing w:after="0" w:line="190"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7"/>
          <w:szCs w:val="17"/>
          <w:color w:val="auto"/>
        </w:rPr>
        <w:t>32.1**</w:t>
      </w:r>
    </w:p>
    <w:p>
      <w:pPr>
        <w:spacing w:after="0" w:line="190"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7"/>
          <w:szCs w:val="17"/>
          <w:color w:val="auto"/>
        </w:rPr>
        <w:t>32.2**</w:t>
      </w:r>
    </w:p>
    <w:p>
      <w:pPr>
        <w:spacing w:after="0" w:line="103"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7"/>
          <w:szCs w:val="17"/>
          <w:color w:val="auto"/>
        </w:rPr>
        <w:t>32.3**</w:t>
      </w:r>
    </w:p>
    <w:p>
      <w:pPr>
        <w:spacing w:after="0" w:line="351" w:lineRule="exact"/>
        <w:rPr>
          <w:sz w:val="20"/>
          <w:szCs w:val="20"/>
          <w:color w:val="auto"/>
        </w:rPr>
      </w:pPr>
    </w:p>
    <w:p>
      <w:pPr>
        <w:ind w:left="244"/>
        <w:spacing w:after="0"/>
        <w:rPr>
          <w:sz w:val="20"/>
          <w:szCs w:val="20"/>
          <w:color w:val="auto"/>
        </w:rPr>
      </w:pPr>
      <w:r>
        <w:rPr>
          <w:rFonts w:ascii="Times New Roman" w:cs="Times New Roman" w:eastAsia="Times New Roman" w:hAnsi="Times New Roman"/>
          <w:sz w:val="17"/>
          <w:szCs w:val="17"/>
          <w:color w:val="auto"/>
        </w:rPr>
        <w:t>101**</w:t>
      </w:r>
    </w:p>
    <w:p>
      <w:pPr>
        <w:spacing w:after="0" w:line="351" w:lineRule="exact"/>
        <w:rPr>
          <w:sz w:val="20"/>
          <w:szCs w:val="20"/>
          <w:color w:val="auto"/>
        </w:rPr>
      </w:pPr>
    </w:p>
    <w:p>
      <w:pPr>
        <w:ind w:left="244"/>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br w:type="column"/>
      </w:r>
    </w:p>
    <w:p>
      <w:pPr>
        <w:ind w:right="540"/>
        <w:spacing w:after="0" w:line="231" w:lineRule="auto"/>
        <w:rPr>
          <w:rFonts w:ascii="Times New Roman" w:cs="Times New Roman" w:eastAsia="Times New Roman" w:hAnsi="Times New Roman"/>
          <w:sz w:val="17"/>
          <w:szCs w:val="17"/>
          <w:u w:val="single" w:color="auto"/>
          <w:color w:val="0000FF"/>
        </w:rPr>
      </w:pPr>
      <w:hyperlink r:id="rId40">
        <w:r>
          <w:rPr>
            <w:rFonts w:ascii="Times New Roman" w:cs="Times New Roman" w:eastAsia="Times New Roman" w:hAnsi="Times New Roman"/>
            <w:sz w:val="17"/>
            <w:szCs w:val="17"/>
            <w:u w:val="single" w:color="auto"/>
            <w:color w:val="0000FF"/>
          </w:rPr>
          <w:t>Indemnification and Hold Harmless Agreement, dated December 31, 2020, by and between OPAL Fuels LLC and Fortistar LLC (incorporated by</w:t>
        </w:r>
      </w:hyperlink>
      <w:r>
        <w:rPr>
          <w:rFonts w:ascii="Times New Roman" w:cs="Times New Roman" w:eastAsia="Times New Roman" w:hAnsi="Times New Roman"/>
          <w:sz w:val="17"/>
          <w:szCs w:val="17"/>
          <w:u w:val="single" w:color="auto"/>
          <w:color w:val="0000FF"/>
        </w:rPr>
        <w:t xml:space="preserve"> </w:t>
      </w:r>
      <w:hyperlink r:id="rId40">
        <w:r>
          <w:rPr>
            <w:rFonts w:ascii="Times New Roman" w:cs="Times New Roman" w:eastAsia="Times New Roman" w:hAnsi="Times New Roman"/>
            <w:sz w:val="17"/>
            <w:szCs w:val="17"/>
            <w:u w:val="single" w:color="auto"/>
            <w:color w:val="0000FF"/>
          </w:rPr>
          <w:t>reference to Exhibit 10.12 to the Registration Statement on Form S-4 (File No. 333-262583), filed on March 25, 2022).</w:t>
        </w:r>
      </w:hyperlink>
    </w:p>
    <w:p>
      <w:pPr>
        <w:spacing w:after="0" w:line="9" w:lineRule="exact"/>
        <w:rPr>
          <w:sz w:val="20"/>
          <w:szCs w:val="20"/>
          <w:color w:val="auto"/>
        </w:rPr>
      </w:pPr>
    </w:p>
    <w:p>
      <w:pPr>
        <w:ind w:right="140"/>
        <w:spacing w:after="0" w:line="231" w:lineRule="auto"/>
        <w:rPr>
          <w:rFonts w:ascii="Times New Roman" w:cs="Times New Roman" w:eastAsia="Times New Roman" w:hAnsi="Times New Roman"/>
          <w:sz w:val="17"/>
          <w:szCs w:val="17"/>
          <w:u w:val="single" w:color="auto"/>
          <w:color w:val="0000FF"/>
        </w:rPr>
      </w:pPr>
      <w:hyperlink r:id="rId41">
        <w:r>
          <w:rPr>
            <w:rFonts w:ascii="Times New Roman" w:cs="Times New Roman" w:eastAsia="Times New Roman" w:hAnsi="Times New Roman"/>
            <w:sz w:val="17"/>
            <w:szCs w:val="17"/>
            <w:u w:val="single" w:color="auto"/>
            <w:color w:val="0000FF"/>
          </w:rPr>
          <w:t>Flue Gas Offtake and Preferred Partner Agreement, dated November 29, 2021, by and between CarbonFree Chemicals Holdings, LLC and OPAL Fuels</w:t>
        </w:r>
      </w:hyperlink>
      <w:r>
        <w:rPr>
          <w:rFonts w:ascii="Times New Roman" w:cs="Times New Roman" w:eastAsia="Times New Roman" w:hAnsi="Times New Roman"/>
          <w:sz w:val="17"/>
          <w:szCs w:val="17"/>
          <w:u w:val="single" w:color="auto"/>
          <w:color w:val="0000FF"/>
        </w:rPr>
        <w:t xml:space="preserve"> </w:t>
      </w:r>
      <w:hyperlink r:id="rId41">
        <w:r>
          <w:rPr>
            <w:rFonts w:ascii="Times New Roman" w:cs="Times New Roman" w:eastAsia="Times New Roman" w:hAnsi="Times New Roman"/>
            <w:sz w:val="17"/>
            <w:szCs w:val="17"/>
            <w:u w:val="single" w:color="auto"/>
            <w:color w:val="0000FF"/>
          </w:rPr>
          <w:t>LLC (incorporated by reference to Exhibit 10.13 to the Registration Statement on Form S-4 (File No. 333-262583), filed on March 25,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-235585</wp:posOffset>
            </wp:positionV>
            <wp:extent cx="7143115" cy="244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ind w:right="240"/>
        <w:spacing w:after="0" w:line="231" w:lineRule="auto"/>
        <w:rPr>
          <w:rFonts w:ascii="Times New Roman" w:cs="Times New Roman" w:eastAsia="Times New Roman" w:hAnsi="Times New Roman"/>
          <w:sz w:val="17"/>
          <w:szCs w:val="17"/>
          <w:u w:val="single" w:color="auto"/>
          <w:color w:val="0000FF"/>
        </w:rPr>
      </w:pPr>
      <w:hyperlink r:id="rId43">
        <w:r>
          <w:rPr>
            <w:rFonts w:ascii="Times New Roman" w:cs="Times New Roman" w:eastAsia="Times New Roman" w:hAnsi="Times New Roman"/>
            <w:sz w:val="17"/>
            <w:szCs w:val="17"/>
            <w:u w:val="single" w:color="auto"/>
            <w:color w:val="0000FF"/>
          </w:rPr>
          <w:t>Amendment No. 3 to Delayed Draw Term Loan and Guaranty Agreement, dated September 29, 2022 (incorporated by reference to Exhibit 10.1 to the</w:t>
        </w:r>
      </w:hyperlink>
      <w:r>
        <w:rPr>
          <w:rFonts w:ascii="Times New Roman" w:cs="Times New Roman" w:eastAsia="Times New Roman" w:hAnsi="Times New Roman"/>
          <w:sz w:val="17"/>
          <w:szCs w:val="17"/>
          <w:u w:val="single" w:color="auto"/>
          <w:color w:val="0000FF"/>
        </w:rPr>
        <w:t xml:space="preserve"> </w:t>
      </w:r>
      <w:hyperlink r:id="rId43">
        <w:r>
          <w:rPr>
            <w:rFonts w:ascii="Times New Roman" w:cs="Times New Roman" w:eastAsia="Times New Roman" w:hAnsi="Times New Roman"/>
            <w:sz w:val="17"/>
            <w:szCs w:val="17"/>
            <w:u w:val="single" w:color="auto"/>
            <w:color w:val="0000FF"/>
          </w:rPr>
          <w:t>Current Report on Form 8-K filed by the Company on October 3, 2022).</w:t>
        </w:r>
      </w:hyperlink>
    </w:p>
    <w:p>
      <w:pPr>
        <w:spacing w:after="0" w:line="9" w:lineRule="exact"/>
        <w:rPr>
          <w:sz w:val="20"/>
          <w:szCs w:val="20"/>
          <w:color w:val="auto"/>
        </w:rPr>
      </w:pPr>
    </w:p>
    <w:p>
      <w:pPr>
        <w:ind w:right="220"/>
        <w:spacing w:after="0" w:line="231" w:lineRule="auto"/>
        <w:rPr>
          <w:rFonts w:ascii="Times New Roman" w:cs="Times New Roman" w:eastAsia="Times New Roman" w:hAnsi="Times New Roman"/>
          <w:sz w:val="17"/>
          <w:szCs w:val="17"/>
          <w:u w:val="single" w:color="auto"/>
          <w:color w:val="0000FF"/>
        </w:rPr>
      </w:pPr>
      <w:hyperlink r:id="rId44">
        <w:r>
          <w:rPr>
            <w:rFonts w:ascii="Times New Roman" w:cs="Times New Roman" w:eastAsia="Times New Roman" w:hAnsi="Times New Roman"/>
            <w:sz w:val="17"/>
            <w:szCs w:val="17"/>
            <w:u w:val="single" w:color="auto"/>
            <w:color w:val="0000FF"/>
          </w:rPr>
          <w:t>Form of Stock Award Agreement dated September 15, 2022 (incorporated by reference to Exhibit 10.1 to the Current Report on Form 8-K filed by the</w:t>
        </w:r>
      </w:hyperlink>
      <w:r>
        <w:rPr>
          <w:rFonts w:ascii="Times New Roman" w:cs="Times New Roman" w:eastAsia="Times New Roman" w:hAnsi="Times New Roman"/>
          <w:sz w:val="17"/>
          <w:szCs w:val="17"/>
          <w:u w:val="single" w:color="auto"/>
          <w:color w:val="0000FF"/>
        </w:rPr>
        <w:t xml:space="preserve"> </w:t>
      </w:r>
      <w:hyperlink r:id="rId44">
        <w:r>
          <w:rPr>
            <w:rFonts w:ascii="Times New Roman" w:cs="Times New Roman" w:eastAsia="Times New Roman" w:hAnsi="Times New Roman"/>
            <w:sz w:val="17"/>
            <w:szCs w:val="17"/>
            <w:u w:val="single" w:color="auto"/>
            <w:color w:val="0000FF"/>
          </w:rPr>
          <w:t>Company on September 19,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-235585</wp:posOffset>
            </wp:positionV>
            <wp:extent cx="7143115" cy="244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ind w:right="100"/>
        <w:spacing w:after="0" w:line="230" w:lineRule="auto"/>
        <w:rPr>
          <w:rFonts w:ascii="Times New Roman" w:cs="Times New Roman" w:eastAsia="Times New Roman" w:hAnsi="Times New Roman"/>
          <w:sz w:val="16"/>
          <w:szCs w:val="16"/>
          <w:u w:val="single" w:color="auto"/>
          <w:color w:val="0000FF"/>
        </w:rPr>
      </w:pPr>
      <w:hyperlink r:id="rId46">
        <w:r>
          <w:rPr>
            <w:rFonts w:ascii="Times New Roman" w:cs="Times New Roman" w:eastAsia="Times New Roman" w:hAnsi="Times New Roman"/>
            <w:sz w:val="16"/>
            <w:szCs w:val="16"/>
            <w:u w:val="single" w:color="auto"/>
            <w:color w:val="0000FF"/>
          </w:rPr>
          <w:t>Forward Purchase Agreement, dated July 18, 2022, among ArcLight Clean Transition Corp. II, Meteora Special Opportunity Fund I, LP, Meteora Select</w:t>
        </w:r>
      </w:hyperlink>
      <w:r>
        <w:rPr>
          <w:rFonts w:ascii="Times New Roman" w:cs="Times New Roman" w:eastAsia="Times New Roman" w:hAnsi="Times New Roman"/>
          <w:sz w:val="16"/>
          <w:szCs w:val="16"/>
          <w:u w:val="single" w:color="auto"/>
          <w:color w:val="0000FF"/>
        </w:rPr>
        <w:t xml:space="preserve"> </w:t>
      </w:r>
      <w:hyperlink r:id="rId46">
        <w:r>
          <w:rPr>
            <w:rFonts w:ascii="Times New Roman" w:cs="Times New Roman" w:eastAsia="Times New Roman" w:hAnsi="Times New Roman"/>
            <w:sz w:val="16"/>
            <w:szCs w:val="16"/>
            <w:u w:val="single" w:color="auto"/>
            <w:color w:val="0000FF"/>
          </w:rPr>
          <w:t>Trading Opportunities Master, LP and Meteora Capital Partners, LP (incorporated by reference to Exhibit 10.1 to the Current Report on Form 8-K filed</w:t>
        </w:r>
      </w:hyperlink>
    </w:p>
    <w:p>
      <w:pPr>
        <w:spacing w:after="0" w:line="1"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46">
        <w:r>
          <w:rPr>
            <w:rFonts w:ascii="Times New Roman" w:cs="Times New Roman" w:eastAsia="Times New Roman" w:hAnsi="Times New Roman"/>
            <w:sz w:val="17"/>
            <w:szCs w:val="17"/>
            <w:u w:val="single" w:color="auto"/>
            <w:color w:val="0000FF"/>
          </w:rPr>
          <w:t>by the Company on July 18,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1270</wp:posOffset>
            </wp:positionV>
            <wp:extent cx="7143115" cy="347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a:extLst>
                        <a:ext uri="{28A0092B-C50C-407E-A947-70E740481C1C}"/>
                      </a:extLst>
                    </a:blip>
                    <a:srcRect/>
                    <a:stretch>
                      <a:fillRect/>
                    </a:stretch>
                  </pic:blipFill>
                  <pic:spPr bwMode="auto">
                    <a:xfrm>
                      <a:off x="0" y="0"/>
                      <a:ext cx="7143115" cy="347345"/>
                    </a:xfrm>
                    <a:prstGeom prst="rect">
                      <a:avLst/>
                    </a:prstGeom>
                    <a:noFill/>
                  </pic:spPr>
                </pic:pic>
              </a:graphicData>
            </a:graphic>
          </wp:anchor>
        </w:drawing>
      </w:r>
    </w:p>
    <w:p>
      <w:pPr>
        <w:ind w:right="300"/>
        <w:spacing w:after="0" w:line="227" w:lineRule="auto"/>
        <w:rPr>
          <w:rFonts w:ascii="Times New Roman" w:cs="Times New Roman" w:eastAsia="Times New Roman" w:hAnsi="Times New Roman"/>
          <w:sz w:val="16"/>
          <w:szCs w:val="16"/>
          <w:u w:val="single" w:color="auto"/>
          <w:color w:val="0000FF"/>
        </w:rPr>
      </w:pPr>
      <w:hyperlink r:id="rId48">
        <w:r>
          <w:rPr>
            <w:rFonts w:ascii="Times New Roman" w:cs="Times New Roman" w:eastAsia="Times New Roman" w:hAnsi="Times New Roman"/>
            <w:sz w:val="16"/>
            <w:szCs w:val="16"/>
            <w:u w:val="single" w:color="auto"/>
            <w:color w:val="0000FF"/>
          </w:rPr>
          <w:t>Credit Agreement, dated August 4, 2022, made by and among OPAL Intermediate Holdco 2 as Borrower, the guarantors, the lenders thereto, Bank of</w:t>
        </w:r>
      </w:hyperlink>
      <w:r>
        <w:rPr>
          <w:rFonts w:ascii="Times New Roman" w:cs="Times New Roman" w:eastAsia="Times New Roman" w:hAnsi="Times New Roman"/>
          <w:sz w:val="16"/>
          <w:szCs w:val="16"/>
          <w:u w:val="single" w:color="auto"/>
          <w:color w:val="0000FF"/>
        </w:rPr>
        <w:t xml:space="preserve"> </w:t>
      </w:r>
      <w:hyperlink r:id="rId48">
        <w:r>
          <w:rPr>
            <w:rFonts w:ascii="Times New Roman" w:cs="Times New Roman" w:eastAsia="Times New Roman" w:hAnsi="Times New Roman"/>
            <w:sz w:val="16"/>
            <w:szCs w:val="16"/>
            <w:u w:val="single" w:color="auto"/>
            <w:color w:val="0000FF"/>
          </w:rPr>
          <w:t>Montreal as the administration agent, Wilmington Trust as collateral agent and Bank of Montreal, Investec Inc. and Comerica Bank as joint lead</w:t>
        </w:r>
      </w:hyperlink>
    </w:p>
    <w:p>
      <w:pPr>
        <w:spacing w:after="0" w:line="1"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48">
        <w:r>
          <w:rPr>
            <w:rFonts w:ascii="Times New Roman" w:cs="Times New Roman" w:eastAsia="Times New Roman" w:hAnsi="Times New Roman"/>
            <w:sz w:val="17"/>
            <w:szCs w:val="17"/>
            <w:u w:val="single" w:color="auto"/>
            <w:color w:val="0000FF"/>
          </w:rPr>
          <w:t>arrangers (incorporated by reference to Exhibit 10.1 to the Current Report on Form 8-K filed by the Company on August 8, 2022).</w:t>
        </w:r>
      </w:hyperlink>
    </w:p>
    <w:p>
      <w:pPr>
        <w:spacing w:after="0" w:line="2" w:lineRule="exact"/>
        <w:rPr>
          <w:sz w:val="20"/>
          <w:szCs w:val="20"/>
          <w:color w:val="auto"/>
        </w:rPr>
      </w:pPr>
    </w:p>
    <w:p>
      <w:pPr>
        <w:ind w:right="100"/>
        <w:spacing w:after="0" w:line="228" w:lineRule="auto"/>
        <w:rPr>
          <w:rFonts w:ascii="Times New Roman" w:cs="Times New Roman" w:eastAsia="Times New Roman" w:hAnsi="Times New Roman"/>
          <w:sz w:val="17"/>
          <w:szCs w:val="17"/>
          <w:u w:val="single" w:color="auto"/>
          <w:color w:val="0000FF"/>
        </w:rPr>
      </w:pPr>
      <w:hyperlink r:id="rId49">
        <w:r>
          <w:rPr>
            <w:rFonts w:ascii="Times New Roman" w:cs="Times New Roman" w:eastAsia="Times New Roman" w:hAnsi="Times New Roman"/>
            <w:sz w:val="17"/>
            <w:szCs w:val="17"/>
            <w:u w:val="single" w:color="auto"/>
            <w:color w:val="0000FF"/>
          </w:rPr>
          <w:t>Promissory Note, dated as of May 16, 2022, by and between Arclight and Sponsor (incorporated by reference to Exhibit 10.6 to the Quarterly Report on</w:t>
        </w:r>
      </w:hyperlink>
      <w:r>
        <w:rPr>
          <w:rFonts w:ascii="Times New Roman" w:cs="Times New Roman" w:eastAsia="Times New Roman" w:hAnsi="Times New Roman"/>
          <w:sz w:val="17"/>
          <w:szCs w:val="17"/>
          <w:u w:val="single" w:color="auto"/>
          <w:color w:val="0000FF"/>
        </w:rPr>
        <w:t xml:space="preserve"> </w:t>
      </w:r>
      <w:hyperlink r:id="rId49">
        <w:r>
          <w:rPr>
            <w:rFonts w:ascii="Times New Roman" w:cs="Times New Roman" w:eastAsia="Times New Roman" w:hAnsi="Times New Roman"/>
            <w:sz w:val="17"/>
            <w:szCs w:val="17"/>
            <w:u w:val="single" w:color="auto"/>
            <w:color w:val="0000FF"/>
          </w:rPr>
          <w:t>Form 10-Q filed by the Company on August 10, 2022).</w:t>
        </w:r>
      </w:hyperlink>
    </w:p>
    <w:p>
      <w:pPr>
        <w:spacing w:after="0" w:line="10" w:lineRule="exact"/>
        <w:rPr>
          <w:sz w:val="20"/>
          <w:szCs w:val="20"/>
          <w:color w:val="auto"/>
        </w:rPr>
      </w:pPr>
    </w:p>
    <w:p>
      <w:pPr>
        <w:ind w:right="480"/>
        <w:spacing w:after="0" w:line="231" w:lineRule="auto"/>
        <w:rPr>
          <w:rFonts w:ascii="Times New Roman" w:cs="Times New Roman" w:eastAsia="Times New Roman" w:hAnsi="Times New Roman"/>
          <w:sz w:val="17"/>
          <w:szCs w:val="17"/>
          <w:u w:val="single" w:color="auto"/>
          <w:color w:val="0000FF"/>
        </w:rPr>
      </w:pPr>
      <w:hyperlink r:id="rId50">
        <w:r>
          <w:rPr>
            <w:rFonts w:ascii="Times New Roman" w:cs="Times New Roman" w:eastAsia="Times New Roman" w:hAnsi="Times New Roman"/>
            <w:sz w:val="17"/>
            <w:szCs w:val="17"/>
            <w:u w:val="single" w:color="auto"/>
            <w:color w:val="0000FF"/>
          </w:rPr>
          <w:t>Certification of Co-Principal Executive Officer Pursuant to Rules 13a-14(a) and 15d-14(a) under the Securities Exchange Act of 1934, as Adopted</w:t>
        </w:r>
      </w:hyperlink>
      <w:r>
        <w:rPr>
          <w:rFonts w:ascii="Times New Roman" w:cs="Times New Roman" w:eastAsia="Times New Roman" w:hAnsi="Times New Roman"/>
          <w:sz w:val="17"/>
          <w:szCs w:val="17"/>
          <w:u w:val="single" w:color="auto"/>
          <w:color w:val="0000FF"/>
        </w:rPr>
        <w:t xml:space="preserve"> </w:t>
      </w:r>
      <w:hyperlink r:id="rId50">
        <w:r>
          <w:rPr>
            <w:rFonts w:ascii="Times New Roman" w:cs="Times New Roman" w:eastAsia="Times New Roman" w:hAnsi="Times New Roman"/>
            <w:sz w:val="17"/>
            <w:szCs w:val="17"/>
            <w:u w:val="single" w:color="auto"/>
            <w:color w:val="0000FF"/>
          </w:rPr>
          <w:t>Pursuant to Section 302 of the Sarbanes -Oxley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-235585</wp:posOffset>
            </wp:positionV>
            <wp:extent cx="7143115" cy="244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ind w:right="480"/>
        <w:spacing w:after="0" w:line="231" w:lineRule="auto"/>
        <w:rPr>
          <w:rFonts w:ascii="Times New Roman" w:cs="Times New Roman" w:eastAsia="Times New Roman" w:hAnsi="Times New Roman"/>
          <w:sz w:val="17"/>
          <w:szCs w:val="17"/>
          <w:u w:val="single" w:color="auto"/>
          <w:color w:val="0000FF"/>
        </w:rPr>
      </w:pPr>
      <w:hyperlink r:id="rId52">
        <w:r>
          <w:rPr>
            <w:rFonts w:ascii="Times New Roman" w:cs="Times New Roman" w:eastAsia="Times New Roman" w:hAnsi="Times New Roman"/>
            <w:sz w:val="17"/>
            <w:szCs w:val="17"/>
            <w:u w:val="single" w:color="auto"/>
            <w:color w:val="0000FF"/>
          </w:rPr>
          <w:t>Certification of Co-Principal Executive Officer Pursuant to Rules 13a-14(a) and 15d-14(a) under the Securities Exchange Act of 1934, as Adopted</w:t>
        </w:r>
      </w:hyperlink>
      <w:r>
        <w:rPr>
          <w:rFonts w:ascii="Times New Roman" w:cs="Times New Roman" w:eastAsia="Times New Roman" w:hAnsi="Times New Roman"/>
          <w:sz w:val="17"/>
          <w:szCs w:val="17"/>
          <w:u w:val="single" w:color="auto"/>
          <w:color w:val="0000FF"/>
        </w:rPr>
        <w:t xml:space="preserve"> </w:t>
      </w:r>
      <w:hyperlink r:id="rId52">
        <w:r>
          <w:rPr>
            <w:rFonts w:ascii="Times New Roman" w:cs="Times New Roman" w:eastAsia="Times New Roman" w:hAnsi="Times New Roman"/>
            <w:sz w:val="17"/>
            <w:szCs w:val="17"/>
            <w:u w:val="single" w:color="auto"/>
            <w:color w:val="0000FF"/>
          </w:rPr>
          <w:t>Pursuant to Section 302 of the Sarbanes -Oxley Act of 2002.</w:t>
        </w:r>
      </w:hyperlink>
    </w:p>
    <w:p>
      <w:pPr>
        <w:spacing w:after="0" w:line="9" w:lineRule="exact"/>
        <w:rPr>
          <w:sz w:val="20"/>
          <w:szCs w:val="20"/>
          <w:color w:val="auto"/>
        </w:rPr>
      </w:pPr>
    </w:p>
    <w:p>
      <w:pPr>
        <w:ind w:right="160"/>
        <w:spacing w:after="0" w:line="231" w:lineRule="auto"/>
        <w:rPr>
          <w:rFonts w:ascii="Times New Roman" w:cs="Times New Roman" w:eastAsia="Times New Roman" w:hAnsi="Times New Roman"/>
          <w:sz w:val="17"/>
          <w:szCs w:val="17"/>
          <w:u w:val="single" w:color="auto"/>
          <w:color w:val="0000FF"/>
        </w:rPr>
      </w:pPr>
      <w:hyperlink r:id="rId53">
        <w:r>
          <w:rPr>
            <w:rFonts w:ascii="Times New Roman" w:cs="Times New Roman" w:eastAsia="Times New Roman" w:hAnsi="Times New Roman"/>
            <w:sz w:val="17"/>
            <w:szCs w:val="17"/>
            <w:color w:val="auto"/>
          </w:rPr>
          <w:t>C</w:t>
        </w:r>
        <w:r>
          <w:rPr>
            <w:rFonts w:ascii="Times New Roman" w:cs="Times New Roman" w:eastAsia="Times New Roman" w:hAnsi="Times New Roman"/>
            <w:sz w:val="17"/>
            <w:szCs w:val="17"/>
            <w:u w:val="single" w:color="auto"/>
            <w:color w:val="0000FF"/>
          </w:rPr>
          <w:t>ertification of Principal Financial Officer Pursuant to Rules 13a-14(a) and 15d-14(a) under the Securities Exchange Act of 1934, as Adopted Pursuant</w:t>
        </w:r>
      </w:hyperlink>
      <w:r>
        <w:rPr>
          <w:rFonts w:ascii="Times New Roman" w:cs="Times New Roman" w:eastAsia="Times New Roman" w:hAnsi="Times New Roman"/>
          <w:sz w:val="17"/>
          <w:szCs w:val="17"/>
          <w:color w:val="auto"/>
        </w:rPr>
        <w:t xml:space="preserve"> </w:t>
      </w:r>
      <w:hyperlink r:id="rId53">
        <w:r>
          <w:rPr>
            <w:rFonts w:ascii="Times New Roman" w:cs="Times New Roman" w:eastAsia="Times New Roman" w:hAnsi="Times New Roman"/>
            <w:sz w:val="17"/>
            <w:szCs w:val="17"/>
            <w:u w:val="single" w:color="auto"/>
            <w:color w:val="0000FF"/>
          </w:rPr>
          <w:t>to 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-235585</wp:posOffset>
            </wp:positionV>
            <wp:extent cx="7143115" cy="2444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ind w:right="240"/>
        <w:spacing w:after="0" w:line="231" w:lineRule="auto"/>
        <w:rPr>
          <w:rFonts w:ascii="Times New Roman" w:cs="Times New Roman" w:eastAsia="Times New Roman" w:hAnsi="Times New Roman"/>
          <w:sz w:val="17"/>
          <w:szCs w:val="17"/>
          <w:u w:val="single" w:color="auto"/>
          <w:color w:val="0000FF"/>
        </w:rPr>
      </w:pPr>
      <w:hyperlink r:id="rId55">
        <w:r>
          <w:rPr>
            <w:rFonts w:ascii="Times New Roman" w:cs="Times New Roman" w:eastAsia="Times New Roman" w:hAnsi="Times New Roman"/>
            <w:sz w:val="17"/>
            <w:szCs w:val="17"/>
            <w:u w:val="single" w:color="auto"/>
            <w:color w:val="0000FF"/>
          </w:rPr>
          <w:t>Certification of Co-Principal Executive Officer Pursuant to 18 U.S.C. Section 1350, as Adopted Pursuant to Section 906 of the Sarbanes-Oxley Act of</w:t>
        </w:r>
      </w:hyperlink>
      <w:r>
        <w:rPr>
          <w:rFonts w:ascii="Times New Roman" w:cs="Times New Roman" w:eastAsia="Times New Roman" w:hAnsi="Times New Roman"/>
          <w:sz w:val="17"/>
          <w:szCs w:val="17"/>
          <w:u w:val="single" w:color="auto"/>
          <w:color w:val="0000FF"/>
        </w:rPr>
        <w:t xml:space="preserve"> </w:t>
      </w:r>
      <w:hyperlink r:id="rId55">
        <w:r>
          <w:rPr>
            <w:rFonts w:ascii="Times New Roman" w:cs="Times New Roman" w:eastAsia="Times New Roman" w:hAnsi="Times New Roman"/>
            <w:sz w:val="17"/>
            <w:szCs w:val="17"/>
            <w:u w:val="single" w:color="auto"/>
            <w:color w:val="0000FF"/>
          </w:rPr>
          <w:t>2002.</w:t>
        </w:r>
      </w:hyperlink>
    </w:p>
    <w:p>
      <w:pPr>
        <w:spacing w:after="0" w:line="9" w:lineRule="exact"/>
        <w:rPr>
          <w:sz w:val="20"/>
          <w:szCs w:val="20"/>
          <w:color w:val="auto"/>
        </w:rPr>
      </w:pPr>
    </w:p>
    <w:p>
      <w:pPr>
        <w:ind w:right="240"/>
        <w:spacing w:after="0" w:line="231" w:lineRule="auto"/>
        <w:rPr>
          <w:rFonts w:ascii="Times New Roman" w:cs="Times New Roman" w:eastAsia="Times New Roman" w:hAnsi="Times New Roman"/>
          <w:sz w:val="17"/>
          <w:szCs w:val="17"/>
          <w:u w:val="single" w:color="auto"/>
          <w:color w:val="0000FF"/>
        </w:rPr>
      </w:pPr>
      <w:hyperlink r:id="rId56">
        <w:r>
          <w:rPr>
            <w:rFonts w:ascii="Times New Roman" w:cs="Times New Roman" w:eastAsia="Times New Roman" w:hAnsi="Times New Roman"/>
            <w:sz w:val="17"/>
            <w:szCs w:val="17"/>
            <w:u w:val="single" w:color="auto"/>
            <w:color w:val="0000FF"/>
          </w:rPr>
          <w:t>Certification of Co-Principal Executive Officer Pursuant to 18 U.S.C. Section 1350, as Adopted Pursuant to Section 906 of the Sarbanes-Oxley Act of</w:t>
        </w:r>
      </w:hyperlink>
      <w:r>
        <w:rPr>
          <w:rFonts w:ascii="Times New Roman" w:cs="Times New Roman" w:eastAsia="Times New Roman" w:hAnsi="Times New Roman"/>
          <w:sz w:val="17"/>
          <w:szCs w:val="17"/>
          <w:u w:val="single" w:color="auto"/>
          <w:color w:val="0000FF"/>
        </w:rPr>
        <w:t xml:space="preserve"> </w:t>
      </w:r>
      <w:hyperlink r:id="rId56">
        <w:r>
          <w:rPr>
            <w:rFonts w:ascii="Times New Roman" w:cs="Times New Roman" w:eastAsia="Times New Roman" w:hAnsi="Times New Roman"/>
            <w:sz w:val="17"/>
            <w:szCs w:val="17"/>
            <w:u w:val="single" w:color="auto"/>
            <w:color w:val="0000FF"/>
          </w:rPr>
          <w:t>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-235585</wp:posOffset>
            </wp:positionV>
            <wp:extent cx="7143115" cy="244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7">
                      <a:extLst>
                        <a:ext uri="{28A0092B-C50C-407E-A947-70E740481C1C}"/>
                      </a:extLst>
                    </a:blip>
                    <a:srcRect/>
                    <a:stretch>
                      <a:fillRect/>
                    </a:stretch>
                  </pic:blipFill>
                  <pic:spPr bwMode="auto">
                    <a:xfrm>
                      <a:off x="0" y="0"/>
                      <a:ext cx="7143115" cy="244475"/>
                    </a:xfrm>
                    <a:prstGeom prst="rect">
                      <a:avLst/>
                    </a:prstGeom>
                    <a:noFill/>
                  </pic:spPr>
                </pic:pic>
              </a:graphicData>
            </a:graphic>
          </wp:anchor>
        </w:drawing>
      </w:r>
    </w:p>
    <w:p>
      <w:pPr>
        <w:spacing w:after="0"/>
        <w:rPr>
          <w:rFonts w:ascii="Times New Roman" w:cs="Times New Roman" w:eastAsia="Times New Roman" w:hAnsi="Times New Roman"/>
          <w:sz w:val="16"/>
          <w:szCs w:val="16"/>
          <w:u w:val="single" w:color="auto"/>
          <w:color w:val="0000FF"/>
        </w:rPr>
      </w:pPr>
      <w:hyperlink r:id="rId58">
        <w:r>
          <w:rPr>
            <w:rFonts w:ascii="Times New Roman" w:cs="Times New Roman" w:eastAsia="Times New Roman" w:hAnsi="Times New Roman"/>
            <w:sz w:val="16"/>
            <w:szCs w:val="16"/>
            <w:u w:val="single" w:color="auto"/>
            <w:color w:val="0000FF"/>
          </w:rPr>
          <w:t>Certification of Principal Financial Officer Pursuant to 18 U.S.C. Section 1350, as Adopted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19685</wp:posOffset>
            </wp:positionV>
            <wp:extent cx="7143115" cy="560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9">
                      <a:extLst>
                        <a:ext uri="{28A0092B-C50C-407E-A947-70E740481C1C}"/>
                      </a:extLst>
                    </a:blip>
                    <a:srcRect/>
                    <a:stretch>
                      <a:fillRect/>
                    </a:stretch>
                  </pic:blipFill>
                  <pic:spPr bwMode="auto">
                    <a:xfrm>
                      <a:off x="0" y="0"/>
                      <a:ext cx="7143115" cy="560705"/>
                    </a:xfrm>
                    <a:prstGeom prst="rect">
                      <a:avLst/>
                    </a:prstGeom>
                    <a:noFill/>
                  </pic:spPr>
                </pic:pic>
              </a:graphicData>
            </a:graphic>
          </wp:anchor>
        </w:drawing>
      </w:r>
    </w:p>
    <w:p>
      <w:pPr>
        <w:spacing w:after="0" w:line="1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The following materials from OPAL Fuels Inc.'s Quarterly Report on Form 10Q for the quarter ended September 30, 2022, formatted in eXtensible Business Reporting Language (XBRL): (i) Condensed Consolidated Balance Sheets ( unaudited), (ii) Condensed Consolidated Statements of Operations</w:t>
      </w:r>
    </w:p>
    <w:p>
      <w:pPr>
        <w:spacing w:after="0" w:line="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7"/>
          <w:szCs w:val="17"/>
          <w:color w:val="auto"/>
        </w:rPr>
        <w:t>(unaudited), (iii) Condensed Consolidated Statements of Comprehensive Income (unaudited), (iv) Condensed Consolidated Statements of Stockholders' Equity (unaudited), (v) Condensed Consolidated Statements of Cash Flows (unaudited) and (vi) Notes to Condensed Consolidated Financial Statements (unaudited)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724" w:space="300"/>
            <w:col w:w="10200"/>
          </w:cols>
          <w:pgMar w:left="336" w:top="906" w:right="339" w:bottom="1440" w:gutter="0" w:footer="0" w:header="0"/>
        </w:sectPr>
      </w:pPr>
    </w:p>
    <w:p>
      <w:pPr>
        <w:spacing w:after="0" w:line="151" w:lineRule="exact"/>
        <w:rPr>
          <w:sz w:val="20"/>
          <w:szCs w:val="20"/>
          <w:color w:val="auto"/>
        </w:rPr>
      </w:pPr>
    </w:p>
    <w:p>
      <w:pPr>
        <w:ind w:left="624" w:hanging="624"/>
        <w:spacing w:after="0"/>
        <w:tabs>
          <w:tab w:leader="none" w:pos="62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w:t>
      </w:r>
    </w:p>
    <w:p>
      <w:pPr>
        <w:spacing w:after="0" w:line="20"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Filed herewith.</w:t>
      </w:r>
    </w:p>
    <w:p>
      <w:pPr>
        <w:spacing w:after="0" w:line="7"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6"/>
          <w:szCs w:val="16"/>
          <w:color w:val="auto"/>
        </w:rPr>
        <w:t>Schedules and exhibits to this Exhibit omitted pursuant to Regulation S-K Item 601(b)(2). The Company agrees to furnish supplementally a copy of</w:t>
      </w:r>
    </w:p>
    <w:p>
      <w:pPr>
        <w:ind w:left="624" w:hanging="624"/>
        <w:spacing w:after="0"/>
        <w:tabs>
          <w:tab w:leader="none" w:pos="62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omitted schedule or exhibit to the SEC upon request.</w:t>
      </w:r>
    </w:p>
    <w:p>
      <w:pPr>
        <w:spacing w:after="0" w:line="6"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6"/>
          <w:szCs w:val="16"/>
          <w:color w:val="auto"/>
        </w:rPr>
        <w:t>Pursuant to Item 601(b)(10) of Regulation S-K, certain confidential portions of this exhibit were omitted by means of marking such portions with an</w:t>
      </w:r>
    </w:p>
    <w:p>
      <w:pPr>
        <w:ind w:left="624" w:hanging="624"/>
        <w:spacing w:after="0"/>
        <w:tabs>
          <w:tab w:leader="none" w:pos="62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asterisk because the identified confidential portions (i) are not material and (ii) would be competitively harmful if publicly disclosed.</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31" w:lineRule="exact"/>
        <w:rPr>
          <w:rFonts w:ascii="Times New Roman" w:cs="Times New Roman" w:eastAsia="Times New Roman" w:hAnsi="Times New Roman"/>
          <w:sz w:val="17"/>
          <w:szCs w:val="17"/>
          <w:color w:val="auto"/>
        </w:rPr>
      </w:pPr>
    </w:p>
    <w:p>
      <w:pPr>
        <w:ind w:left="55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49</w:t>
      </w:r>
    </w:p>
    <w:p>
      <w:pPr>
        <w:sectPr>
          <w:pgSz w:w="11900" w:h="16838" w:orient="portrait"/>
          <w:cols w:equalWidth="0" w:num="1">
            <w:col w:w="11224"/>
          </w:cols>
          <w:pgMar w:left="336" w:top="906" w:right="339" w:bottom="144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44" w:lineRule="exact"/>
        <w:rPr>
          <w:sz w:val="20"/>
          <w:szCs w:val="20"/>
          <w:color w:val="auto"/>
        </w:rPr>
      </w:pPr>
    </w:p>
    <w:p>
      <w:pPr>
        <w:ind w:right="640" w:firstLine="298"/>
        <w:spacing w:after="0" w:line="26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Date: November 14, 2022</w:t>
      </w:r>
    </w:p>
    <w:p>
      <w:pPr>
        <w:spacing w:after="0" w:line="2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b w:val="1"/>
          <w:bCs w:val="1"/>
          <w:color w:val="auto"/>
        </w:rPr>
        <w:t>OPAL Fuels Inc.</w:t>
      </w:r>
    </w:p>
    <w:p>
      <w:pPr>
        <w:spacing w:after="0" w:line="144" w:lineRule="exact"/>
        <w:rPr>
          <w:sz w:val="20"/>
          <w:szCs w:val="20"/>
          <w:color w:val="auto"/>
        </w:rPr>
      </w:pPr>
    </w:p>
    <w:tbl>
      <w:tblPr>
        <w:tblLayout w:type="fixed"/>
        <w:tblInd w:w="5920" w:type="dxa"/>
        <w:tblCellMar>
          <w:top w:w="0" w:type="dxa"/>
          <w:left w:w="0" w:type="dxa"/>
          <w:bottom w:w="0" w:type="dxa"/>
          <w:right w:w="0" w:type="dxa"/>
        </w:tblCellMar>
      </w:tblPr>
      <w:tr>
        <w:trPr>
          <w:trHeight w:val="220"/>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Jonathan Maurer</w:t>
            </w:r>
          </w:p>
        </w:tc>
      </w:tr>
      <w:tr>
        <w:trPr>
          <w:trHeight w:val="224"/>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Jonathan Maurer</w:t>
            </w:r>
          </w:p>
        </w:tc>
      </w:tr>
      <w:tr>
        <w:trPr>
          <w:trHeight w:val="236"/>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 Chief Executive Officer</w:t>
            </w:r>
          </w:p>
        </w:tc>
      </w:tr>
    </w:tbl>
    <w:p>
      <w:pPr>
        <w:spacing w:after="0" w:line="315"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7"/>
          <w:szCs w:val="17"/>
          <w:b w:val="1"/>
          <w:bCs w:val="1"/>
          <w:color w:val="auto"/>
        </w:rPr>
        <w:t>OPAL Fuels Inc.</w:t>
      </w:r>
    </w:p>
    <w:p>
      <w:pPr>
        <w:spacing w:after="0" w:line="144" w:lineRule="exact"/>
        <w:rPr>
          <w:sz w:val="20"/>
          <w:szCs w:val="20"/>
          <w:color w:val="auto"/>
        </w:rPr>
      </w:pPr>
    </w:p>
    <w:p>
      <w:pPr>
        <w:ind w:left="9080"/>
        <w:spacing w:after="0"/>
        <w:tabs>
          <w:tab w:leader="none" w:pos="95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6069330</wp:posOffset>
            </wp:positionH>
            <wp:positionV relativeFrom="paragraph">
              <wp:posOffset>20320</wp:posOffset>
            </wp:positionV>
            <wp:extent cx="107315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0">
                      <a:extLst>
                        <a:ext uri="{28A0092B-C50C-407E-A947-70E740481C1C}"/>
                      </a:extLst>
                    </a:blip>
                    <a:srcRect/>
                    <a:stretch>
                      <a:fillRect/>
                    </a:stretch>
                  </pic:blipFill>
                  <pic:spPr bwMode="auto">
                    <a:xfrm>
                      <a:off x="0" y="0"/>
                      <a:ext cx="1073150" cy="7620"/>
                    </a:xfrm>
                    <a:prstGeom prst="rect">
                      <a:avLst/>
                    </a:prstGeom>
                    <a:noFill/>
                  </pic:spPr>
                </pic:pic>
              </a:graphicData>
            </a:graphic>
          </wp:anchor>
        </w:drawing>
      </w:r>
    </w:p>
    <w:p>
      <w:pPr>
        <w:spacing w:after="0" w:line="21"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7"/>
          <w:szCs w:val="17"/>
          <w:color w:val="auto"/>
        </w:rPr>
        <w:t>Name: Adam Comora</w:t>
      </w:r>
    </w:p>
    <w:p>
      <w:pPr>
        <w:spacing w:after="0" w:line="53" w:lineRule="exact"/>
        <w:rPr>
          <w:sz w:val="20"/>
          <w:szCs w:val="20"/>
          <w:color w:val="auto"/>
        </w:rPr>
      </w:pPr>
    </w:p>
    <w:p>
      <w:pPr>
        <w:jc w:val="right"/>
        <w:ind w:right="300"/>
        <w:spacing w:after="0"/>
        <w:tabs>
          <w:tab w:leader="none" w:pos="164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6"/>
          <w:szCs w:val="16"/>
          <w:color w:val="auto"/>
        </w:rPr>
        <w:t>Co- Chief Executive</w:t>
      </w:r>
    </w:p>
    <w:p>
      <w:pPr>
        <w:spacing w:after="0" w:line="9"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7"/>
          <w:szCs w:val="17"/>
          <w:color w:val="auto"/>
        </w:rPr>
        <w:t>Officer</w:t>
      </w:r>
    </w:p>
    <w:p>
      <w:pPr>
        <w:spacing w:after="0" w:line="32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7"/>
          <w:szCs w:val="17"/>
          <w:b w:val="1"/>
          <w:bCs w:val="1"/>
          <w:color w:val="auto"/>
        </w:rPr>
        <w:t>OPAL Fuels Inc.</w:t>
      </w:r>
    </w:p>
    <w:p>
      <w:pPr>
        <w:spacing w:after="0" w:line="144" w:lineRule="exact"/>
        <w:rPr>
          <w:sz w:val="20"/>
          <w:szCs w:val="20"/>
          <w:color w:val="auto"/>
        </w:rPr>
      </w:pPr>
    </w:p>
    <w:p>
      <w:pPr>
        <w:ind w:left="7940"/>
        <w:spacing w:after="0"/>
        <w:tabs>
          <w:tab w:leader="none" w:pos="8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5358765</wp:posOffset>
            </wp:positionH>
            <wp:positionV relativeFrom="paragraph">
              <wp:posOffset>20320</wp:posOffset>
            </wp:positionV>
            <wp:extent cx="178371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1">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2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7"/>
          <w:szCs w:val="17"/>
          <w:color w:val="auto"/>
        </w:rPr>
        <w:t>Name: Ann Anthony</w:t>
      </w:r>
    </w:p>
    <w:p>
      <w:pPr>
        <w:spacing w:after="0" w:line="53" w:lineRule="exact"/>
        <w:rPr>
          <w:sz w:val="20"/>
          <w:szCs w:val="20"/>
          <w:color w:val="auto"/>
        </w:rPr>
      </w:pPr>
    </w:p>
    <w:p>
      <w:pPr>
        <w:ind w:left="7940"/>
        <w:spacing w:after="0"/>
        <w:tabs>
          <w:tab w:leader="none" w:pos="844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6"/>
          <w:szCs w:val="16"/>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1240"/>
          </w:cols>
          <w:pgMar w:left="320" w:top="1064" w:right="339" w:bottom="1440" w:gutter="0" w:footer="0" w:header="0"/>
        </w:sectPr>
      </w:pPr>
    </w:p>
    <w:bookmarkStart w:id="105" w:name="page106"/>
    <w:bookmarkEnd w:id="10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2"/>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lvl w:ilvl="1">
      <w:lvlJc w:val="left"/>
      <w:lvlText w:val="◦"/>
      <w:numFmt w:val="bullet"/>
      <w:start w:val="1"/>
    </w:lvl>
  </w:abstractNum>
  <w:abstractNum w:abstractNumId="18">
    <w:nsid w:val="2463B9EA"/>
    <w:multiLevelType w:val="hybridMultilevel"/>
    <w:lvl w:ilvl="0">
      <w:lvlJc w:val="left"/>
      <w:lvlText w:val="•"/>
      <w:numFmt w:val="bullet"/>
      <w:start w:val="1"/>
    </w:lvl>
    <w:lvl w:ilvl="1">
      <w:lvlJc w:val="left"/>
      <w:lvlText w:val="◦"/>
      <w:numFmt w:val="bullet"/>
      <w:start w:val="1"/>
    </w:lvl>
  </w:abstractNum>
  <w:abstractNum w:abstractNumId="19">
    <w:nsid w:val="5E884ADC"/>
    <w:multiLevelType w:val="hybridMultilevel"/>
    <w:lvl w:ilvl="0">
      <w:lvlJc w:val="left"/>
      <w:lvlText w:val="•"/>
      <w:numFmt w:val="bullet"/>
      <w:start w:val="1"/>
    </w:lvl>
    <w:lvl w:ilvl="1">
      <w:lvlJc w:val="left"/>
      <w:lvlText w:val="◦"/>
      <w:numFmt w:val="bullet"/>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decimal"/>
      <w:start w:val="1"/>
    </w:lvl>
    <w:lvl w:ilvl="1">
      <w:lvlJc w:val="left"/>
      <w:lvlText w:val="(%2)"/>
      <w:numFmt w:val="decimal"/>
      <w:start w:val="1"/>
    </w:lvl>
  </w:abstractNum>
  <w:abstractNum w:abstractNumId="25">
    <w:nsid w:val="70A64E2A"/>
    <w:multiLevelType w:val="hybridMultilevel"/>
    <w:lvl w:ilvl="0">
      <w:lvlJc w:val="left"/>
      <w:lvlText w:val="%1."/>
      <w:numFmt w:val="decimal"/>
      <w:start w:val="14"/>
    </w:lvl>
    <w:lvl w:ilvl="1">
      <w:lvlJc w:val="left"/>
      <w:lvlText w:val="%2"/>
      <w:numFmt w:val="decimal"/>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7"/>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lvl w:ilvl="1">
      <w:lvlJc w:val="left"/>
      <w:lvlText w:val="◦"/>
      <w:numFmt w:val="bullet"/>
      <w:start w:val="1"/>
    </w:lvl>
  </w:abstractNum>
  <w:abstractNum w:abstractNumId="34">
    <w:nsid w:val="542289EC"/>
    <w:multiLevelType w:val="hybridMultilevel"/>
    <w:lvl w:ilvl="0">
      <w:lvlJc w:val="left"/>
      <w:lvlText w:val="•"/>
      <w:numFmt w:val="bullet"/>
      <w:start w:val="1"/>
    </w:lvl>
    <w:lvl w:ilvl="1">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upperLetter"/>
      <w:start w:val="35"/>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1)"/>
      <w:numFmt w:val="lowerRoman"/>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lowerRoman"/>
      <w:start w:val="3"/>
    </w:lvl>
  </w:abstractNum>
  <w:abstractNum w:abstractNumId="45">
    <w:nsid w:val="75C6C33A"/>
    <w:multiLevelType w:val="hybridMultilevel"/>
    <w:lvl w:ilvl="0">
      <w:lvlJc w:val="left"/>
      <w:lvlText w:val="(%1)"/>
      <w:numFmt w:val="lowerRoman"/>
      <w:start w:val="2"/>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1" Type="http://schemas.openxmlformats.org/officeDocument/2006/relationships/image" Target="media/image8.png"/><Relationship Id="rId24" Type="http://schemas.openxmlformats.org/officeDocument/2006/relationships/image" Target="media/image9.png"/><Relationship Id="rId27" Type="http://schemas.openxmlformats.org/officeDocument/2006/relationships/image" Target="media/image10.png"/><Relationship Id="rId30" Type="http://schemas.openxmlformats.org/officeDocument/2006/relationships/image" Target="media/image11.png"/><Relationship Id="rId33" Type="http://schemas.openxmlformats.org/officeDocument/2006/relationships/image" Target="media/image12.png"/><Relationship Id="rId36" Type="http://schemas.openxmlformats.org/officeDocument/2006/relationships/image" Target="media/image13.png"/><Relationship Id="rId39" Type="http://schemas.openxmlformats.org/officeDocument/2006/relationships/image" Target="media/image14.png"/><Relationship Id="rId42" Type="http://schemas.openxmlformats.org/officeDocument/2006/relationships/image" Target="media/image15.png"/><Relationship Id="rId45" Type="http://schemas.openxmlformats.org/officeDocument/2006/relationships/image" Target="media/image16.png"/><Relationship Id="rId47" Type="http://schemas.openxmlformats.org/officeDocument/2006/relationships/image" Target="media/image17.png"/><Relationship Id="rId51" Type="http://schemas.openxmlformats.org/officeDocument/2006/relationships/image" Target="media/image18.png"/><Relationship Id="rId54" Type="http://schemas.openxmlformats.org/officeDocument/2006/relationships/image" Target="media/image19.png"/><Relationship Id="rId57" Type="http://schemas.openxmlformats.org/officeDocument/2006/relationships/image" Target="media/image20.png"/><Relationship Id="rId59" Type="http://schemas.openxmlformats.org/officeDocument/2006/relationships/image" Target="media/image21.png"/><Relationship Id="rId60" Type="http://schemas.openxmlformats.org/officeDocument/2006/relationships/image" Target="media/image22.png"/><Relationship Id="rId61" Type="http://schemas.openxmlformats.org/officeDocument/2006/relationships/image" Target="media/image23.png"/><Relationship Id="rId13" Type="http://schemas.openxmlformats.org/officeDocument/2006/relationships/hyperlink" Target="https://www.sec.gov/Archives/edgar/data/1842279/000119312521347023/d270539dex21.htm" TargetMode="External"/><Relationship Id="rId14" Type="http://schemas.openxmlformats.org/officeDocument/2006/relationships/hyperlink" Target="https://www.sec.gov/Archives/edgar/data/1842279/000121390022046338/ea164030ex3-1_opal.htm" TargetMode="External"/><Relationship Id="rId16" Type="http://schemas.openxmlformats.org/officeDocument/2006/relationships/hyperlink" Target="https://www.sec.gov/Archives/edgar/data/1842279/000121390022042020/ea163248ex3-2_opal.htm" TargetMode="External"/><Relationship Id="rId18" Type="http://schemas.openxmlformats.org/officeDocument/2006/relationships/hyperlink" Target="https://www.sec.gov/Archives/edgar/data/1842279/000119312521073580/d118209dex43.htm" TargetMode="External"/><Relationship Id="rId19" Type="http://schemas.openxmlformats.org/officeDocument/2006/relationships/hyperlink" Target="https://www.sec.gov/Archives/edgar/data/1842279/000119312521096722/d167128dex41.htm" TargetMode="External"/><Relationship Id="rId20" Type="http://schemas.openxmlformats.org/officeDocument/2006/relationships/hyperlink" Target="https://www.sec.gov/Archives/edgar/data/1842279/000121390022024612/fs42022a3ex10-1_arclight2.htm" TargetMode="External"/><Relationship Id="rId22" Type="http://schemas.openxmlformats.org/officeDocument/2006/relationships/hyperlink" Target="https://www.sec.gov/Archives/edgar/data/1842279/000121390022042020/ea163248ex10-2_opal.htm" TargetMode="External"/><Relationship Id="rId23" Type="http://schemas.openxmlformats.org/officeDocument/2006/relationships/hyperlink" Target="https://www.sec.gov/Archives/edgar/data/1842279/000119312521096722/d167128dex104.htm" TargetMode="External"/><Relationship Id="rId25" Type="http://schemas.openxmlformats.org/officeDocument/2006/relationships/hyperlink" Target="https://www.sec.gov/Archives/edgar/data/1842279/000119312521347023/d270539dex102.htm" TargetMode="External"/><Relationship Id="rId26" Type="http://schemas.openxmlformats.org/officeDocument/2006/relationships/hyperlink" Target="https://www.sec.gov/Archives/edgar/data/1842279/000119312521347023/d270539dex101.htm" TargetMode="External"/><Relationship Id="rId28" Type="http://schemas.openxmlformats.org/officeDocument/2006/relationships/hyperlink" Target="https://www.sec.gov/Archives/edgar/data/1842279/000121390022025716/ea159809ex10-1_arclight2.htm" TargetMode="External"/><Relationship Id="rId29" Type="http://schemas.openxmlformats.org/officeDocument/2006/relationships/hyperlink" Target="https://www.sec.gov/Archives/edgar/data/1842279/000121390022042020/ea163248ex10-6_opal.htm" TargetMode="External"/><Relationship Id="rId31" Type="http://schemas.openxmlformats.org/officeDocument/2006/relationships/hyperlink" Target="https://www.sec.gov/Archives/edgar/data/1842279/000121390022042020/ea163248ex10-7_opal.htm" TargetMode="External"/><Relationship Id="rId32" Type="http://schemas.openxmlformats.org/officeDocument/2006/relationships/hyperlink" Target="https://www.sec.gov/Archives/edgar/data/1842279/000121390022042020/ea163248ex10-8_opal.htm" TargetMode="External"/><Relationship Id="rId34" Type="http://schemas.openxmlformats.org/officeDocument/2006/relationships/hyperlink" Target="https://www.sec.gov/Archives/edgar/data/1842279/000121390022015221/ea157420ex10-8_arclight2.htm" TargetMode="External"/><Relationship Id="rId35" Type="http://schemas.openxmlformats.org/officeDocument/2006/relationships/hyperlink" Target="https://www.sec.gov/Archives/edgar/data/1842279/000121390022015221/ea157420ex10-9_arclight2.htm" TargetMode="External"/><Relationship Id="rId37" Type="http://schemas.openxmlformats.org/officeDocument/2006/relationships/hyperlink" Target="https://www.sec.gov/Archives/edgar/data/1842279/000121390022015221/ea157420ex10-10_arclight2.htm" TargetMode="External"/><Relationship Id="rId38" Type="http://schemas.openxmlformats.org/officeDocument/2006/relationships/hyperlink" Target="https://www.sec.gov/Archives/edgar/data/1842279/000121390022015221/ea157420ex10-11_arclight2.htm" TargetMode="External"/><Relationship Id="rId40" Type="http://schemas.openxmlformats.org/officeDocument/2006/relationships/hyperlink" Target="https://www.sec.gov/Archives/edgar/data/1842279/000121390022015221/ea157420ex10-12_arclight2.htm" TargetMode="External"/><Relationship Id="rId41" Type="http://schemas.openxmlformats.org/officeDocument/2006/relationships/hyperlink" Target="https://www.sec.gov/Archives/edgar/data/1842279/000121390022015221/ea157420ex10-13_arclight2.htm" TargetMode="External"/><Relationship Id="rId43" Type="http://schemas.openxmlformats.org/officeDocument/2006/relationships/hyperlink" Target="https://www.sec.gov/Archives/edgar/data/1842279/000184227922000027/executedamendmentno3todd.htm" TargetMode="External"/><Relationship Id="rId44" Type="http://schemas.openxmlformats.org/officeDocument/2006/relationships/hyperlink" Target="https://www.sec.gov/Archives/edgar/data/1842279/000184227922000016/opalfuelsinc-formrestricte.htm" TargetMode="External"/><Relationship Id="rId46" Type="http://schemas.openxmlformats.org/officeDocument/2006/relationships/hyperlink" Target="https://www.sec.gov/Archives/edgar/data/1842279/000121390022039824/ea162977ex10-1_arclight2.htm" TargetMode="External"/><Relationship Id="rId48" Type="http://schemas.openxmlformats.org/officeDocument/2006/relationships/hyperlink" Target="https://www.sec.gov/Archives/edgar/data/1842279/000184227922000009/projectopal-creditagreemen.htm" TargetMode="External"/><Relationship Id="rId49" Type="http://schemas.openxmlformats.org/officeDocument/2006/relationships/hyperlink" Target="https://www.sec.gov/Archives/edgar/data/1842279/000119312522216411/d251514dex106.htm" TargetMode="External"/><Relationship Id="rId50" Type="http://schemas.openxmlformats.org/officeDocument/2006/relationships/hyperlink" Target="https://www.sec.gov/Archives/edgar/data/1842279/000184227922000035/opal-10xqcertifications311.htm" TargetMode="External"/><Relationship Id="rId52" Type="http://schemas.openxmlformats.org/officeDocument/2006/relationships/hyperlink" Target="https://www.sec.gov/Archives/edgar/data/1842279/000184227922000035/opal-10xqcertifications312.htm" TargetMode="External"/><Relationship Id="rId53" Type="http://schemas.openxmlformats.org/officeDocument/2006/relationships/hyperlink" Target="https://www.sec.gov/Archives/edgar/data/1842279/000184227922000035/opal-10xqcertifications313.htm" TargetMode="External"/><Relationship Id="rId55" Type="http://schemas.openxmlformats.org/officeDocument/2006/relationships/hyperlink" Target="https://www.sec.gov/Archives/edgar/data/1842279/000184227922000035/opal-10xqcertifications321.htm" TargetMode="External"/><Relationship Id="rId56" Type="http://schemas.openxmlformats.org/officeDocument/2006/relationships/hyperlink" Target="https://www.sec.gov/Archives/edgar/data/1842279/000184227922000035/opal-10xqcertifications322.htm" TargetMode="External"/><Relationship Id="rId58" Type="http://schemas.openxmlformats.org/officeDocument/2006/relationships/hyperlink" Target="https://www.sec.gov/Archives/edgar/data/1842279/000184227922000035/opal-10xqcertifications3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2022-11-15T15:14:26Z</dcterms:created>
  <dcterms:modified xsi:type="dcterms:W3CDTF">2022-11-15T15:14:26Z</dcterms:modified>
</cp:coreProperties>
</file>