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jc w:val="center"/>
        <w:ind w:left="340"/>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20955</wp:posOffset>
            </wp:positionH>
            <wp:positionV relativeFrom="paragraph">
              <wp:posOffset>-3810</wp:posOffset>
            </wp:positionV>
            <wp:extent cx="139065" cy="1873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065" cy="187325"/>
                    </a:xfrm>
                    <a:prstGeom prst="rect">
                      <a:avLst/>
                    </a:prstGeom>
                    <a:noFill/>
                  </pic:spPr>
                </pic:pic>
              </a:graphicData>
            </a:graphic>
          </wp:anchor>
        </w:drawing>
      </w:r>
    </w:p>
    <w:p>
      <w:pPr>
        <w:jc w:val="both"/>
        <w:ind w:left="340" w:right="360" w:hanging="261"/>
        <w:spacing w:after="0" w:line="183" w:lineRule="auto"/>
        <w:tabs>
          <w:tab w:leader="none" w:pos="34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4652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65264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20" w:space="36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Goncher Brian</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ARCLIGHT CTC HOLDINGS II, L.P.</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CLARENDON ST, 55TH FLOOR</w:t>
      </w:r>
    </w:p>
    <w:p>
      <w:pPr>
        <w:spacing w:after="0" w:line="27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02116</w:t>
            </w:r>
          </w:p>
        </w:tc>
      </w:tr>
      <w:tr>
        <w:trPr>
          <w:trHeight w:val="147"/>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OPAL Fuels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66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6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240" w:type="dxa"/>
            <w:vAlign w:val="bottom"/>
            <w:tcBorders>
              <w:bottom w:val="single" w:sz="8" w:color="0000EE"/>
            </w:tcBorders>
          </w:tcPr>
          <w:p>
            <w:pPr>
              <w:spacing w:after="0"/>
              <w:rPr>
                <w:sz w:val="3"/>
                <w:szCs w:val="3"/>
                <w:color w:val="auto"/>
              </w:rPr>
            </w:pPr>
          </w:p>
        </w:tc>
        <w:tc>
          <w:tcPr>
            <w:tcW w:w="2400" w:type="dxa"/>
            <w:vAlign w:val="bottom"/>
          </w:tcPr>
          <w:p>
            <w:pPr>
              <w:spacing w:after="0"/>
              <w:rPr>
                <w:sz w:val="3"/>
                <w:szCs w:val="3"/>
                <w:color w:val="auto"/>
              </w:rPr>
            </w:pPr>
          </w:p>
        </w:tc>
        <w:tc>
          <w:tcPr>
            <w:tcW w:w="166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380" w:type="dxa"/>
            <w:vAlign w:val="bottom"/>
          </w:tcPr>
          <w:p>
            <w:pPr>
              <w:spacing w:after="0"/>
              <w:rPr>
                <w:sz w:val="3"/>
                <w:szCs w:val="3"/>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240" w:type="dxa"/>
            <w:vAlign w:val="bottom"/>
            <w:tcBorders>
              <w:bottom w:val="single" w:sz="8" w:color="808080"/>
            </w:tcBorders>
          </w:tcPr>
          <w:p>
            <w:pPr>
              <w:spacing w:after="0"/>
              <w:rPr>
                <w:sz w:val="16"/>
                <w:szCs w:val="16"/>
                <w:color w:val="auto"/>
              </w:rPr>
            </w:pPr>
          </w:p>
        </w:tc>
        <w:tc>
          <w:tcPr>
            <w:tcW w:w="2400" w:type="dxa"/>
            <w:vAlign w:val="bottom"/>
            <w:tcBorders>
              <w:bottom w:val="single" w:sz="8" w:color="808080"/>
            </w:tcBorders>
          </w:tcPr>
          <w:p>
            <w:pPr>
              <w:spacing w:after="0"/>
              <w:rPr>
                <w:sz w:val="16"/>
                <w:szCs w:val="16"/>
                <w:color w:val="auto"/>
              </w:rPr>
            </w:pPr>
          </w:p>
        </w:tc>
        <w:tc>
          <w:tcPr>
            <w:tcW w:w="1660" w:type="dxa"/>
            <w:vAlign w:val="bottom"/>
          </w:tcPr>
          <w:p>
            <w:pPr>
              <w:ind w:left="580"/>
              <w:spacing w:after="0"/>
              <w:rPr>
                <w:sz w:val="20"/>
                <w:szCs w:val="20"/>
                <w:color w:val="auto"/>
              </w:rPr>
            </w:pPr>
            <w:r>
              <w:rPr>
                <w:rFonts w:ascii="Arial" w:cs="Arial" w:eastAsia="Arial" w:hAnsi="Arial"/>
                <w:sz w:val="13"/>
                <w:szCs w:val="13"/>
                <w:color w:val="auto"/>
              </w:rPr>
              <w:t>Officer (give title</w:t>
            </w: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X</w:t>
            </w: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660" w:type="dxa"/>
            <w:vAlign w:val="bottom"/>
            <w:vMerge w:val="restart"/>
          </w:tcPr>
          <w:p>
            <w:pPr>
              <w:ind w:left="580"/>
              <w:spacing w:after="0" w:line="123" w:lineRule="exact"/>
              <w:rPr>
                <w:sz w:val="20"/>
                <w:szCs w:val="20"/>
                <w:color w:val="auto"/>
              </w:rPr>
            </w:pPr>
            <w:r>
              <w:rPr>
                <w:rFonts w:ascii="Arial" w:cs="Arial" w:eastAsia="Arial" w:hAnsi="Arial"/>
                <w:sz w:val="13"/>
                <w:szCs w:val="13"/>
                <w:color w:val="auto"/>
              </w:rPr>
              <w:t>below)</w:t>
            </w:r>
          </w:p>
        </w:tc>
        <w:tc>
          <w:tcPr>
            <w:tcW w:w="380" w:type="dxa"/>
            <w:vAlign w:val="bottom"/>
            <w:vMerge w:val="continue"/>
          </w:tcPr>
          <w:p>
            <w:pPr>
              <w:spacing w:after="0"/>
              <w:rPr>
                <w:sz w:val="5"/>
                <w:szCs w:val="5"/>
                <w:color w:val="auto"/>
              </w:rPr>
            </w:pPr>
          </w:p>
        </w:tc>
        <w:tc>
          <w:tcPr>
            <w:tcW w:w="124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3280" w:type="dxa"/>
            <w:vAlign w:val="bottom"/>
            <w:gridSpan w:val="3"/>
            <w:vMerge w:val="restart"/>
          </w:tcPr>
          <w:p>
            <w:pPr>
              <w:ind w:left="1100"/>
              <w:spacing w:after="0"/>
              <w:rPr>
                <w:sz w:val="20"/>
                <w:szCs w:val="20"/>
                <w:color w:val="auto"/>
              </w:rPr>
            </w:pPr>
            <w:r>
              <w:rPr>
                <w:rFonts w:ascii="Times New Roman" w:cs="Times New Roman" w:eastAsia="Times New Roman" w:hAnsi="Times New Roman"/>
                <w:sz w:val="17"/>
                <w:szCs w:val="17"/>
                <w:color w:val="0000FF"/>
              </w:rPr>
              <w:t>Former Director</w:t>
            </w:r>
          </w:p>
        </w:tc>
        <w:tc>
          <w:tcPr>
            <w:tcW w:w="0" w:type="dxa"/>
            <w:vAlign w:val="bottom"/>
          </w:tcPr>
          <w:p>
            <w:pPr>
              <w:spacing w:after="0"/>
              <w:rPr>
                <w:sz w:val="1"/>
                <w:szCs w:val="1"/>
                <w:color w:val="auto"/>
              </w:rPr>
            </w:pPr>
          </w:p>
        </w:tc>
      </w:tr>
      <w:tr>
        <w:trPr>
          <w:trHeight w:val="216"/>
        </w:trPr>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07/21/2022</w:t>
            </w:r>
          </w:p>
        </w:tc>
        <w:tc>
          <w:tcPr>
            <w:tcW w:w="2400" w:type="dxa"/>
            <w:vAlign w:val="bottom"/>
          </w:tcPr>
          <w:p>
            <w:pPr>
              <w:spacing w:after="0"/>
              <w:rPr>
                <w:sz w:val="18"/>
                <w:szCs w:val="18"/>
                <w:color w:val="auto"/>
              </w:rPr>
            </w:pPr>
          </w:p>
        </w:tc>
        <w:tc>
          <w:tcPr>
            <w:tcW w:w="32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6"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3"/>
                <w:szCs w:val="13"/>
                <w:color w:val="auto"/>
              </w:rPr>
            </w:pPr>
          </w:p>
        </w:tc>
        <w:tc>
          <w:tcPr>
            <w:tcW w:w="178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780" w:type="dxa"/>
            <w:vAlign w:val="bottom"/>
            <w:gridSpan w:val="5"/>
          </w:tcPr>
          <w:p>
            <w:pPr>
              <w:ind w:left="40"/>
              <w:spacing w:after="0"/>
              <w:rPr>
                <w:sz w:val="20"/>
                <w:szCs w:val="20"/>
                <w:color w:val="auto"/>
              </w:rPr>
            </w:pPr>
            <w:r>
              <w:rPr>
                <w:rFonts w:ascii="Arial" w:cs="Arial" w:eastAsia="Arial" w:hAnsi="Arial"/>
                <w:sz w:val="11"/>
                <w:szCs w:val="11"/>
                <w:b w:val="1"/>
                <w:bCs w:val="1"/>
                <w:color w:val="auto"/>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8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ind w:left="40"/>
              <w:spacing w:after="0"/>
              <w:rPr>
                <w:sz w:val="20"/>
                <w:szCs w:val="20"/>
                <w:color w:val="auto"/>
              </w:rPr>
            </w:pPr>
            <w:r>
              <w:rPr>
                <w:rFonts w:ascii="Arial" w:cs="Arial" w:eastAsia="Arial" w:hAnsi="Arial"/>
                <w:sz w:val="11"/>
                <w:szCs w:val="11"/>
                <w:b w:val="1"/>
                <w:bCs w:val="1"/>
                <w:color w:val="auto"/>
              </w:rPr>
              <w:t>5)</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11"/>
                <w:szCs w:val="11"/>
                <w:color w:val="auto"/>
              </w:rPr>
            </w:pPr>
          </w:p>
        </w:tc>
        <w:tc>
          <w:tcPr>
            <w:tcW w:w="480" w:type="dxa"/>
            <w:vAlign w:val="bottom"/>
            <w:gridSpan w:val="2"/>
          </w:tcPr>
          <w:p>
            <w:pPr>
              <w:ind w:left="60"/>
              <w:spacing w:after="0"/>
              <w:rPr>
                <w:sz w:val="20"/>
                <w:szCs w:val="20"/>
                <w:color w:val="auto"/>
              </w:rPr>
            </w:pPr>
            <w:r>
              <w:rPr>
                <w:rFonts w:ascii="Arial" w:cs="Arial" w:eastAsia="Arial" w:hAnsi="Arial"/>
                <w:sz w:val="11"/>
                <w:szCs w:val="11"/>
                <w:b w:val="1"/>
                <w:bCs w:val="1"/>
                <w:color w:val="auto"/>
              </w:rPr>
              <w:t>(A) or</w:t>
            </w:r>
          </w:p>
        </w:tc>
        <w:tc>
          <w:tcPr>
            <w:tcW w:w="500" w:type="dxa"/>
            <w:vAlign w:val="bottom"/>
            <w:vMerge w:val="restart"/>
          </w:tcPr>
          <w:p>
            <w:pPr>
              <w:jc w:val="right"/>
              <w:ind w:right="85"/>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07/21/2022</w:t>
            </w:r>
          </w:p>
        </w:tc>
        <w:tc>
          <w:tcPr>
            <w:tcW w:w="8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35,000</w:t>
            </w:r>
          </w:p>
        </w:tc>
        <w:tc>
          <w:tcPr>
            <w:tcW w:w="3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7"/>
              </w:rPr>
              <w:t>A</w:t>
            </w: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right"/>
              <w:ind w:right="65"/>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35,000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40"/>
              <w:spacing w:after="0" w:line="306"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50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00" w:type="dxa"/>
            <w:vAlign w:val="bottom"/>
            <w:tcBorders>
              <w:right w:val="single" w:sz="8" w:color="2C2C2C"/>
            </w:tcBorders>
            <w:gridSpan w:val="4"/>
          </w:tcPr>
          <w:p>
            <w:pPr>
              <w:ind w:left="10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Underlying Derivative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Security (Instr. 3 and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 or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32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(1)</w:t>
            </w:r>
          </w:p>
        </w:tc>
        <w:tc>
          <w:tcPr>
            <w:tcW w:w="300" w:type="dxa"/>
            <w:vAlign w:val="bottom"/>
          </w:tcPr>
          <w:p>
            <w:pPr>
              <w:spacing w:after="0"/>
              <w:rPr>
                <w:sz w:val="15"/>
                <w:szCs w:val="15"/>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35,000</w:t>
            </w:r>
            <w:r>
              <w:rPr>
                <w:rFonts w:ascii="Times New Roman" w:cs="Times New Roman" w:eastAsia="Times New Roman" w:hAnsi="Times New Roman"/>
                <w:sz w:val="21"/>
                <w:szCs w:val="21"/>
                <w:color w:val="008000"/>
                <w:w w:val="98"/>
                <w:vertAlign w:val="superscript"/>
              </w:rPr>
              <w:t>(1)</w:t>
            </w: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260" w:type="dxa"/>
            <w:vAlign w:val="bottom"/>
          </w:tcPr>
          <w:p>
            <w:pPr>
              <w:spacing w:after="0"/>
              <w:rPr>
                <w:sz w:val="15"/>
                <w:szCs w:val="15"/>
                <w:color w:val="auto"/>
              </w:rPr>
            </w:pP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760" w:type="dxa"/>
            <w:vAlign w:val="bottom"/>
            <w:vMerge w:val="continue"/>
          </w:tcPr>
          <w:p>
            <w:pPr>
              <w:spacing w:after="0"/>
              <w:rPr>
                <w:sz w:val="12"/>
                <w:szCs w:val="12"/>
                <w:color w:val="auto"/>
              </w:rPr>
            </w:pPr>
          </w:p>
        </w:tc>
        <w:tc>
          <w:tcPr>
            <w:tcW w:w="106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07/21/2022</w:t>
            </w:r>
          </w:p>
        </w:tc>
        <w:tc>
          <w:tcPr>
            <w:tcW w:w="1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20" w:type="dxa"/>
            <w:vAlign w:val="bottom"/>
          </w:tcPr>
          <w:p>
            <w:pPr>
              <w:ind w:left="400"/>
              <w:spacing w:after="0" w:line="141" w:lineRule="exact"/>
              <w:rPr>
                <w:sz w:val="20"/>
                <w:szCs w:val="20"/>
                <w:color w:val="auto"/>
              </w:rPr>
            </w:pPr>
            <w:r>
              <w:rPr>
                <w:rFonts w:ascii="Times New Roman" w:cs="Times New Roman" w:eastAsia="Times New Roman" w:hAnsi="Times New Roman"/>
                <w:sz w:val="13"/>
                <w:szCs w:val="13"/>
                <w:color w:val="0000FF"/>
              </w:rPr>
              <w:t>35,000</w:t>
            </w:r>
          </w:p>
        </w:tc>
        <w:tc>
          <w:tcPr>
            <w:tcW w:w="2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2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-1827530</wp:posOffset>
            </wp:positionV>
            <wp:extent cx="29210" cy="1832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8326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160"/>
        <w:spacing w:after="0" w:line="23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Business Combination Agreement (as amended), dated December 2, 2021, by and among ArcLight Clean Transition Corp. II, a Cayman Islands exempted company (the "Company"), OPAL Fuels LLC, a Delaware limited liability company ("OPAL Fuels"), and OPAL HoldCo LLC, a Delaware limited liability company ("OPAL HoldCo"), the parties effected a business combination transaction ("Business Combination"), on July 21, 2022. In connection with the Business Combination, the Company domesticated as a Delaware corporation (the "Domestication") and changed its name to "OPAL Fuels Inc." ("New OPAL"). In connection with the consummation of the Business Combination and the Domestication, 35,000 of Brian Goncher's Class B ordinary shares, par value $0.0001, of the Company, which were previously convertible into Class A ordinary shares, par value $0.0001, of the Company converted into shares of Class A common stock, par value $0.0001, of New OPAL in connection with the closing of the Business Combination.</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Brian Goncher</w:t>
            </w:r>
          </w:p>
        </w:tc>
        <w:tc>
          <w:tcPr>
            <w:tcW w:w="10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07/25/2022</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5857"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2022-07-25T18:20:40Z</dcterms:created>
  <dcterms:modified xsi:type="dcterms:W3CDTF">2022-07-25T18:20:40Z</dcterms:modified>
</cp:coreProperties>
</file>