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March 27, 2024 </w:t>
      </w:r>
    </w:p>
    <w:p>
      <w:pPr>
        <w:pStyle w:val="TextBody"/>
        <w:bidi w:val="0"/>
        <w:spacing w:before="0" w:after="0"/>
        <w:jc w:val="center"/>
        <w:rPr/>
      </w:pPr>
      <w:r>
        <w:rPr/>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bidi w:val="0"/>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3051F2"/>
                <w:sz w:val="20"/>
              </w:rPr>
              <w:t xml:space="preserve">, </w:t>
            </w:r>
            <w:r>
              <w:rPr>
                <w:rFonts w:ascii="Times New Roman;sans-serif" w:hAnsi="Times New Roman;sans-serif"/>
                <w:b/>
                <w:color w:val="000000"/>
                <w:sz w:val="20"/>
              </w:rPr>
              <w:t>Suite 1450</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658" w:type="dxa"/>
        <w:jc w:val="left"/>
        <w:tblInd w:w="0" w:type="dxa"/>
        <w:tblLayout w:type="fixed"/>
        <w:tblCellMar>
          <w:top w:w="28" w:type="dxa"/>
          <w:left w:w="28" w:type="dxa"/>
          <w:bottom w:w="28" w:type="dxa"/>
          <w:right w:w="28" w:type="dxa"/>
        </w:tblCellMar>
      </w:tblPr>
      <w:tblGrid>
        <w:gridCol w:w="1555"/>
        <w:gridCol w:w="1367"/>
        <w:gridCol w:w="1367"/>
        <w:gridCol w:w="515"/>
        <w:gridCol w:w="515"/>
        <w:gridCol w:w="51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65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libri;sans-serif" w:hAnsi="Calibri;sans-serif"/>
                <w:b/>
                <w:color w:val="000000"/>
                <w:sz w:val="20"/>
                <w:u w:val="single"/>
              </w:rPr>
            </w:pPr>
            <w:r>
              <w:rPr>
                <w:rFonts w:ascii="Calibri;sans-serif" w:hAnsi="Calibri;sans-serif"/>
                <w:b/>
                <w:color w:val="000000"/>
                <w:sz w:val="20"/>
                <w:u w:val="single"/>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Amendment to Landfill Gas Purchase and Sale Agreement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On March 27, 2024, a wholly-owned subsidiary of OPAL Fuels Inc. (referred to herein as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entered into a First Amendment (the “</w:t>
      </w:r>
      <w:r>
        <w:rPr>
          <w:rFonts w:ascii="Times New Roman;sans-serif" w:hAnsi="Times New Roman;sans-serif"/>
          <w:b/>
          <w:color w:val="000000"/>
          <w:sz w:val="20"/>
        </w:rPr>
        <w:t>Amendment</w:t>
      </w:r>
      <w:r>
        <w:rPr>
          <w:color w:val="000000"/>
        </w:rPr>
        <w:t>”</w:t>
      </w:r>
      <w:r>
        <w:rPr>
          <w:rFonts w:ascii="Times New Roman;sans-serif" w:hAnsi="Times New Roman;sans-serif"/>
          <w:b w:val="false"/>
          <w:color w:val="000000"/>
          <w:sz w:val="20"/>
        </w:rPr>
        <w:t>) to the Landfill Gas Purchase Agreement dated May 2, 2023 between the Company and Polk County, a political subdivision of the State of Florida (“</w:t>
      </w:r>
      <w:r>
        <w:rPr>
          <w:rFonts w:ascii="Times New Roman;sans-serif" w:hAnsi="Times New Roman;sans-serif"/>
          <w:b/>
          <w:color w:val="000000"/>
          <w:sz w:val="20"/>
        </w:rPr>
        <w:t>Polk</w:t>
      </w:r>
      <w:r>
        <w:rPr>
          <w:color w:val="000000"/>
        </w:rPr>
        <w:t>”</w:t>
      </w:r>
      <w:r>
        <w:rPr>
          <w:rFonts w:ascii="Times New Roman;sans-serif" w:hAnsi="Times New Roman;sans-serif"/>
          <w:b w:val="false"/>
          <w:color w:val="000000"/>
          <w:sz w:val="20"/>
        </w:rPr>
        <w:t>). The Amendment is effective as of March 6, 2024. In critical part, the Amendment provides for the Company to construct, at its sole expense, an additional flare for the renewable natural gas facility contemplated by the Agreement (the “</w:t>
      </w:r>
      <w:r>
        <w:rPr>
          <w:rFonts w:ascii="Times New Roman;sans-serif" w:hAnsi="Times New Roman;sans-serif"/>
          <w:b/>
          <w:color w:val="000000"/>
          <w:sz w:val="20"/>
        </w:rPr>
        <w:t>Facility</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Site Lease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On March 27, 2024, the Company entered into a lease and access agreement (the “</w:t>
      </w:r>
      <w:r>
        <w:rPr>
          <w:rFonts w:ascii="Times New Roman;sans-serif" w:hAnsi="Times New Roman;sans-serif"/>
          <w:b/>
          <w:color w:val="000000"/>
          <w:sz w:val="20"/>
        </w:rPr>
        <w:t>Site Lease</w:t>
      </w:r>
      <w:r>
        <w:rPr>
          <w:color w:val="000000"/>
        </w:rPr>
        <w:t>”</w:t>
      </w:r>
      <w:r>
        <w:rPr>
          <w:rFonts w:ascii="Times New Roman;sans-serif" w:hAnsi="Times New Roman;sans-serif"/>
          <w:b w:val="false"/>
          <w:color w:val="000000"/>
          <w:sz w:val="20"/>
        </w:rPr>
        <w:t>), which is effective as of March 20, 2024, with Polk that provides the Company with the right to build and operate the Facility on a parcel of real property located at or near the landfill. The Site Lease and the Agreement, as amended, will terminate on April 26, 2042 unless earlier terminated or extended pursuant to the terms and conditions of the Agreement. Along with usual and customary lease terms, the Site Lease also provides for easements to the Company over Polk-owned property for construction of a pipeline to transport gas to an interstate pipeline offsite. Payments by the Company to Polk in consideration for the Site Lease are de minimis.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representations, warranties, and covenants contained in the Agreement were made solely for the benefit of the Company and Polk and are subject to limitations agreed upon by the parties therein.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foregoing descriptions of the terms of the Amendment and Site Lease do not purport to be complete and are subject to, and qualified in their entirety by, the full text of the Amendment and Site Lease, copies of which are filed as Exhibits 10.1 and 10.2, respectively, and are incorporated herein by reference.</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Annual Report on Form 10-K for the year ended December 31, 2022, filed on March 29, 2023, as such factors may be updated from time to time in the Company’s periodic filings with the SEC, which are accessible on the SEC’s website at www.sec.gov.</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pStyle w:val="TextBody"/>
        <w:bidi w:val="0"/>
        <w:spacing w:before="0" w:after="2"/>
        <w:jc w:val="left"/>
        <w:rPr/>
      </w:pPr>
      <w:r>
        <w:rPr/>
      </w:r>
    </w:p>
    <w:p>
      <w:pPr>
        <w:pStyle w:val="TextBody"/>
        <w:bidi w:val="0"/>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515"/>
        <w:gridCol w:w="454"/>
        <w:gridCol w:w="455"/>
        <w:gridCol w:w="109"/>
        <w:gridCol w:w="109"/>
        <w:gridCol w:w="109"/>
        <w:gridCol w:w="2474"/>
        <w:gridCol w:w="2474"/>
        <w:gridCol w:w="3506"/>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Number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w:anchor="a1stamdtopiggybackagmtfo.htm">
              <w:r>
                <w:rPr>
                  <w:rStyle w:val="InternetLink"/>
                  <w:rFonts w:ascii="Times New Roman;sans-serif" w:hAnsi="Times New Roman;sans-serif"/>
                  <w:b w:val="false"/>
                  <w:color w:val="0000FF"/>
                  <w:sz w:val="20"/>
                  <w:u w:val="single"/>
                </w:rPr>
                <w:t>First Amendment to Landfill Gas Purchase Agreement, dated March 27, 2024 (effective as of March 6 , 2024)</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4"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leaseandaccessagmt_xnclf.htm">
              <w:r>
                <w:rPr>
                  <w:rStyle w:val="InternetLink"/>
                  <w:rFonts w:ascii="Times New Roman;sans-serif" w:hAnsi="Times New Roman;sans-serif"/>
                  <w:b w:val="false"/>
                  <w:color w:val="0000FF"/>
                  <w:sz w:val="20"/>
                  <w:u w:val="single"/>
                </w:rPr>
                <w:t>Lease and Access Agreement, dated March 27, 2024 (effective as of March 20, 2024)</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shd w:fill="FFFFFF" w:val="clear"/>
              </w:rPr>
            </w:pPr>
            <w:r>
              <w:rPr>
                <w:color w:val="000000"/>
                <w:shd w:fill="FFFFFF" w:val="clear"/>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schedules and exhibits to this exhibit have been omitted pursuant to Regulation S-K Item 601(a)(5). The Company agrees to furnish supplementally a copy of any omitted schedule or exhibit to the SEC upon its request.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March 28, 2024</w:t>
      </w:r>
    </w:p>
    <w:tbl>
      <w:tblPr>
        <w:tblW w:w="3498" w:type="dxa"/>
        <w:jc w:val="right"/>
        <w:tblInd w:w="0" w:type="dxa"/>
        <w:tblLayout w:type="fixed"/>
        <w:tblCellMar>
          <w:top w:w="28" w:type="dxa"/>
          <w:left w:w="28" w:type="dxa"/>
          <w:bottom w:w="28" w:type="dxa"/>
          <w:right w:w="28" w:type="dxa"/>
        </w:tblCellMar>
      </w:tblPr>
      <w:tblGrid>
        <w:gridCol w:w="312"/>
        <w:gridCol w:w="273"/>
        <w:gridCol w:w="273"/>
        <w:gridCol w:w="768"/>
        <w:gridCol w:w="768"/>
        <w:gridCol w:w="1104"/>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49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Contino</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Contino</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center"/>
        <w:rPr/>
      </w:pPr>
      <w:bookmarkStart w:id="0" w:name="a1stamdtopiggybackagmtfo.htm"/>
      <w:bookmarkStart w:id="1" w:name="ksa1stamdtopiggybackagmtfo"/>
      <w:bookmarkEnd w:id="0"/>
      <w:bookmarkEnd w:id="1"/>
      <w:r>
        <w:rPr/>
        <w:drawing>
          <wp:inline distT="0" distB="0" distL="0" distR="0">
            <wp:extent cx="1004887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2" w:name="leaseandaccessagmt_xnclf.htm"/>
      <w:bookmarkStart w:id="3" w:name="ksleaseandaccessagmt_xnclf"/>
      <w:bookmarkEnd w:id="2"/>
      <w:bookmarkEnd w:id="3"/>
      <w:r>
        <w:rPr/>
        <w:drawing>
          <wp:inline distT="0" distB="0" distL="0" distR="0">
            <wp:extent cx="10048875" cy="13001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1104</Words>
  <Characters>6075</Characters>
  <CharactersWithSpaces>7141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leaseandaccessagmt_xnclf</dc:title>
</cp:coreProperties>
</file>