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8, 2022 (August 4,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001-40272</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98-1578357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North Lexington Avenue</w:t>
      </w:r>
      <w:r>
        <w:rPr>
          <w:rFonts w:ascii="Arial" w:cs="Arial" w:eastAsia="Arial" w:hAnsi="Arial"/>
          <w:sz w:val="18"/>
          <w:szCs w:val="18"/>
          <w:b w:val="1"/>
          <w:bCs w:val="1"/>
          <w:color w:val="3051F2"/>
        </w:rPr>
        <w:t>,</w:t>
      </w:r>
      <w:r>
        <w:rPr>
          <w:rFonts w:ascii="Times New Roman" w:cs="Times New Roman" w:eastAsia="Times New Roman" w:hAnsi="Times New Roman"/>
          <w:sz w:val="18"/>
          <w:szCs w:val="18"/>
          <w:b w:val="1"/>
          <w:bCs w:val="1"/>
          <w:color w:val="auto"/>
        </w:rPr>
        <w:t xml:space="preserve"> Suite 1450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1245" w:right="33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9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42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OPAL</w:t>
            </w:r>
          </w:p>
        </w:tc>
        <w:tc>
          <w:tcPr>
            <w:tcW w:w="720" w:type="dxa"/>
            <w:vAlign w:val="bottom"/>
          </w:tcPr>
          <w:p>
            <w:pPr>
              <w:spacing w:after="0"/>
              <w:rPr>
                <w:sz w:val="24"/>
                <w:szCs w:val="24"/>
                <w:color w:val="auto"/>
              </w:rPr>
            </w:pPr>
          </w:p>
        </w:tc>
        <w:tc>
          <w:tcPr>
            <w:tcW w:w="39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65"/>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4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w w:val="96"/>
              </w:rPr>
              <w:t>OPALW</w:t>
            </w:r>
          </w:p>
        </w:tc>
        <w:tc>
          <w:tcPr>
            <w:tcW w:w="720" w:type="dxa"/>
            <w:vAlign w:val="bottom"/>
          </w:tcPr>
          <w:p>
            <w:pPr>
              <w:spacing w:after="0"/>
              <w:rPr>
                <w:sz w:val="23"/>
                <w:szCs w:val="23"/>
                <w:color w:val="auto"/>
              </w:rPr>
            </w:pPr>
          </w:p>
        </w:tc>
        <w:tc>
          <w:tcPr>
            <w:tcW w:w="39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4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4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6"/>
        </w:trPr>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ind w:right="1620"/>
        <w:spacing w:after="0" w:line="294"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9"/>
          <w:szCs w:val="19"/>
          <w:color w:val="auto"/>
        </w:rPr>
        <w:t>☒</w:t>
      </w:r>
    </w:p>
    <w:p>
      <w:pPr>
        <w:spacing w:after="0" w:line="61" w:lineRule="exact"/>
        <w:rPr>
          <w:sz w:val="20"/>
          <w:szCs w:val="20"/>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provided in Item 2.03 below is incorporated herein by reference, as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On August 4, 2022, OPAL Fuels Intermediate Holdco 2 LLC (</w:t>
      </w:r>
      <w:r>
        <w:rPr>
          <w:rFonts w:ascii="Times New Roman" w:cs="Times New Roman" w:eastAsia="Times New Roman" w:hAnsi="Times New Roman"/>
          <w:sz w:val="18"/>
          <w:szCs w:val="18"/>
          <w:b w:val="1"/>
          <w:bCs w:val="1"/>
          <w:i w:val="1"/>
          <w:iCs w:val="1"/>
          <w:color w:val="auto"/>
        </w:rPr>
        <w:t>"OPAL Intermediate Holdco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wholly-owned subsidiary of OPAL Fuels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entered into a new senior secured credit facility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i w:val="1"/>
          <w:iCs w:val="1"/>
          <w:color w:val="auto"/>
        </w:rPr>
        <w:t>redit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OPAL Intermediate Holdco 2 as the Borrower, direct and indirect subsidiary of the Borrower as Guarantors, the lenders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Bank of Montreal as the administration agent, and Wilmington Trust as collateral and depositary agent. The Credit Agreement provides for an approximately two year delayed term loan facility (the </w:t>
      </w:r>
      <w:r>
        <w:rPr>
          <w:rFonts w:ascii="Times New Roman" w:cs="Times New Roman" w:eastAsia="Times New Roman" w:hAnsi="Times New Roman"/>
          <w:sz w:val="18"/>
          <w:szCs w:val="18"/>
          <w:b w:val="1"/>
          <w:bCs w:val="1"/>
          <w:i w:val="1"/>
          <w:iCs w:val="1"/>
          <w:color w:val="auto"/>
        </w:rPr>
        <w:t>"DDTL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of up to a maximum aggregate principal amount of $100.0 million and Debt Service Reserve facility (the</w:t>
      </w:r>
      <w:r>
        <w:rPr>
          <w:rFonts w:ascii="Times New Roman" w:cs="Times New Roman" w:eastAsia="Times New Roman" w:hAnsi="Times New Roman"/>
          <w:sz w:val="18"/>
          <w:szCs w:val="18"/>
          <w:b w:val="1"/>
          <w:bCs w:val="1"/>
          <w:i w:val="1"/>
          <w:iCs w:val="1"/>
          <w:color w:val="auto"/>
        </w:rPr>
        <w:t xml:space="preserve"> "DSR Facility"</w:t>
      </w:r>
      <w:r>
        <w:rPr>
          <w:rFonts w:ascii="Times New Roman" w:cs="Times New Roman" w:eastAsia="Times New Roman" w:hAnsi="Times New Roman"/>
          <w:sz w:val="18"/>
          <w:szCs w:val="18"/>
          <w:color w:val="auto"/>
        </w:rPr>
        <w:t>) of up to a maximum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The Company has the ability, during the DDTL Facility availability period and subject to the satisfaction of certain credit and project related conditions precedents and the $100.0 million maximum aggregate facility cap, also to join other newly acquired wholly owned subsidiaries with comparable RNG landfill projects in development under the Credit Agreement for comparable funding.</w:t>
      </w:r>
    </w:p>
    <w:p>
      <w:pPr>
        <w:spacing w:after="0" w:line="20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The outstanding borrowings under the Credit Agreement bear interest at the benchmark rate of adjusted Term SOFR plus (i) for the period from closing to the earlier of the date of conversion of the construction loan to a term loan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Borrower’s and the Guarantors’ obligations under the Credit Agreement are secured by substantially all of their personal property assets and by a non-recourse pledge of the membership interests of the Borrower</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Credit Agreement requires the Borrower to maintain a consolidated debt service coverage ratio of not less than 1.2:1.0, as tested on a trailing four fiscal basis as of the last day of each fiscal quarter commencing as of the Conversion Date.</w:t>
      </w:r>
    </w:p>
    <w:p>
      <w:pPr>
        <w:spacing w:after="0" w:line="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Finally, the Credit Agreement includes certain customary and project related affirmative and negative covenants, including restrictions on distributions, and events of default, including payment defaults,; breaches of covenants; changes of control; materially incorrect or misleading representations or warranties; bankruptcy or other events of insolvency;and certain project related defaults.</w:t>
      </w:r>
    </w:p>
    <w:p>
      <w:pPr>
        <w:spacing w:after="0" w:line="32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of the Credit Agreement does not purport to be complete and is qualified in its entirety by reference to the text of the Credit Agreement, a copy of which is filed as Exhibit 10.1 hereto and incorporated into this Item 2.03 by reference.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3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August 8, 2022, the Company issued a press release regarding the Credit Agreement described above in Item 2.02 of this Current Report on Form 8-K. A copy of the press release is attached hereto as Exhibit 99.1.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left="20"/>
        <w:spacing w:after="0"/>
        <w:tabs>
          <w:tab w:leader="none" w:pos="2320" w:val="left"/>
        </w:tabs>
        <w:rPr>
          <w:sz w:val="20"/>
          <w:szCs w:val="20"/>
          <w:color w:val="auto"/>
        </w:rPr>
      </w:pPr>
      <w:r>
        <w:rPr>
          <w:rFonts w:ascii="Times New Roman" w:cs="Times New Roman" w:eastAsia="Times New Roman" w:hAnsi="Times New Roman"/>
          <w:sz w:val="18"/>
          <w:szCs w:val="18"/>
          <w:color w:val="auto"/>
        </w:rPr>
        <w:t>Exhibit 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6926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99.1</w:t>
            </w:r>
          </w:p>
        </w:tc>
        <w:tc>
          <w:tcPr>
            <w:tcW w:w="2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August 8, 2022</w:t>
            </w:r>
          </w:p>
        </w:tc>
        <w:tc>
          <w:tcPr>
            <w:tcW w:w="6380" w:type="dxa"/>
            <w:vAlign w:val="bottom"/>
            <w:gridSpan w:val="3"/>
          </w:tcPr>
          <w:p>
            <w:pPr>
              <w:spacing w:after="0"/>
              <w:rPr>
                <w:sz w:val="17"/>
                <w:szCs w:val="17"/>
                <w:color w:val="auto"/>
              </w:rPr>
            </w:pPr>
          </w:p>
        </w:tc>
      </w:tr>
      <w:tr>
        <w:trPr>
          <w:trHeight w:val="264"/>
        </w:trPr>
        <w:tc>
          <w:tcPr>
            <w:tcW w:w="23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10.1</w:t>
            </w:r>
          </w:p>
        </w:tc>
        <w:tc>
          <w:tcPr>
            <w:tcW w:w="8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Credit Agreement, dated August 4, 2022, made by and among OPAL Intermediate Holdco 2 as Borrower, the</w:t>
            </w:r>
          </w:p>
        </w:tc>
        <w:tc>
          <w:tcPr>
            <w:tcW w:w="340" w:type="dxa"/>
            <w:vAlign w:val="bottom"/>
          </w:tcPr>
          <w:p>
            <w:pPr>
              <w:spacing w:after="0"/>
              <w:rPr>
                <w:sz w:val="22"/>
                <w:szCs w:val="22"/>
                <w:color w:val="auto"/>
              </w:rPr>
            </w:pPr>
          </w:p>
        </w:tc>
      </w:tr>
      <w:tr>
        <w:trPr>
          <w:trHeight w:val="209"/>
        </w:trPr>
        <w:tc>
          <w:tcPr>
            <w:tcW w:w="2340" w:type="dxa"/>
            <w:vAlign w:val="bottom"/>
          </w:tcPr>
          <w:p>
            <w:pPr>
              <w:spacing w:after="0"/>
              <w:rPr>
                <w:sz w:val="18"/>
                <w:szCs w:val="18"/>
                <w:color w:val="auto"/>
              </w:rPr>
            </w:pPr>
          </w:p>
        </w:tc>
        <w:tc>
          <w:tcPr>
            <w:tcW w:w="8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guarantors, the lenders thereto, Bank of Montreal as the administration agent, Wilmington Trust as collateral agent and</w:t>
            </w:r>
          </w:p>
        </w:tc>
        <w:tc>
          <w:tcPr>
            <w:tcW w:w="340" w:type="dxa"/>
            <w:vAlign w:val="bottom"/>
          </w:tcPr>
          <w:p>
            <w:pPr>
              <w:spacing w:after="0"/>
              <w:rPr>
                <w:sz w:val="18"/>
                <w:szCs w:val="18"/>
                <w:color w:val="auto"/>
              </w:rPr>
            </w:pPr>
          </w:p>
        </w:tc>
      </w:tr>
      <w:tr>
        <w:trPr>
          <w:trHeight w:val="196"/>
        </w:trPr>
        <w:tc>
          <w:tcPr>
            <w:tcW w:w="2340" w:type="dxa"/>
            <w:vAlign w:val="bottom"/>
          </w:tcPr>
          <w:p>
            <w:pPr>
              <w:spacing w:after="0"/>
              <w:rPr>
                <w:sz w:val="17"/>
                <w:szCs w:val="17"/>
                <w:color w:val="auto"/>
              </w:rPr>
            </w:pPr>
          </w:p>
        </w:tc>
        <w:tc>
          <w:tcPr>
            <w:tcW w:w="89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Bank of Montreal, Investec Inc. and Comerica Bank as joint lead arrangers.</w:t>
            </w:r>
          </w:p>
        </w:tc>
      </w:tr>
      <w:tr>
        <w:trPr>
          <w:trHeight w:val="1350"/>
        </w:trPr>
        <w:tc>
          <w:tcPr>
            <w:tcW w:w="2340" w:type="dxa"/>
            <w:vAlign w:val="bottom"/>
            <w:tcBorders>
              <w:bottom w:val="single" w:sz="8" w:color="9A9A9A"/>
            </w:tcBorders>
          </w:tcPr>
          <w:p>
            <w:pPr>
              <w:spacing w:after="0"/>
              <w:rPr>
                <w:sz w:val="24"/>
                <w:szCs w:val="24"/>
                <w:color w:val="auto"/>
              </w:rPr>
            </w:pPr>
          </w:p>
        </w:tc>
        <w:tc>
          <w:tcPr>
            <w:tcW w:w="2520" w:type="dxa"/>
            <w:vAlign w:val="bottom"/>
            <w:tcBorders>
              <w:top w:val="single" w:sz="8" w:color="0000FF"/>
              <w:bottom w:val="single" w:sz="8" w:color="9A9A9A"/>
            </w:tcBorders>
          </w:tcPr>
          <w:p>
            <w:pPr>
              <w:spacing w:after="0"/>
              <w:rPr>
                <w:sz w:val="24"/>
                <w:szCs w:val="24"/>
                <w:color w:val="auto"/>
              </w:rPr>
            </w:pPr>
          </w:p>
        </w:tc>
        <w:tc>
          <w:tcPr>
            <w:tcW w:w="2920" w:type="dxa"/>
            <w:vAlign w:val="bottom"/>
            <w:tcBorders>
              <w:top w:val="single" w:sz="8" w:color="0000FF"/>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8,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0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dated as of August 4, 2022</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1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OPAL FUELS INTERMEDIATE HOLDCO 2 LLC,</w:t>
      </w:r>
    </w:p>
    <w:p>
      <w:pPr>
        <w:ind w:left="3960"/>
        <w:spacing w:after="0"/>
        <w:rPr>
          <w:sz w:val="20"/>
          <w:szCs w:val="20"/>
          <w:color w:val="auto"/>
        </w:rPr>
      </w:pPr>
      <w:r>
        <w:rPr>
          <w:rFonts w:ascii="Times New Roman" w:cs="Times New Roman" w:eastAsia="Times New Roman" w:hAnsi="Times New Roman"/>
          <w:sz w:val="22"/>
          <w:szCs w:val="22"/>
          <w:color w:val="auto"/>
        </w:rPr>
        <w:t>as Borrower,</w:t>
      </w:r>
    </w:p>
    <w:p>
      <w:pPr>
        <w:spacing w:after="0" w:line="16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The Guarantors Party Hereto,</w:t>
      </w:r>
    </w:p>
    <w:p>
      <w:pPr>
        <w:ind w:left="3880"/>
        <w:spacing w:after="0"/>
        <w:rPr>
          <w:sz w:val="20"/>
          <w:szCs w:val="20"/>
          <w:color w:val="auto"/>
        </w:rPr>
      </w:pPr>
      <w:r>
        <w:rPr>
          <w:rFonts w:ascii="Times New Roman" w:cs="Times New Roman" w:eastAsia="Times New Roman" w:hAnsi="Times New Roman"/>
          <w:sz w:val="22"/>
          <w:szCs w:val="22"/>
          <w:color w:val="auto"/>
        </w:rPr>
        <w:t>as Guarantors,</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BANK OF MONTREAL, CHICAGO BRANCH, INVESTEC BANK PLC and COMERICA BANK,</w:t>
      </w:r>
    </w:p>
    <w:p>
      <w:pPr>
        <w:ind w:left="4020"/>
        <w:spacing w:after="0"/>
        <w:rPr>
          <w:sz w:val="20"/>
          <w:szCs w:val="20"/>
          <w:color w:val="auto"/>
        </w:rPr>
      </w:pPr>
      <w:r>
        <w:rPr>
          <w:rFonts w:ascii="Times New Roman" w:cs="Times New Roman" w:eastAsia="Times New Roman" w:hAnsi="Times New Roman"/>
          <w:sz w:val="22"/>
          <w:szCs w:val="22"/>
          <w:color w:val="auto"/>
        </w:rPr>
        <w:t>as Lenders,</w:t>
      </w:r>
    </w:p>
    <w:p>
      <w:pPr>
        <w:spacing w:after="0" w:line="16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The LC Issuers and Other Lenders</w:t>
      </w:r>
    </w:p>
    <w:p>
      <w:pPr>
        <w:ind w:left="3060"/>
        <w:spacing w:after="0"/>
        <w:rPr>
          <w:sz w:val="20"/>
          <w:szCs w:val="20"/>
          <w:color w:val="auto"/>
        </w:rPr>
      </w:pPr>
      <w:r>
        <w:rPr>
          <w:rFonts w:ascii="Times New Roman" w:cs="Times New Roman" w:eastAsia="Times New Roman" w:hAnsi="Times New Roman"/>
          <w:sz w:val="22"/>
          <w:szCs w:val="22"/>
          <w:color w:val="auto"/>
        </w:rPr>
        <w:t>From Time to Time Party Hereto,</w:t>
      </w:r>
    </w:p>
    <w:p>
      <w:pPr>
        <w:spacing w:after="0" w:line="1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BANK OF MONTREAL, CHICAGO BRANCH,</w:t>
      </w:r>
    </w:p>
    <w:p>
      <w:pPr>
        <w:ind w:left="34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6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3680"/>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1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BANK OF MONTREAL, CHICAGO BRANCH, INVESTEC INC.,</w:t>
      </w:r>
    </w:p>
    <w:p>
      <w:pPr>
        <w:ind w:left="3420"/>
        <w:spacing w:after="0" w:line="204" w:lineRule="auto"/>
        <w:rPr>
          <w:sz w:val="20"/>
          <w:szCs w:val="20"/>
          <w:color w:val="auto"/>
        </w:rPr>
      </w:pPr>
      <w:r>
        <w:rPr>
          <w:rFonts w:ascii="Times New Roman" w:cs="Times New Roman" w:eastAsia="Times New Roman" w:hAnsi="Times New Roman"/>
          <w:sz w:val="22"/>
          <w:szCs w:val="22"/>
          <w:color w:val="auto"/>
        </w:rPr>
        <w:t>and COMERICA BANK</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as Joint Lead Arrangers</w:t>
      </w:r>
    </w:p>
    <w:p>
      <w:pPr>
        <w:spacing w:after="0" w:line="1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and acknowledged and accepted by</w:t>
      </w:r>
    </w:p>
    <w:p>
      <w:pPr>
        <w:spacing w:after="0" w:line="19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3620"/>
        <w:spacing w:after="0"/>
        <w:rPr>
          <w:sz w:val="20"/>
          <w:szCs w:val="20"/>
          <w:color w:val="auto"/>
        </w:rPr>
      </w:pPr>
      <w:r>
        <w:rPr>
          <w:rFonts w:ascii="Times New Roman" w:cs="Times New Roman" w:eastAsia="Times New Roman" w:hAnsi="Times New Roman"/>
          <w:sz w:val="22"/>
          <w:szCs w:val="22"/>
          <w:color w:val="auto"/>
        </w:rPr>
        <w:t>as Depositary Agent</w:t>
      </w:r>
    </w:p>
    <w:p>
      <w:pPr>
        <w:spacing w:after="0" w:line="16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u w:val="single" w:color="auto"/>
          <w:color w:val="auto"/>
        </w:rPr>
        <w:t>Senior Secured Credit Facilities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$100,000,000 Delayed Draw Term Loan Facility</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$5,000,000 DSR Loan Facility</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w:t>
      </w:r>
    </w:p>
    <w:p>
      <w:pPr>
        <w:sectPr>
          <w:pgSz w:w="11900" w:h="16838" w:orient="portrait"/>
          <w:cols w:equalWidth="0" w:num="1">
            <w:col w:w="10120"/>
          </w:cols>
          <w:pgMar w:left="1440" w:top="104" w:right="339" w:bottom="1440" w:gutter="0" w:footer="0" w:header="0"/>
        </w:sectPr>
      </w:pPr>
    </w:p>
    <w:bookmarkStart w:id="6" w:name="page7"/>
    <w:bookmarkEnd w:id="6"/>
    <w:p>
      <w:pPr>
        <w:jc w:val="right"/>
        <w:ind w:right="300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1 DEFINITIONS</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Defined Terms</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Rates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Other Definitional Provisions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Accounting Terms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Rounding</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Times of Day</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Interest Rates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2 THE CREDIT FACILITIES.</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Loan Facilities</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LC Facility</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Fees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2.4</w:t>
        <w:tab/>
        <w:t>LC Fees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Total Commitments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Other Payment Terms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Pro Rata Treatment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Change of Circumstances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2.9</w:t>
        <w:tab/>
        <w:t>Losses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Alternate Office; Minimization of Costs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3 REPRESENTATIONS AND WARRANTIES</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Organization, Powers, Compliance</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Equity Interests, Subsidiaries, Fiscal Year</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Authorization, Absence of Conflicts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Binding Obligations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Financial Condition and Statements; Projections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19"/>
          <w:szCs w:val="19"/>
          <w:color w:val="auto"/>
        </w:rPr>
        <w:t>Taxes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Title to Properties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color w:val="auto"/>
        </w:rPr>
        <w:t>Proceedings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color w:val="auto"/>
        </w:rPr>
        <w:t>Labor Disputes; Collective Bargaining Agreements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color w:val="auto"/>
        </w:rPr>
        <w:t>Material Project Documents; Applicable Permits</w:t>
      </w:r>
    </w:p>
    <w:p>
      <w:pPr>
        <w:spacing w:after="0" w:line="44"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color w:val="auto"/>
        </w:rPr>
        <w:t>Intangible Assets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color w:val="auto"/>
        </w:rPr>
        <w:t>Condition of Assets and Sites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1"/>
          <w:szCs w:val="21"/>
          <w:color w:val="auto"/>
        </w:rPr>
        <w:t>No Defaults, Compliance With Laws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color w:val="auto"/>
        </w:rPr>
        <w:t>Not Used</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3.15</w:t>
      </w:r>
      <w:r>
        <w:rPr>
          <w:sz w:val="20"/>
          <w:szCs w:val="20"/>
          <w:color w:val="auto"/>
        </w:rPr>
        <w:tab/>
      </w:r>
      <w:r>
        <w:rPr>
          <w:rFonts w:ascii="Times New Roman" w:cs="Times New Roman" w:eastAsia="Times New Roman" w:hAnsi="Times New Roman"/>
          <w:sz w:val="21"/>
          <w:szCs w:val="21"/>
          <w:color w:val="auto"/>
        </w:rPr>
        <w:t>Not an Investment Company</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3.16</w:t>
      </w:r>
      <w:r>
        <w:rPr>
          <w:sz w:val="20"/>
          <w:szCs w:val="20"/>
          <w:color w:val="auto"/>
        </w:rPr>
        <w:tab/>
      </w:r>
      <w:r>
        <w:rPr>
          <w:rFonts w:ascii="Times New Roman" w:cs="Times New Roman" w:eastAsia="Times New Roman" w:hAnsi="Times New Roman"/>
          <w:sz w:val="21"/>
          <w:szCs w:val="21"/>
          <w:color w:val="auto"/>
        </w:rPr>
        <w:t>Use of Proceeds; Margin</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3.17</w:t>
      </w:r>
      <w:r>
        <w:rPr>
          <w:sz w:val="20"/>
          <w:szCs w:val="20"/>
          <w:color w:val="auto"/>
        </w:rPr>
        <w:tab/>
      </w:r>
      <w:r>
        <w:rPr>
          <w:rFonts w:ascii="Times New Roman" w:cs="Times New Roman" w:eastAsia="Times New Roman" w:hAnsi="Times New Roman"/>
          <w:sz w:val="21"/>
          <w:szCs w:val="21"/>
          <w:color w:val="auto"/>
        </w:rPr>
        <w:t>Disclosure</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3.18</w:t>
      </w:r>
      <w:r>
        <w:rPr>
          <w:sz w:val="20"/>
          <w:szCs w:val="20"/>
          <w:color w:val="auto"/>
        </w:rPr>
        <w:tab/>
      </w:r>
      <w:r>
        <w:rPr>
          <w:rFonts w:ascii="Times New Roman" w:cs="Times New Roman" w:eastAsia="Times New Roman" w:hAnsi="Times New Roman"/>
          <w:sz w:val="21"/>
          <w:szCs w:val="21"/>
          <w:color w:val="auto"/>
        </w:rPr>
        <w:t>Burdensome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67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78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87</w:t>
      </w:r>
    </w:p>
    <w:p>
      <w:pPr>
        <w:sectPr>
          <w:pgSz w:w="11900" w:h="16838" w:orient="portrait"/>
          <w:cols w:equalWidth="0" w:num="2">
            <w:col w:w="9780" w:space="720"/>
            <w:col w:w="740"/>
          </w:cols>
          <w:pgMar w:left="320" w:top="1391" w:right="339" w:bottom="1440" w:gutter="0" w:footer="0" w:header="0"/>
        </w:sectPr>
      </w:pPr>
    </w:p>
    <w:bookmarkStart w:id="7" w:name="page8"/>
    <w:bookmarkEnd w:id="7"/>
    <w:p>
      <w:pPr>
        <w:spacing w:after="0" w:line="9"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3.19</w:t>
      </w:r>
      <w:r>
        <w:rPr>
          <w:sz w:val="20"/>
          <w:szCs w:val="20"/>
          <w:color w:val="auto"/>
        </w:rPr>
        <w:tab/>
      </w:r>
      <w:r>
        <w:rPr>
          <w:rFonts w:ascii="Times New Roman" w:cs="Times New Roman" w:eastAsia="Times New Roman" w:hAnsi="Times New Roman"/>
          <w:sz w:val="21"/>
          <w:szCs w:val="21"/>
          <w:color w:val="auto"/>
        </w:rPr>
        <w:t>ERISA</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3.20</w:t>
      </w:r>
      <w:r>
        <w:rPr>
          <w:sz w:val="20"/>
          <w:szCs w:val="20"/>
          <w:color w:val="auto"/>
        </w:rPr>
        <w:tab/>
      </w:r>
      <w:r>
        <w:rPr>
          <w:rFonts w:ascii="Times New Roman" w:cs="Times New Roman" w:eastAsia="Times New Roman" w:hAnsi="Times New Roman"/>
          <w:sz w:val="21"/>
          <w:szCs w:val="21"/>
          <w:color w:val="auto"/>
        </w:rPr>
        <w:t>Environmental Matters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color w:val="auto"/>
        </w:rPr>
        <w:t>Location of Offices and Collateral</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color w:val="auto"/>
        </w:rPr>
        <w:t>Deposit, Securities and Commodities Accounts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3.23</w:t>
      </w:r>
      <w:r>
        <w:rPr>
          <w:sz w:val="20"/>
          <w:szCs w:val="20"/>
          <w:color w:val="auto"/>
        </w:rPr>
        <w:tab/>
      </w:r>
      <w:r>
        <w:rPr>
          <w:rFonts w:ascii="Times New Roman" w:cs="Times New Roman" w:eastAsia="Times New Roman" w:hAnsi="Times New Roman"/>
          <w:sz w:val="21"/>
          <w:szCs w:val="21"/>
          <w:color w:val="auto"/>
        </w:rPr>
        <w:t>Foreign Assets Control Regulations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3.24</w:t>
      </w:r>
      <w:r>
        <w:rPr>
          <w:sz w:val="20"/>
          <w:szCs w:val="20"/>
          <w:color w:val="auto"/>
        </w:rPr>
        <w:tab/>
      </w:r>
      <w:r>
        <w:rPr>
          <w:rFonts w:ascii="Times New Roman" w:cs="Times New Roman" w:eastAsia="Times New Roman" w:hAnsi="Times New Roman"/>
          <w:sz w:val="21"/>
          <w:szCs w:val="21"/>
          <w:color w:val="auto"/>
        </w:rPr>
        <w:t>Anti-Money Laundering Laws; Anti-Corruption</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3.25</w:t>
      </w:r>
      <w:r>
        <w:rPr>
          <w:sz w:val="20"/>
          <w:szCs w:val="20"/>
          <w:color w:val="auto"/>
        </w:rPr>
        <w:tab/>
      </w:r>
      <w:r>
        <w:rPr>
          <w:rFonts w:ascii="Times New Roman" w:cs="Times New Roman" w:eastAsia="Times New Roman" w:hAnsi="Times New Roman"/>
          <w:sz w:val="21"/>
          <w:szCs w:val="21"/>
          <w:color w:val="auto"/>
        </w:rPr>
        <w:t>Equator Principles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3.26</w:t>
      </w:r>
      <w:r>
        <w:rPr>
          <w:sz w:val="20"/>
          <w:szCs w:val="20"/>
          <w:color w:val="auto"/>
        </w:rPr>
        <w:tab/>
      </w:r>
      <w:r>
        <w:rPr>
          <w:rFonts w:ascii="Times New Roman" w:cs="Times New Roman" w:eastAsia="Times New Roman" w:hAnsi="Times New Roman"/>
          <w:sz w:val="21"/>
          <w:szCs w:val="21"/>
          <w:color w:val="auto"/>
        </w:rPr>
        <w:t>Affected Financial Institutions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3.27</w:t>
      </w:r>
      <w:r>
        <w:rPr>
          <w:sz w:val="20"/>
          <w:szCs w:val="20"/>
          <w:color w:val="auto"/>
        </w:rPr>
        <w:tab/>
      </w:r>
      <w:r>
        <w:rPr>
          <w:rFonts w:ascii="Times New Roman" w:cs="Times New Roman" w:eastAsia="Times New Roman" w:hAnsi="Times New Roman"/>
          <w:sz w:val="21"/>
          <w:szCs w:val="21"/>
          <w:color w:val="auto"/>
        </w:rPr>
        <w:t>Qualified ECP Guarantor</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3.28</w:t>
      </w:r>
      <w:r>
        <w:rPr>
          <w:sz w:val="20"/>
          <w:szCs w:val="20"/>
          <w:color w:val="auto"/>
        </w:rPr>
        <w:tab/>
      </w:r>
      <w:r>
        <w:rPr>
          <w:rFonts w:ascii="Times New Roman" w:cs="Times New Roman" w:eastAsia="Times New Roman" w:hAnsi="Times New Roman"/>
          <w:sz w:val="21"/>
          <w:szCs w:val="21"/>
          <w:color w:val="auto"/>
        </w:rPr>
        <w:t>Energy Regulatory Status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4 CONDITIONS PRECEDENT</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Conditions Precedent to Closing</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Conditions Precedent to Funding of the Initial Borrowing</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Conditions Precedent to the Inclusion of Each Additional Project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Conditions Precedent to the Funding of the Initial Borrowing for Each Additional Project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Conditions Precedent to the Funding of Each Borrowing of Term Loans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Conditions Precedent to Each DSR Credit Event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color w:val="auto"/>
        </w:rPr>
        <w:t>Conditions Precedent to Term Conversion</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5 AFFIRMATIVE COVENANTS</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Existence, Properties</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Payment of Indebtedness, Taxes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Financial Statements, Reports, Etc.</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Notices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5.5</w:t>
        <w:tab/>
        <w:t>Not Used</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Books and Records; Inspection; Audits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Insurance</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color w:val="auto"/>
        </w:rPr>
        <w:t>Compliance with Laws Generally</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color w:val="auto"/>
        </w:rPr>
        <w:t>Compliance with Environmental Laws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1"/>
          <w:szCs w:val="21"/>
          <w:color w:val="auto"/>
        </w:rPr>
        <w:t>Use of Proceeds</w:t>
      </w:r>
    </w:p>
    <w:p>
      <w:pPr>
        <w:spacing w:after="0" w:line="44"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1"/>
          <w:szCs w:val="21"/>
          <w:color w:val="auto"/>
        </w:rPr>
        <w:t>Maintenance of Depositary Accounts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color w:val="auto"/>
        </w:rPr>
        <w:t>Interest Rate Secured Hedge Agreements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color w:val="auto"/>
        </w:rPr>
        <w:t>Preservation of Rights and Security</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1"/>
          <w:szCs w:val="21"/>
          <w:color w:val="auto"/>
        </w:rPr>
        <w:t>Construction, Performance Tests and Final Completion</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1"/>
          <w:szCs w:val="21"/>
          <w:color w:val="auto"/>
        </w:rPr>
        <w:t>Operation and Maintenance of Projects; Annual Operating Budgets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5.16</w:t>
      </w:r>
      <w:r>
        <w:rPr>
          <w:sz w:val="20"/>
          <w:szCs w:val="20"/>
          <w:color w:val="auto"/>
        </w:rPr>
        <w:tab/>
      </w:r>
      <w:r>
        <w:rPr>
          <w:rFonts w:ascii="Times New Roman" w:cs="Times New Roman" w:eastAsia="Times New Roman" w:hAnsi="Times New Roman"/>
          <w:sz w:val="21"/>
          <w:szCs w:val="21"/>
          <w:color w:val="auto"/>
        </w:rPr>
        <w:t>FERC Jurisdiction</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5.17</w:t>
      </w:r>
      <w:r>
        <w:rPr>
          <w:sz w:val="20"/>
          <w:szCs w:val="20"/>
          <w:color w:val="auto"/>
        </w:rPr>
        <w:tab/>
      </w:r>
      <w:r>
        <w:rPr>
          <w:rFonts w:ascii="Times New Roman" w:cs="Times New Roman" w:eastAsia="Times New Roman" w:hAnsi="Times New Roman"/>
          <w:sz w:val="21"/>
          <w:szCs w:val="21"/>
          <w:color w:val="auto"/>
        </w:rPr>
        <w:t>Equator Principles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6 NEGATIVE COVENANTS</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Indebtedness</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Liens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109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116</w:t>
      </w:r>
    </w:p>
    <w:p>
      <w:pPr>
        <w:sectPr>
          <w:pgSz w:w="11900" w:h="16838" w:orient="portrait"/>
          <w:cols w:equalWidth="0" w:num="2">
            <w:col w:w="9780" w:space="720"/>
            <w:col w:w="320"/>
          </w:cols>
          <w:pgMar w:left="320" w:top="1440" w:right="759" w:bottom="1440" w:gutter="0" w:footer="0" w:header="0"/>
        </w:sectPr>
      </w:pPr>
    </w:p>
    <w:bookmarkStart w:id="8" w:name="page9"/>
    <w:bookmarkEnd w:id="8"/>
    <w:p>
      <w:pPr>
        <w:spacing w:after="0" w:line="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color w:val="auto"/>
        </w:rPr>
        <w:t>Contingent Liabilities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color w:val="auto"/>
        </w:rPr>
        <w:t>Merger and Consolidation; Acquisition and Disposition of Assets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color w:val="auto"/>
        </w:rPr>
        <w:t>Investments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color w:val="auto"/>
        </w:rPr>
        <w:t>Change in Nature of Business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color w:val="auto"/>
        </w:rPr>
        <w:t>Transactions with Affiliates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1"/>
          <w:szCs w:val="21"/>
          <w:color w:val="auto"/>
        </w:rPr>
        <w:t>Restricted Payments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6.10</w:t>
      </w:r>
      <w:r>
        <w:rPr>
          <w:sz w:val="20"/>
          <w:szCs w:val="20"/>
          <w:color w:val="auto"/>
        </w:rPr>
        <w:tab/>
      </w:r>
      <w:r>
        <w:rPr>
          <w:rFonts w:ascii="Times New Roman" w:cs="Times New Roman" w:eastAsia="Times New Roman" w:hAnsi="Times New Roman"/>
          <w:sz w:val="21"/>
          <w:szCs w:val="21"/>
          <w:color w:val="auto"/>
        </w:rPr>
        <w:t>Burdensome Agreements</w:t>
      </w:r>
    </w:p>
    <w:p>
      <w:pPr>
        <w:spacing w:after="0" w:line="44"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color w:val="auto"/>
        </w:rPr>
        <w:t>Local Accounts; Environmental Credits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color w:val="auto"/>
        </w:rPr>
        <w:t>Formation or Acquisition of Subsidiaries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color w:val="auto"/>
        </w:rPr>
        <w:t>Change in Fiscal Dates or Accounting Practices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1"/>
          <w:szCs w:val="21"/>
          <w:color w:val="auto"/>
        </w:rPr>
        <w:t>Foreign Assets Control and Anti-Money Laundering Laws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1"/>
          <w:szCs w:val="21"/>
          <w:color w:val="auto"/>
        </w:rPr>
        <w:t>Name Changes, Charter Amendments, Etc.</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6.16</w:t>
      </w:r>
      <w:r>
        <w:rPr>
          <w:sz w:val="20"/>
          <w:szCs w:val="20"/>
          <w:color w:val="auto"/>
        </w:rPr>
        <w:tab/>
      </w:r>
      <w:r>
        <w:rPr>
          <w:rFonts w:ascii="Times New Roman" w:cs="Times New Roman" w:eastAsia="Times New Roman" w:hAnsi="Times New Roman"/>
          <w:sz w:val="21"/>
          <w:szCs w:val="21"/>
          <w:color w:val="auto"/>
        </w:rPr>
        <w:t>Debt Service Coverage Ratio</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6.17</w:t>
      </w:r>
      <w:r>
        <w:rPr>
          <w:sz w:val="20"/>
          <w:szCs w:val="20"/>
          <w:color w:val="auto"/>
        </w:rPr>
        <w:tab/>
      </w:r>
      <w:r>
        <w:rPr>
          <w:rFonts w:ascii="Times New Roman" w:cs="Times New Roman" w:eastAsia="Times New Roman" w:hAnsi="Times New Roman"/>
          <w:sz w:val="21"/>
          <w:szCs w:val="21"/>
          <w:color w:val="auto"/>
        </w:rPr>
        <w:t>Not Used.</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6.18</w:t>
      </w:r>
      <w:r>
        <w:rPr>
          <w:sz w:val="20"/>
          <w:szCs w:val="20"/>
          <w:color w:val="auto"/>
        </w:rPr>
        <w:tab/>
      </w:r>
      <w:r>
        <w:rPr>
          <w:rFonts w:ascii="Times New Roman" w:cs="Times New Roman" w:eastAsia="Times New Roman" w:hAnsi="Times New Roman"/>
          <w:sz w:val="21"/>
          <w:szCs w:val="21"/>
          <w:color w:val="auto"/>
        </w:rPr>
        <w:t>Capital Expenditures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6.19</w:t>
      </w:r>
      <w:r>
        <w:rPr>
          <w:sz w:val="20"/>
          <w:szCs w:val="20"/>
          <w:color w:val="auto"/>
        </w:rPr>
        <w:tab/>
      </w:r>
      <w:r>
        <w:rPr>
          <w:rFonts w:ascii="Times New Roman" w:cs="Times New Roman" w:eastAsia="Times New Roman" w:hAnsi="Times New Roman"/>
          <w:sz w:val="21"/>
          <w:szCs w:val="21"/>
          <w:color w:val="auto"/>
        </w:rPr>
        <w:t>Hedge Agreements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6.20</w:t>
      </w:r>
      <w:r>
        <w:rPr>
          <w:sz w:val="20"/>
          <w:szCs w:val="20"/>
          <w:color w:val="auto"/>
        </w:rPr>
        <w:tab/>
      </w:r>
      <w:r>
        <w:rPr>
          <w:rFonts w:ascii="Times New Roman" w:cs="Times New Roman" w:eastAsia="Times New Roman" w:hAnsi="Times New Roman"/>
          <w:sz w:val="21"/>
          <w:szCs w:val="21"/>
          <w:color w:val="auto"/>
        </w:rPr>
        <w:t>Amendments to and Termination of Project Documents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6.21</w:t>
      </w:r>
      <w:r>
        <w:rPr>
          <w:sz w:val="20"/>
          <w:szCs w:val="20"/>
          <w:color w:val="auto"/>
        </w:rPr>
        <w:tab/>
      </w:r>
      <w:r>
        <w:rPr>
          <w:rFonts w:ascii="Times New Roman" w:cs="Times New Roman" w:eastAsia="Times New Roman" w:hAnsi="Times New Roman"/>
          <w:sz w:val="21"/>
          <w:szCs w:val="21"/>
          <w:color w:val="auto"/>
        </w:rPr>
        <w:t>Hazardous Substances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Times New Roman" w:cs="Times New Roman" w:eastAsia="Times New Roman" w:hAnsi="Times New Roman"/>
          <w:sz w:val="21"/>
          <w:szCs w:val="21"/>
          <w:color w:val="auto"/>
        </w:rPr>
        <w:t>Not Used</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6.23</w:t>
      </w:r>
      <w:r>
        <w:rPr>
          <w:sz w:val="20"/>
          <w:szCs w:val="20"/>
          <w:color w:val="auto"/>
        </w:rPr>
        <w:tab/>
      </w:r>
      <w:r>
        <w:rPr>
          <w:rFonts w:ascii="Times New Roman" w:cs="Times New Roman" w:eastAsia="Times New Roman" w:hAnsi="Times New Roman"/>
          <w:sz w:val="21"/>
          <w:szCs w:val="21"/>
          <w:color w:val="auto"/>
        </w:rPr>
        <w:t>Construction Budget Contingency; Change Orders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6.24</w:t>
      </w:r>
      <w:r>
        <w:rPr>
          <w:sz w:val="20"/>
          <w:szCs w:val="20"/>
          <w:color w:val="auto"/>
        </w:rPr>
        <w:tab/>
      </w:r>
      <w:r>
        <w:rPr>
          <w:rFonts w:ascii="Times New Roman" w:cs="Times New Roman" w:eastAsia="Times New Roman" w:hAnsi="Times New Roman"/>
          <w:sz w:val="21"/>
          <w:szCs w:val="21"/>
          <w:color w:val="auto"/>
        </w:rPr>
        <w:t>Performance Tests; Substantial Completion</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6.25</w:t>
      </w:r>
      <w:r>
        <w:rPr>
          <w:sz w:val="20"/>
          <w:szCs w:val="20"/>
          <w:color w:val="auto"/>
        </w:rPr>
        <w:tab/>
      </w:r>
      <w:r>
        <w:rPr>
          <w:rFonts w:ascii="Times New Roman" w:cs="Times New Roman" w:eastAsia="Times New Roman" w:hAnsi="Times New Roman"/>
          <w:sz w:val="21"/>
          <w:szCs w:val="21"/>
          <w:color w:val="auto"/>
        </w:rPr>
        <w:t>Energy Regulatory Status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7 EVENTS OF DEFAULT</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Events of Default</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Waivers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Allocation of Payments After Event of Default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color w:val="auto"/>
        </w:rPr>
        <w:t>Remedies Upon Event of Default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color w:val="auto"/>
        </w:rPr>
        <w:t>Determination of an Event of Default</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8 GUARANTY</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Guaranty of the Obligations</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Contribution by Guarantors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Payment by Guarantors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Liability of Guarantors Absolute</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color w:val="auto"/>
        </w:rPr>
        <w:t>Waivers by Guarantors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Guarantors’ Rights of Subrogation, Contribution, Etc.</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Subordination of Other Obligations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color w:val="auto"/>
        </w:rPr>
        <w:t>Continuing Guaranty</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8.9</w:t>
      </w:r>
      <w:r>
        <w:rPr>
          <w:sz w:val="20"/>
          <w:szCs w:val="20"/>
          <w:color w:val="auto"/>
        </w:rPr>
        <w:tab/>
      </w:r>
      <w:r>
        <w:rPr>
          <w:rFonts w:ascii="Times New Roman" w:cs="Times New Roman" w:eastAsia="Times New Roman" w:hAnsi="Times New Roman"/>
          <w:sz w:val="21"/>
          <w:szCs w:val="21"/>
          <w:color w:val="auto"/>
        </w:rPr>
        <w:t>Authority of Guarantors or the Borrower</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8.10</w:t>
      </w:r>
      <w:r>
        <w:rPr>
          <w:sz w:val="20"/>
          <w:szCs w:val="20"/>
          <w:color w:val="auto"/>
        </w:rPr>
        <w:tab/>
      </w:r>
      <w:r>
        <w:rPr>
          <w:rFonts w:ascii="Times New Roman" w:cs="Times New Roman" w:eastAsia="Times New Roman" w:hAnsi="Times New Roman"/>
          <w:sz w:val="21"/>
          <w:szCs w:val="21"/>
          <w:color w:val="auto"/>
        </w:rPr>
        <w:t>Financial Condition of Borrower</w:t>
      </w:r>
    </w:p>
    <w:p>
      <w:pPr>
        <w:spacing w:after="0" w:line="44"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color w:val="auto"/>
        </w:rPr>
        <w:t>Bankruptcy, Etc.</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color w:val="auto"/>
        </w:rPr>
        <w:t>Discharge of Guaranty Upon Sale of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119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129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137</w:t>
      </w:r>
    </w:p>
    <w:p>
      <w:pPr>
        <w:sectPr>
          <w:pgSz w:w="11900" w:h="16838" w:orient="portrait"/>
          <w:cols w:equalWidth="0" w:num="2">
            <w:col w:w="9780" w:space="720"/>
            <w:col w:w="320"/>
          </w:cols>
          <w:pgMar w:left="320" w:top="1440" w:right="759" w:bottom="1440" w:gutter="0" w:footer="0" w:header="0"/>
        </w:sectPr>
      </w:pPr>
    </w:p>
    <w:bookmarkStart w:id="9" w:name="page10"/>
    <w:bookmarkEnd w:id="9"/>
    <w:p>
      <w:pPr>
        <w:spacing w:after="0" w:line="9"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8.13</w:t>
      </w:r>
      <w:r>
        <w:rPr>
          <w:sz w:val="20"/>
          <w:szCs w:val="20"/>
          <w:color w:val="auto"/>
        </w:rPr>
        <w:tab/>
      </w:r>
      <w:r>
        <w:rPr>
          <w:rFonts w:ascii="Times New Roman" w:cs="Times New Roman" w:eastAsia="Times New Roman" w:hAnsi="Times New Roman"/>
          <w:sz w:val="21"/>
          <w:szCs w:val="21"/>
          <w:color w:val="auto"/>
        </w:rPr>
        <w:t>Keepwell</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9 AGENT</w:t>
      </w:r>
    </w:p>
    <w:p>
      <w:pPr>
        <w:spacing w:after="0" w:line="29"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Appointment and Authorization</w:t>
      </w:r>
    </w:p>
    <w:p>
      <w:pPr>
        <w:spacing w:after="0" w:line="32"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Rights as a Lender</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Exculpatory Provisions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Reliance by the Agent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Delegation of Duties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Resignation of Administrative Agent or Collateral Agent</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color w:val="auto"/>
        </w:rPr>
        <w:t>Non-Reliance on the Administrative Agent and the Other Lenders</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1"/>
          <w:szCs w:val="21"/>
          <w:color w:val="auto"/>
        </w:rPr>
        <w:t>No Other Duties, Etc.</w:t>
      </w:r>
    </w:p>
    <w:p>
      <w:pPr>
        <w:spacing w:after="0" w:line="44"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color w:val="auto"/>
        </w:rPr>
        <w:t>Administrative Agent May File Proofs of Claim; Credit Bidding</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color w:val="auto"/>
        </w:rPr>
        <w:t>Collateral and Guaranty Matters</w:t>
      </w:r>
    </w:p>
    <w:p>
      <w:pPr>
        <w:spacing w:after="0" w:line="44"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color w:val="auto"/>
        </w:rPr>
        <w:t>Secured Hedge Agreements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Certain ERISA Matters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color w:val="auto"/>
        </w:rPr>
        <w:t>Additional Collateral Agent Exculpatory Provisions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Article 10 MISCELLANEOUS</w:t>
      </w:r>
    </w:p>
    <w:p>
      <w:pPr>
        <w:spacing w:after="0" w:line="29"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Notices; Effectiveness; Electronic Communications</w:t>
      </w:r>
    </w:p>
    <w:p>
      <w:pPr>
        <w:spacing w:after="0" w:line="32"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Expenses, Indemnity</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Amendments and Waivers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No Waiver; Cumulative Remedies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ENTIRE AGREEMENT</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Survival</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color w:val="auto"/>
        </w:rPr>
        <w:t>Successors and Assigns</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color w:val="auto"/>
        </w:rPr>
        <w:t>Set-off</w:t>
      </w:r>
    </w:p>
    <w:p>
      <w:pPr>
        <w:spacing w:after="0" w:line="44"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color w:val="auto"/>
        </w:rPr>
        <w:t>GOVERNING LAW</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10.10</w:t>
      </w:r>
      <w:r>
        <w:rPr>
          <w:sz w:val="20"/>
          <w:szCs w:val="20"/>
          <w:color w:val="auto"/>
        </w:rPr>
        <w:tab/>
      </w:r>
      <w:r>
        <w:rPr>
          <w:rFonts w:ascii="Times New Roman" w:cs="Times New Roman" w:eastAsia="Times New Roman" w:hAnsi="Times New Roman"/>
          <w:sz w:val="21"/>
          <w:szCs w:val="21"/>
          <w:color w:val="auto"/>
        </w:rPr>
        <w:t>JUDICIAL PROCEEDINGS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color w:val="auto"/>
        </w:rPr>
        <w:t>WAIVER OF JURY TRIAL</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10.12</w:t>
      </w:r>
      <w:r>
        <w:rPr>
          <w:sz w:val="20"/>
          <w:szCs w:val="20"/>
          <w:color w:val="auto"/>
        </w:rPr>
        <w:tab/>
      </w:r>
      <w:r>
        <w:rPr>
          <w:rFonts w:ascii="Times New Roman" w:cs="Times New Roman" w:eastAsia="Times New Roman" w:hAnsi="Times New Roman"/>
          <w:sz w:val="21"/>
          <w:szCs w:val="21"/>
          <w:color w:val="auto"/>
        </w:rPr>
        <w:t>Further Assurances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color w:val="auto"/>
        </w:rPr>
        <w:t>Integration Clause</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10.14</w:t>
      </w:r>
      <w:r>
        <w:rPr>
          <w:sz w:val="20"/>
          <w:szCs w:val="20"/>
          <w:color w:val="auto"/>
        </w:rPr>
        <w:tab/>
      </w:r>
      <w:r>
        <w:rPr>
          <w:rFonts w:ascii="Times New Roman" w:cs="Times New Roman" w:eastAsia="Times New Roman" w:hAnsi="Times New Roman"/>
          <w:sz w:val="21"/>
          <w:szCs w:val="21"/>
          <w:color w:val="auto"/>
        </w:rPr>
        <w:t>Severability</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10.15</w:t>
      </w:r>
      <w:r>
        <w:rPr>
          <w:sz w:val="20"/>
          <w:szCs w:val="20"/>
          <w:color w:val="auto"/>
        </w:rPr>
        <w:tab/>
      </w:r>
      <w:r>
        <w:rPr>
          <w:rFonts w:ascii="Times New Roman" w:cs="Times New Roman" w:eastAsia="Times New Roman" w:hAnsi="Times New Roman"/>
          <w:sz w:val="21"/>
          <w:szCs w:val="21"/>
          <w:color w:val="auto"/>
        </w:rPr>
        <w:t>Counterparts; Electronic Signatures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10.16</w:t>
      </w:r>
      <w:r>
        <w:rPr>
          <w:sz w:val="20"/>
          <w:szCs w:val="20"/>
          <w:color w:val="auto"/>
        </w:rPr>
        <w:tab/>
      </w:r>
      <w:r>
        <w:rPr>
          <w:rFonts w:ascii="Times New Roman" w:cs="Times New Roman" w:eastAsia="Times New Roman" w:hAnsi="Times New Roman"/>
          <w:sz w:val="21"/>
          <w:szCs w:val="21"/>
          <w:color w:val="auto"/>
        </w:rPr>
        <w:t>Acknowledgements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10.17</w:t>
      </w:r>
      <w:r>
        <w:rPr>
          <w:sz w:val="20"/>
          <w:szCs w:val="20"/>
          <w:color w:val="auto"/>
        </w:rPr>
        <w:tab/>
      </w:r>
      <w:r>
        <w:rPr>
          <w:rFonts w:ascii="Times New Roman" w:cs="Times New Roman" w:eastAsia="Times New Roman" w:hAnsi="Times New Roman"/>
          <w:sz w:val="21"/>
          <w:szCs w:val="21"/>
          <w:color w:val="auto"/>
        </w:rPr>
        <w:t>USA Patriot Act Notice</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10.18</w:t>
      </w:r>
      <w:r>
        <w:rPr>
          <w:sz w:val="20"/>
          <w:szCs w:val="20"/>
          <w:color w:val="auto"/>
        </w:rPr>
        <w:tab/>
      </w:r>
      <w:r>
        <w:rPr>
          <w:rFonts w:ascii="Times New Roman" w:cs="Times New Roman" w:eastAsia="Times New Roman" w:hAnsi="Times New Roman"/>
          <w:sz w:val="21"/>
          <w:szCs w:val="21"/>
          <w:color w:val="auto"/>
        </w:rPr>
        <w:t>Waiver of Subrogation</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10.19</w:t>
      </w:r>
      <w:r>
        <w:rPr>
          <w:sz w:val="20"/>
          <w:szCs w:val="20"/>
          <w:color w:val="auto"/>
        </w:rPr>
        <w:tab/>
      </w:r>
      <w:r>
        <w:rPr>
          <w:rFonts w:ascii="Times New Roman" w:cs="Times New Roman" w:eastAsia="Times New Roman" w:hAnsi="Times New Roman"/>
          <w:sz w:val="21"/>
          <w:szCs w:val="21"/>
          <w:color w:val="auto"/>
        </w:rPr>
        <w:t>Accord and Satisfaction</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10.20</w:t>
      </w:r>
      <w:r>
        <w:rPr>
          <w:sz w:val="20"/>
          <w:szCs w:val="20"/>
          <w:color w:val="auto"/>
        </w:rPr>
        <w:tab/>
      </w:r>
      <w:r>
        <w:rPr>
          <w:rFonts w:ascii="Times New Roman" w:cs="Times New Roman" w:eastAsia="Times New Roman" w:hAnsi="Times New Roman"/>
          <w:sz w:val="21"/>
          <w:szCs w:val="21"/>
          <w:color w:val="auto"/>
        </w:rPr>
        <w:t>Acknowledgement and Consent to Bail-In of Affected Financial Institutions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10.21</w:t>
      </w:r>
      <w:r>
        <w:rPr>
          <w:sz w:val="20"/>
          <w:szCs w:val="20"/>
          <w:color w:val="auto"/>
        </w:rPr>
        <w:tab/>
      </w:r>
      <w:r>
        <w:rPr>
          <w:rFonts w:ascii="Times New Roman" w:cs="Times New Roman" w:eastAsia="Times New Roman" w:hAnsi="Times New Roman"/>
          <w:sz w:val="21"/>
          <w:szCs w:val="21"/>
          <w:color w:val="auto"/>
        </w:rPr>
        <w:t>Acknowledgement Regarding Any Supported QFCs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10.22</w:t>
      </w:r>
      <w:r>
        <w:rPr>
          <w:sz w:val="20"/>
          <w:szCs w:val="20"/>
          <w:color w:val="auto"/>
        </w:rPr>
        <w:tab/>
      </w:r>
      <w:r>
        <w:rPr>
          <w:rFonts w:ascii="Times New Roman" w:cs="Times New Roman" w:eastAsia="Times New Roman" w:hAnsi="Times New Roman"/>
          <w:sz w:val="21"/>
          <w:szCs w:val="21"/>
          <w:color w:val="auto"/>
        </w:rPr>
        <w:t>Payment Set Aside</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10.23</w:t>
      </w:r>
      <w:r>
        <w:rPr>
          <w:sz w:val="20"/>
          <w:szCs w:val="20"/>
          <w:color w:val="auto"/>
        </w:rPr>
        <w:tab/>
      </w:r>
      <w:r>
        <w:rPr>
          <w:rFonts w:ascii="Times New Roman" w:cs="Times New Roman" w:eastAsia="Times New Roman" w:hAnsi="Times New Roman"/>
          <w:sz w:val="21"/>
          <w:szCs w:val="21"/>
          <w:color w:val="auto"/>
        </w:rPr>
        <w:t>No Advisory or Fiduciary Responsibility</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10.24</w:t>
      </w:r>
      <w:r>
        <w:rPr>
          <w:sz w:val="20"/>
          <w:szCs w:val="20"/>
          <w:color w:val="auto"/>
        </w:rPr>
        <w:tab/>
      </w:r>
      <w:r>
        <w:rPr>
          <w:rFonts w:ascii="Times New Roman" w:cs="Times New Roman" w:eastAsia="Times New Roman" w:hAnsi="Times New Roman"/>
          <w:sz w:val="21"/>
          <w:szCs w:val="21"/>
          <w:color w:val="auto"/>
        </w:rPr>
        <w:t>Interest Rate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139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148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159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165</w:t>
      </w:r>
    </w:p>
    <w:p>
      <w:pPr>
        <w:sectPr>
          <w:pgSz w:w="11900" w:h="16838" w:orient="portrait"/>
          <w:cols w:equalWidth="0" w:num="2">
            <w:col w:w="9780" w:space="720"/>
            <w:col w:w="320"/>
          </w:cols>
          <w:pgMar w:left="320" w:top="1440" w:right="759" w:bottom="1440" w:gutter="0" w:footer="0" w:header="0"/>
        </w:sectPr>
      </w:pPr>
    </w:p>
    <w:bookmarkStart w:id="10" w:name="page11"/>
    <w:bookmarkEnd w:id="10"/>
    <w:p>
      <w:pPr>
        <w:spacing w:after="0" w:line="9"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10.25</w:t>
      </w:r>
      <w:r>
        <w:rPr>
          <w:sz w:val="20"/>
          <w:szCs w:val="20"/>
          <w:color w:val="auto"/>
        </w:rPr>
        <w:tab/>
      </w:r>
      <w:r>
        <w:rPr>
          <w:rFonts w:ascii="Times New Roman" w:cs="Times New Roman" w:eastAsia="Times New Roman" w:hAnsi="Times New Roman"/>
          <w:sz w:val="21"/>
          <w:szCs w:val="21"/>
          <w:color w:val="auto"/>
        </w:rPr>
        <w:t>Treatment of Certain Information; Confidentiality</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10.26</w:t>
      </w:r>
      <w:r>
        <w:rPr>
          <w:sz w:val="20"/>
          <w:szCs w:val="20"/>
          <w:color w:val="auto"/>
        </w:rPr>
        <w:tab/>
      </w:r>
      <w:r>
        <w:rPr>
          <w:rFonts w:ascii="Times New Roman" w:cs="Times New Roman" w:eastAsia="Times New Roman" w:hAnsi="Times New Roman"/>
          <w:sz w:val="21"/>
          <w:szCs w:val="21"/>
          <w:color w:val="auto"/>
        </w:rPr>
        <w:t>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SCHEDULES</w:t>
            </w: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9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w w:val="98"/>
              </w:rPr>
              <w:t>Schedule 1</w:t>
            </w:r>
          </w:p>
        </w:tc>
        <w:tc>
          <w:tcPr>
            <w:tcW w:w="18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6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Disclosure Schedule</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w w:val="98"/>
              </w:rPr>
              <w:t>Schedule 2</w:t>
            </w:r>
          </w:p>
        </w:tc>
        <w:tc>
          <w:tcPr>
            <w:tcW w:w="18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6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22"/>
                <w:szCs w:val="22"/>
                <w:color w:val="auto"/>
              </w:rPr>
              <w:t>Commitments</w:t>
            </w:r>
          </w:p>
        </w:tc>
      </w:tr>
      <w:tr>
        <w:trPr>
          <w:trHeight w:val="216"/>
        </w:trPr>
        <w:tc>
          <w:tcPr>
            <w:tcW w:w="12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Schedule 2-A</w:t>
            </w:r>
          </w:p>
        </w:tc>
        <w:tc>
          <w:tcPr>
            <w:tcW w:w="300" w:type="dxa"/>
            <w:vAlign w:val="bottom"/>
          </w:tcPr>
          <w:p>
            <w:pPr>
              <w:ind w:left="22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240" w:type="dxa"/>
            <w:vAlign w:val="bottom"/>
          </w:tcPr>
          <w:p>
            <w:pPr>
              <w:spacing w:after="0"/>
              <w:rPr>
                <w:sz w:val="18"/>
                <w:szCs w:val="18"/>
                <w:color w:val="auto"/>
              </w:rPr>
            </w:pPr>
          </w:p>
        </w:tc>
        <w:tc>
          <w:tcPr>
            <w:tcW w:w="63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Allocated Term Loan Commitments</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w w:val="98"/>
              </w:rPr>
              <w:t>Schedule 3</w:t>
            </w:r>
          </w:p>
        </w:tc>
        <w:tc>
          <w:tcPr>
            <w:tcW w:w="180" w:type="dxa"/>
            <w:vAlign w:val="bottom"/>
          </w:tcPr>
          <w:p>
            <w:pPr>
              <w:spacing w:after="0"/>
              <w:rPr>
                <w:sz w:val="18"/>
                <w:szCs w:val="18"/>
                <w:color w:val="auto"/>
              </w:rPr>
            </w:pPr>
          </w:p>
        </w:tc>
        <w:tc>
          <w:tcPr>
            <w:tcW w:w="694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2"/>
                <w:szCs w:val="22"/>
                <w:color w:val="auto"/>
              </w:rPr>
              <w:t>-  Administrative Agent’s Office; Certain Addresses for Notices</w:t>
            </w:r>
          </w:p>
        </w:tc>
      </w:tr>
      <w:tr>
        <w:trPr>
          <w:trHeight w:val="216"/>
        </w:trPr>
        <w:tc>
          <w:tcPr>
            <w:tcW w:w="154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auto"/>
              </w:rPr>
              <w:t>Schedule 3.10(a)</w:t>
            </w:r>
          </w:p>
        </w:tc>
        <w:tc>
          <w:tcPr>
            <w:tcW w:w="24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320" w:type="dxa"/>
            <w:vAlign w:val="bottom"/>
          </w:tcPr>
          <w:p>
            <w:pPr>
              <w:ind w:left="240"/>
              <w:spacing w:after="0" w:line="216" w:lineRule="exact"/>
              <w:rPr>
                <w:sz w:val="20"/>
                <w:szCs w:val="20"/>
                <w:color w:val="auto"/>
              </w:rPr>
            </w:pPr>
            <w:r>
              <w:rPr>
                <w:rFonts w:ascii="Times New Roman" w:cs="Times New Roman" w:eastAsia="Times New Roman" w:hAnsi="Times New Roman"/>
                <w:sz w:val="22"/>
                <w:szCs w:val="22"/>
                <w:color w:val="auto"/>
              </w:rPr>
              <w:t>Material Project Documents</w:t>
            </w:r>
          </w:p>
        </w:tc>
      </w:tr>
      <w:tr>
        <w:trPr>
          <w:trHeight w:val="216"/>
        </w:trPr>
        <w:tc>
          <w:tcPr>
            <w:tcW w:w="154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auto"/>
              </w:rPr>
              <w:t>Schedule 3.10(c)</w:t>
            </w:r>
          </w:p>
        </w:tc>
        <w:tc>
          <w:tcPr>
            <w:tcW w:w="24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320" w:type="dxa"/>
            <w:vAlign w:val="bottom"/>
          </w:tcPr>
          <w:p>
            <w:pPr>
              <w:ind w:left="240"/>
              <w:spacing w:after="0" w:line="216" w:lineRule="exact"/>
              <w:rPr>
                <w:sz w:val="20"/>
                <w:szCs w:val="20"/>
                <w:color w:val="auto"/>
              </w:rPr>
            </w:pPr>
            <w:r>
              <w:rPr>
                <w:rFonts w:ascii="Times New Roman" w:cs="Times New Roman" w:eastAsia="Times New Roman" w:hAnsi="Times New Roman"/>
                <w:sz w:val="22"/>
                <w:szCs w:val="22"/>
                <w:color w:val="auto"/>
              </w:rPr>
              <w:t>Applicable Permits</w:t>
            </w:r>
          </w:p>
        </w:tc>
      </w:tr>
      <w:tr>
        <w:trPr>
          <w:trHeight w:val="216"/>
        </w:trPr>
        <w:tc>
          <w:tcPr>
            <w:tcW w:w="154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auto"/>
              </w:rPr>
              <w:t>Schedule 3.10(e)</w:t>
            </w:r>
          </w:p>
        </w:tc>
        <w:tc>
          <w:tcPr>
            <w:tcW w:w="24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320" w:type="dxa"/>
            <w:vAlign w:val="bottom"/>
          </w:tcPr>
          <w:p>
            <w:pPr>
              <w:jc w:val="center"/>
              <w:ind w:right="4612"/>
              <w:spacing w:after="0" w:line="216" w:lineRule="exact"/>
              <w:rPr>
                <w:sz w:val="20"/>
                <w:szCs w:val="20"/>
                <w:color w:val="auto"/>
              </w:rPr>
            </w:pPr>
            <w:r>
              <w:rPr>
                <w:rFonts w:ascii="Times New Roman" w:cs="Times New Roman" w:eastAsia="Times New Roman" w:hAnsi="Times New Roman"/>
                <w:sz w:val="22"/>
                <w:szCs w:val="22"/>
                <w:color w:val="auto"/>
                <w:w w:val="97"/>
              </w:rPr>
              <w:t>Other Permits</w:t>
            </w:r>
          </w:p>
        </w:tc>
      </w:tr>
      <w:tr>
        <w:trPr>
          <w:trHeight w:val="216"/>
        </w:trPr>
        <w:tc>
          <w:tcPr>
            <w:tcW w:w="154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auto"/>
              </w:rPr>
              <w:t>Schedule 4.2(b)</w:t>
            </w:r>
          </w:p>
        </w:tc>
        <w:tc>
          <w:tcPr>
            <w:tcW w:w="2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32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Required Direct Agreements</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Schedule 6.2</w:t>
            </w:r>
          </w:p>
        </w:tc>
        <w:tc>
          <w:tcPr>
            <w:tcW w:w="80" w:type="dxa"/>
            <w:vAlign w:val="bottom"/>
          </w:tcPr>
          <w:p>
            <w:pPr>
              <w:spacing w:after="0"/>
              <w:rPr>
                <w:sz w:val="18"/>
                <w:szCs w:val="18"/>
                <w:color w:val="auto"/>
              </w:rPr>
            </w:pPr>
          </w:p>
        </w:tc>
        <w:tc>
          <w:tcPr>
            <w:tcW w:w="30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5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2"/>
                <w:szCs w:val="22"/>
                <w:color w:val="auto"/>
              </w:rPr>
              <w:t>Liens</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Schedule 6.6</w:t>
            </w:r>
          </w:p>
        </w:tc>
        <w:tc>
          <w:tcPr>
            <w:tcW w:w="80" w:type="dxa"/>
            <w:vAlign w:val="bottom"/>
          </w:tcPr>
          <w:p>
            <w:pPr>
              <w:spacing w:after="0"/>
              <w:rPr>
                <w:sz w:val="18"/>
                <w:szCs w:val="18"/>
                <w:color w:val="auto"/>
              </w:rPr>
            </w:pPr>
          </w:p>
        </w:tc>
        <w:tc>
          <w:tcPr>
            <w:tcW w:w="30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5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2"/>
                <w:szCs w:val="22"/>
                <w:color w:val="auto"/>
              </w:rPr>
              <w:t>Investments</w:t>
            </w:r>
          </w:p>
        </w:tc>
      </w:tr>
      <w:tr>
        <w:trPr>
          <w:trHeight w:val="282"/>
        </w:trPr>
        <w:tc>
          <w:tcPr>
            <w:tcW w:w="1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6.8</w:t>
            </w:r>
          </w:p>
        </w:tc>
        <w:tc>
          <w:tcPr>
            <w:tcW w:w="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6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459"/>
        </w:trPr>
        <w:tc>
          <w:tcPr>
            <w:tcW w:w="1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9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68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Form of TruStar Acknowledgement</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B-1</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Term Note</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B-2</w:t>
            </w:r>
          </w:p>
        </w:tc>
        <w:tc>
          <w:tcPr>
            <w:tcW w:w="80" w:type="dxa"/>
            <w:vAlign w:val="bottom"/>
          </w:tcPr>
          <w:p>
            <w:pPr>
              <w:spacing w:after="0"/>
              <w:rPr>
                <w:sz w:val="18"/>
                <w:szCs w:val="18"/>
                <w:color w:val="auto"/>
              </w:rPr>
            </w:pPr>
          </w:p>
        </w:tc>
        <w:tc>
          <w:tcPr>
            <w:tcW w:w="686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  Form of DSR Note</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B-3</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DSR Letter of Credit</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C-1</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Notice of Borrowing</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C-2</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Notice of Term Conversion</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C-3</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Notice of Conversion of Loan Type</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C-4</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Notice of LC Activity</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C-5</w:t>
            </w:r>
          </w:p>
        </w:tc>
        <w:tc>
          <w:tcPr>
            <w:tcW w:w="694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22"/>
                <w:szCs w:val="22"/>
                <w:color w:val="auto"/>
              </w:rPr>
              <w:t>-  Form of Borrower Completion Certificate</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C-6</w:t>
            </w:r>
          </w:p>
        </w:tc>
        <w:tc>
          <w:tcPr>
            <w:tcW w:w="80" w:type="dxa"/>
            <w:vAlign w:val="bottom"/>
          </w:tcPr>
          <w:p>
            <w:pPr>
              <w:spacing w:after="0"/>
              <w:rPr>
                <w:sz w:val="18"/>
                <w:szCs w:val="18"/>
                <w:color w:val="auto"/>
              </w:rPr>
            </w:pPr>
          </w:p>
        </w:tc>
        <w:tc>
          <w:tcPr>
            <w:tcW w:w="686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  Form of Independent Engineer Completion Certificate</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D</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8"/>
                <w:szCs w:val="18"/>
                <w:color w:val="auto"/>
              </w:rPr>
            </w:pPr>
          </w:p>
        </w:tc>
        <w:tc>
          <w:tcPr>
            <w:tcW w:w="68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E-1</w:t>
            </w:r>
          </w:p>
        </w:tc>
        <w:tc>
          <w:tcPr>
            <w:tcW w:w="694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  U.S. Tax Compliance Certificate – Foreign Lenders (Not Partnerships)</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E-2</w:t>
            </w:r>
          </w:p>
        </w:tc>
        <w:tc>
          <w:tcPr>
            <w:tcW w:w="694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  U.S. Tax Compliance Certificate – Non-U.S. Participants (Not Partnerships)</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E-3</w:t>
            </w:r>
          </w:p>
        </w:tc>
        <w:tc>
          <w:tcPr>
            <w:tcW w:w="694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  U.S. Tax Compliance Certificate – Non-U.S. Participants (Partnerships)</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E-4</w:t>
            </w:r>
          </w:p>
        </w:tc>
        <w:tc>
          <w:tcPr>
            <w:tcW w:w="694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  U.S. Tax Compliance Certificate – Foreign Lenders (Partnerships)</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F</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8"/>
                <w:szCs w:val="18"/>
                <w:color w:val="auto"/>
              </w:rPr>
            </w:pPr>
          </w:p>
        </w:tc>
        <w:tc>
          <w:tcPr>
            <w:tcW w:w="6860" w:type="dxa"/>
            <w:vAlign w:val="bottom"/>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Form of Borrower Construction Progress Certificate</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G</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8"/>
                <w:szCs w:val="18"/>
                <w:color w:val="auto"/>
              </w:rPr>
            </w:pPr>
          </w:p>
        </w:tc>
        <w:tc>
          <w:tcPr>
            <w:tcW w:w="686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2"/>
                <w:szCs w:val="22"/>
                <w:color w:val="auto"/>
              </w:rPr>
              <w:t>Form of Compliance Certificate</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H-1</w:t>
            </w:r>
          </w:p>
        </w:tc>
        <w:tc>
          <w:tcPr>
            <w:tcW w:w="80" w:type="dxa"/>
            <w:vAlign w:val="bottom"/>
          </w:tcPr>
          <w:p>
            <w:pPr>
              <w:spacing w:after="0"/>
              <w:rPr>
                <w:sz w:val="18"/>
                <w:szCs w:val="18"/>
                <w:color w:val="auto"/>
              </w:rPr>
            </w:pPr>
          </w:p>
        </w:tc>
        <w:tc>
          <w:tcPr>
            <w:tcW w:w="30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560" w:type="dxa"/>
            <w:vAlign w:val="bottom"/>
            <w:gridSpan w:val="2"/>
          </w:tcPr>
          <w:p>
            <w:pPr>
              <w:jc w:val="center"/>
              <w:ind w:right="4352"/>
              <w:spacing w:after="0" w:line="216" w:lineRule="exact"/>
              <w:rPr>
                <w:sz w:val="20"/>
                <w:szCs w:val="20"/>
                <w:color w:val="auto"/>
              </w:rPr>
            </w:pPr>
            <w:r>
              <w:rPr>
                <w:rFonts w:ascii="Times New Roman" w:cs="Times New Roman" w:eastAsia="Times New Roman" w:hAnsi="Times New Roman"/>
                <w:sz w:val="22"/>
                <w:szCs w:val="22"/>
                <w:color w:val="auto"/>
                <w:w w:val="98"/>
              </w:rPr>
              <w:t>Insurance Requirements</w:t>
            </w: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H-2</w:t>
            </w:r>
          </w:p>
        </w:tc>
        <w:tc>
          <w:tcPr>
            <w:tcW w:w="80" w:type="dxa"/>
            <w:vAlign w:val="bottom"/>
          </w:tcPr>
          <w:p>
            <w:pPr>
              <w:spacing w:after="0"/>
              <w:rPr>
                <w:sz w:val="18"/>
                <w:szCs w:val="18"/>
                <w:color w:val="auto"/>
              </w:rPr>
            </w:pPr>
          </w:p>
        </w:tc>
        <w:tc>
          <w:tcPr>
            <w:tcW w:w="68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2"/>
                <w:szCs w:val="22"/>
                <w:color w:val="auto"/>
              </w:rPr>
              <w:t>-  Form of Insurance Consultant Certificate</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I</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18"/>
                <w:szCs w:val="18"/>
                <w:color w:val="auto"/>
              </w:rPr>
            </w:pPr>
          </w:p>
        </w:tc>
        <w:tc>
          <w:tcPr>
            <w:tcW w:w="68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Form of Direct Agreement</w:t>
            </w: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J</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8"/>
                <w:szCs w:val="18"/>
                <w:color w:val="auto"/>
              </w:rPr>
            </w:pPr>
          </w:p>
        </w:tc>
        <w:tc>
          <w:tcPr>
            <w:tcW w:w="686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Form of GFL Consent</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Exhibit K</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Form of Equity Commitment Letter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167</w:t>
      </w:r>
    </w:p>
    <w:p>
      <w:pPr>
        <w:sectPr>
          <w:pgSz w:w="11900" w:h="16838" w:orient="portrait"/>
          <w:cols w:equalWidth="0" w:num="2">
            <w:col w:w="9780" w:space="720"/>
            <w:col w:w="320"/>
          </w:cols>
          <w:pgMar w:left="320" w:top="1440" w:right="759" w:bottom="1440" w:gutter="0" w:footer="0" w:header="0"/>
        </w:sectPr>
      </w:pPr>
    </w:p>
    <w:bookmarkStart w:id="11" w:name="page12"/>
    <w:bookmarkEnd w:id="11"/>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CREDIT AND GUARANTY AGREEMENT dated as of August 4, 2022, among OPAL FUELS INTERMEDIATE HOLDCO 2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GUARANTORS named on the signature pages hereto, each lender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each LC Issuer from time to time party hereto, BANK OF MONTREAL, CHICAGO BRANCH, as Administrative Agent for the Credit Parties (in such capacity, together with any successor thereto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WILMINGTON TRUST, NATIONAL ASSOCIATION, as Collateral Agent for the Secured Parties (in such capacity, together with any successor thereto in such capacity,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and acknowledged and accepted by WILMINGTON TRUST, NATIONAL ASSOCIATION, as Depositary Agent for the Secured Parties (in such capacity, together with any successor thereto in such capacity, the “</w:t>
      </w:r>
      <w:r>
        <w:rPr>
          <w:rFonts w:ascii="Times New Roman" w:cs="Times New Roman" w:eastAsia="Times New Roman" w:hAnsi="Times New Roman"/>
          <w:sz w:val="22"/>
          <w:szCs w:val="22"/>
          <w:u w:val="single" w:color="auto"/>
          <w:color w:val="auto"/>
        </w:rPr>
        <w:t>Depositary Agent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Borrower has requested that the Lenders and LC Issuers extend credit to the Borrower, and the Lenders and LC Issuers are willing to do so on the terms and conditions set forth herein. In consideration of the mutual covenants and agreements herein contained, the parties hereto agree as follows:</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w:t>
      </w: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shall have the following meanings: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Credit Provider</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Project</w:t>
      </w:r>
      <w:r>
        <w:rPr>
          <w:rFonts w:ascii="Times New Roman" w:cs="Times New Roman" w:eastAsia="Times New Roman" w:hAnsi="Times New Roman"/>
          <w:sz w:val="22"/>
          <w:szCs w:val="22"/>
          <w:color w:val="auto"/>
        </w:rPr>
        <w:t xml:space="preserve">”: as defined in the preamble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Project Documents</w:t>
      </w:r>
      <w:r>
        <w:rPr>
          <w:rFonts w:ascii="Times New Roman" w:cs="Times New Roman" w:eastAsia="Times New Roman" w:hAnsi="Times New Roman"/>
          <w:sz w:val="22"/>
          <w:szCs w:val="22"/>
          <w:color w:val="auto"/>
        </w:rPr>
        <w:t xml:space="preserve">”: each Project Document entered into by, or assigned to, any Obligor or any of its Subsidiaries subsequent to the Closing Date (a) which provides for the payment by such Obligor or Subsidiary, or the provision to such Obligor or Subsidiary of, goods or services with a value in excess of, $750,000 in any calendar year or $3,000,000 for the full term of such Additional Project Document, (b) which provides for termination fees or liquidated damages that could reasonably be expected to exceed $1,000,000 in any calendar year, or (c) the termination or cancellation of which could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Additional Project Documents shall not include any contract or agreement (i) for the purchase of insurance required by the Loan Documents, (ii) entered into to consummate any (x) purchase, sale, lease, transfer or disposal allowed pursuant to the Loan Documents (including, for the avoidance of doubt, purchases in the ordinary course of business of services having a term of less than one year in accordance with the Annual Operating Budget then in effect) or (y) Permitted Investments or (iii) that provides for, governs, or evidences Permitted Debt (and any related Permitted Liens).</w:t>
      </w:r>
    </w:p>
    <w:p>
      <w:pPr>
        <w:spacing w:after="0" w:line="157"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xml:space="preserve">”: for purposes of any calculation, the rate per annum equal to (a) Term SOFR for such calculation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Term SOFR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Term SOFR as so determined shall never be less than the Floor, then Adjusted Term SOFR shall be deemed to be the Floor.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the Administrative Agent’s address and, as appropriate, account as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or such other address or account as the Administrative Agent may from time to time notify to the Borrower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 w:name="page13"/>
    <w:bookmarkEnd w:id="12"/>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an Administrative Questionnaire in substantially the form approved by the Administrative Agent.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(a) any EEA Financial Institution or (b) any UK Financial Institution.</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xml:space="preserve">”: any Lender Party having asserted that it is unlawful to make SOFR Advances, as applicable, pursuant to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as to any Person, any other Person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Agency Fee Letter</w:t>
      </w:r>
      <w:r>
        <w:rPr>
          <w:rFonts w:ascii="Times New Roman" w:cs="Times New Roman" w:eastAsia="Times New Roman" w:hAnsi="Times New Roman"/>
          <w:sz w:val="22"/>
          <w:szCs w:val="22"/>
          <w:color w:val="auto"/>
        </w:rPr>
        <w:t>”: that certain fee letter dated as of Closing Date by and between the Borrower and the Administrative Agent.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each of Administrative Agent, Collateral Agent and Depositary Agent, as the context may require.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Payments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Credit and Guaranty Agreement, as defined in the preamble.</w:t>
      </w:r>
    </w:p>
    <w:p>
      <w:pPr>
        <w:spacing w:after="0" w:line="17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Allocated Term Loan Commitment</w:t>
      </w:r>
      <w:r>
        <w:rPr>
          <w:rFonts w:ascii="Times New Roman" w:cs="Times New Roman" w:eastAsia="Times New Roman" w:hAnsi="Times New Roman"/>
          <w:sz w:val="21"/>
          <w:szCs w:val="21"/>
          <w:color w:val="auto"/>
        </w:rPr>
        <w:t xml:space="preserve">”: for each Project, as specified on </w:t>
      </w:r>
      <w:r>
        <w:rPr>
          <w:rFonts w:ascii="Times New Roman" w:cs="Times New Roman" w:eastAsia="Times New Roman" w:hAnsi="Times New Roman"/>
          <w:sz w:val="21"/>
          <w:szCs w:val="21"/>
          <w:u w:val="single" w:color="auto"/>
          <w:color w:val="auto"/>
        </w:rPr>
        <w:t>Schedule 2-A</w:t>
      </w:r>
      <w:r>
        <w:rPr>
          <w:rFonts w:ascii="Times New Roman" w:cs="Times New Roman" w:eastAsia="Times New Roman" w:hAnsi="Times New Roman"/>
          <w:sz w:val="21"/>
          <w:szCs w:val="21"/>
          <w:color w:val="auto"/>
        </w:rPr>
        <w:t xml:space="preserve"> (a) as of the Closing Date for the Initial Projects and (b) as supplemented pursuant to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as of the Inclusion Date for each new Additional Project.</w:t>
      </w:r>
    </w:p>
    <w:p>
      <w:pPr>
        <w:spacing w:after="0" w:line="13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Schedule</w:t>
      </w:r>
      <w:r>
        <w:rPr>
          <w:rFonts w:ascii="Times New Roman" w:cs="Times New Roman" w:eastAsia="Times New Roman" w:hAnsi="Times New Roman"/>
          <w:sz w:val="22"/>
          <w:szCs w:val="22"/>
          <w:color w:val="auto"/>
        </w:rPr>
        <w:t>”: with respect to the Term Conversion Date and each Quarterly Payment Date after the Term Conversion Date, an amount equal to two and one half percent (2.5%) of the aggregate principal amount of the Term Loan Borrowings hereunder through and including Term Conversion Date (including the Final Drawing and prior to giving effect to any repayment or prepayment of the Term Loans on the Term Conversion Date).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4.7(f)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laws, regulations or orders relating to anti-bribery or anti-corruption (governmental or commercial); including, without limitation, the U.S. Foreign Corrupt Practices Act of 1977, as amended, the UK Bribery Act of 2010, and all applicable national and international laws enacted to implement the OECD Convention on Combating Bribery of Foreign Officials in International Business Transactions.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with respect to: (a) prior to the earlier of (i) the Term Conversion Date and (ii) September 30, 2024, (1) for Base Rate Loans, 2.50% per annum, and (2) for SOFR Advances, 3.50% per annum; (b) on and after the earlier of (i) the Term Conversion Date and (ii) September 30, 2024, (1) for Base Rate Loans, 2.75% per annum, and (2) for SOFR Advances, 3.75%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3" w:name="page14"/>
    <w:bookmarkEnd w:id="13"/>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Permit</w:t>
      </w:r>
      <w:r>
        <w:rPr>
          <w:rFonts w:ascii="Times New Roman" w:cs="Times New Roman" w:eastAsia="Times New Roman" w:hAnsi="Times New Roman"/>
          <w:sz w:val="22"/>
          <w:szCs w:val="22"/>
          <w:color w:val="auto"/>
        </w:rPr>
        <w:t>”: any Permit, including any zoning, land use, environmental or species protection, pollution (including air, water or noise), sanitation, safety, siting or building Permit issued by any Governmental Authority and any Permits required to generate Environmental Credits, including but not limited to, FERC, applicable state Governmental Authorities, U.S. Army Corps of Engineers, U.S. Fish and Wildlife Service, U.S. Environmental Protection Agency, U.S. Department of Energy, that is necessary under any applicable Requirement of Law or any of the Operative Documents with respect to any Project to be obtained by or on behalf of any Obligor or any other Project Company at such time in light of the stage of development, construction or operation of the applicable Project to construct, test, operate, maintain, repair, lease, own or use such Project as contemplated by the Operative Documents, to deliver fuel to the Project, or for such Obligor or Subsidiary to enter into any Operative Document or to consummate any transaction contemplated thereby, in each case in accordance with all applicable Requirements of Law.</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any Fund that is administered or managed by (a) a Lender, (b) an Affiliate of a Lender or (c) an entity or an Affiliate of an entity that administers or manages a Lender.</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10.7(b)(ii)</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Administrative Agent.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xml:space="preserve">”: with respect to any Letter of Credit, at any time, the undrawn stated amount of such Letter of Credit in effect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Letter of Credit that, by its terms or the terms of any other agreement or instrument relating thereto, provides for one or more automatic increases in the stated amount thereof, the stated amount of such Letter of Credit shall be deemed to be the maximum stated amount of such Letter of Credit after giving effect to all such increases, whether or not such maximum stated amount is in effect at such time (assuming compliance at such time with all conditions to drawing).</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Construction Funds</w:t>
      </w:r>
      <w:r>
        <w:rPr>
          <w:rFonts w:ascii="Times New Roman" w:cs="Times New Roman" w:eastAsia="Times New Roman" w:hAnsi="Times New Roman"/>
          <w:sz w:val="21"/>
          <w:szCs w:val="21"/>
          <w:color w:val="auto"/>
        </w:rPr>
        <w:t>”: at any time and without duplication, the sum of (a) amounts in the Construction Accounts (as applicable), (b) the amount of the undisbursed proceeds, if any, of the then-available Term Loan Commitments and (c) undisbursed Loss Proceeds which are available in the Loss Proceeds Account for payment of Project Costs.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as of any date of determination and with respect to the then-current Benchmark, as applicable,</w:t>
      </w:r>
    </w:p>
    <w:p>
      <w:pPr>
        <w:jc w:val="both"/>
        <w:ind w:firstLine="8"/>
        <w:spacing w:after="0" w:line="211" w:lineRule="auto"/>
        <w:tabs>
          <w:tab w:leader="none" w:pos="3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2.8.6</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(a) with respect to any EEA Member Country implementing Article 55 of Directive 2014/59/EU of the European Parliament and of the Council of the European Union, the implementing law, rule, regulation or requirement for such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4" w:name="page15"/>
    <w:bookmarkEnd w:id="14"/>
    <w:p>
      <w:pPr>
        <w:jc w:val="both"/>
        <w:spacing w:after="0" w:line="220" w:lineRule="auto"/>
        <w:rPr>
          <w:sz w:val="20"/>
          <w:szCs w:val="20"/>
          <w:color w:val="auto"/>
        </w:rPr>
      </w:pPr>
      <w:r>
        <w:rPr>
          <w:rFonts w:ascii="Times New Roman" w:cs="Times New Roman" w:eastAsia="Times New Roman" w:hAnsi="Times New Roman"/>
          <w:sz w:val="22"/>
          <w:szCs w:val="22"/>
          <w:color w:val="auto"/>
        </w:rPr>
        <w:t>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Case Projections</w:t>
      </w:r>
      <w:r>
        <w:rPr>
          <w:rFonts w:ascii="Times New Roman" w:cs="Times New Roman" w:eastAsia="Times New Roman" w:hAnsi="Times New Roman"/>
          <w:sz w:val="22"/>
          <w:szCs w:val="22"/>
          <w:color w:val="auto"/>
        </w:rPr>
        <w:t xml:space="preserve">”: the base case projections of the Obligors’ operating results for the Initial Projects (over a period ending no sooner than December 31, 2032) delivered to the Administrative Agent on the Closing Date, as the same may be adjusted from time to time in accordance with </w:t>
      </w:r>
      <w:r>
        <w:rPr>
          <w:rFonts w:ascii="Times New Roman" w:cs="Times New Roman" w:eastAsia="Times New Roman" w:hAnsi="Times New Roman"/>
          <w:sz w:val="22"/>
          <w:szCs w:val="22"/>
          <w:u w:val="single" w:color="auto"/>
          <w:color w:val="auto"/>
        </w:rPr>
        <w:t>Section 4.3(a)(ii)</w:t>
      </w:r>
      <w:r>
        <w:rPr>
          <w:rFonts w:ascii="Times New Roman" w:cs="Times New Roman" w:eastAsia="Times New Roman" w:hAnsi="Times New Roman"/>
          <w:sz w:val="22"/>
          <w:szCs w:val="22"/>
          <w:color w:val="auto"/>
        </w:rPr>
        <w:t xml:space="preserve"> to reflect the base case projections of the Project Companies’ operating results for Additional Projects following their respective Inclusion Dates (in each case over a period ending no sooner than December 31, 2032).</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Case Projections Re-run</w:t>
      </w:r>
      <w:r>
        <w:rPr>
          <w:rFonts w:ascii="Times New Roman" w:cs="Times New Roman" w:eastAsia="Times New Roman" w:hAnsi="Times New Roman"/>
          <w:sz w:val="22"/>
          <w:szCs w:val="22"/>
          <w:color w:val="auto"/>
        </w:rPr>
        <w:t xml:space="preserve">”: as of any date, the Base Case Projections, as amended and modified to such date in accordance with </w:t>
      </w:r>
      <w:r>
        <w:rPr>
          <w:rFonts w:ascii="Times New Roman" w:cs="Times New Roman" w:eastAsia="Times New Roman" w:hAnsi="Times New Roman"/>
          <w:sz w:val="22"/>
          <w:szCs w:val="22"/>
          <w:u w:val="single" w:color="auto"/>
          <w:color w:val="auto"/>
        </w:rPr>
        <w:t>Section 4.1(a)(xi)</w:t>
      </w:r>
      <w:r>
        <w:rPr>
          <w:rFonts w:ascii="Times New Roman" w:cs="Times New Roman" w:eastAsia="Times New Roman" w:hAnsi="Times New Roman"/>
          <w:sz w:val="22"/>
          <w:szCs w:val="22"/>
          <w:color w:val="auto"/>
        </w:rPr>
        <w:t xml:space="preserve">, are re-run by the Borrower (in form and substance reasonably acceptable to the Required Lenders in consultation with the Independent Engineer) 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Section 3.9 of the Depositary Agreement, removing all or a portion, as applicable, of the cash flows associated with the Project that caused the application of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Section 3.9 of the Depositary Agreement, applying Downside Pricing (or, if lower prices are projected in the most-recent updated forward curve of projected RIN prices delivered pursuant to </w:t>
      </w:r>
      <w:r>
        <w:rPr>
          <w:rFonts w:ascii="Times New Roman" w:cs="Times New Roman" w:eastAsia="Times New Roman" w:hAnsi="Times New Roman"/>
          <w:sz w:val="22"/>
          <w:szCs w:val="22"/>
          <w:u w:val="single" w:color="auto"/>
          <w:color w:val="auto"/>
        </w:rPr>
        <w:t>Section 5.3(l)</w:t>
      </w:r>
      <w:r>
        <w:rPr>
          <w:rFonts w:ascii="Times New Roman" w:cs="Times New Roman" w:eastAsia="Times New Roman" w:hAnsi="Times New Roman"/>
          <w:sz w:val="22"/>
          <w:szCs w:val="22"/>
          <w:color w:val="auto"/>
        </w:rPr>
        <w:t>, such lower RIN prices), and updating other assumptions in the Base Case Projections to reflect actual operating results and the latest forward curve for the Term SOFR Reference Rate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for any day a fluctuating rate per annum equal to the highest of (a)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(b) the Prime Rate, and (c) the sum of (i) (A) the Adjusted Term SOFR for a one-month tenor plus (B)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Base Rate shall be less than the Floor, such rate shall be deemed to be the Floor for purposes of this Agreement. Any change in the Base Rate shall be effective on the effective date of any change in such rate.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DSR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2.1.2(b)(i)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LC Loan</w:t>
      </w:r>
      <w:r>
        <w:rPr>
          <w:rFonts w:ascii="Times New Roman" w:cs="Times New Roman" w:eastAsia="Times New Roman" w:hAnsi="Times New Roman"/>
          <w:sz w:val="22"/>
          <w:szCs w:val="22"/>
          <w:color w:val="auto"/>
        </w:rPr>
        <w:t xml:space="preserve">”: an LC Loan that shall bear interest at the rate set forth in </w:t>
      </w:r>
      <w:r>
        <w:rPr>
          <w:rFonts w:ascii="Times New Roman" w:cs="Times New Roman" w:eastAsia="Times New Roman" w:hAnsi="Times New Roman"/>
          <w:sz w:val="22"/>
          <w:szCs w:val="22"/>
          <w:u w:val="single" w:color="auto"/>
          <w:color w:val="auto"/>
        </w:rPr>
        <w:t>Section 2.2.9(a)</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Loans</w:t>
      </w:r>
      <w:r>
        <w:rPr>
          <w:rFonts w:ascii="Times New Roman" w:cs="Times New Roman" w:eastAsia="Times New Roman" w:hAnsi="Times New Roman"/>
          <w:sz w:val="21"/>
          <w:szCs w:val="21"/>
          <w:color w:val="auto"/>
        </w:rPr>
        <w:t>”: collectively, the Base Rate Term Loans and the Base Rate LC Loans and the Base Rate DSR</w:t>
      </w: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as defined in the definition of “Term SOFR”.</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2.8.6(a)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with respect to any Benchmark Transition Event, the sum of: (i) the alternate benchmark rate that has been selected by the Administrative Agent and the Borrower giving due consideration to (A) any selection or recommendation of a replacement benchmark rate or the mechanism for determining such a rate by the Relevant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 w:name="page16"/>
    <w:bookmarkEnd w:id="15"/>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Body or (B) any evolving or then-prevailing market convention for determining a benchmark rate as a replacement to the then-current Benchmark for Dollar-denominated syndicated credit facilities and (ii)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with respect to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the definition of “U.S. Government Securities Business Day,” timing and frequency of determining rates and making payments of interest, timing of borrowing requests or prepayment, conversion or continuation notices, length of lookback periods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the earliest to occur of the following events with respect to the then-current</w:t>
      </w: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55" w:lineRule="exact"/>
        <w:rPr>
          <w:sz w:val="20"/>
          <w:szCs w:val="20"/>
          <w:color w:val="auto"/>
        </w:rPr>
      </w:pPr>
    </w:p>
    <w:p>
      <w:pPr>
        <w:jc w:val="both"/>
        <w:ind w:firstLine="1304"/>
        <w:spacing w:after="0" w:line="220" w:lineRule="auto"/>
        <w:tabs>
          <w:tab w:leader="none" w:pos="194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non-representativeness will be determined by reference to the most recent statement or publication referenced in such clause</w:t>
      </w:r>
    </w:p>
    <w:p>
      <w:pPr>
        <w:spacing w:after="0" w:line="2"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even if any Available Tenor of such Benchmark (or such component thereof) continues to be provided on such date.</w:t>
      </w:r>
    </w:p>
    <w:p>
      <w:pPr>
        <w:spacing w:after="0" w:line="15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For the avoidance of doubt, (A) if the event giving rise to the Benchmark Replacement Date occurs on the same day as, but earlier than, the Reference Time in respect of any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6" w:name="page17"/>
    <w:bookmarkEnd w:id="16"/>
    <w:p>
      <w:pPr>
        <w:jc w:val="both"/>
        <w:spacing w:after="0" w:line="220" w:lineRule="auto"/>
        <w:rPr>
          <w:sz w:val="20"/>
          <w:szCs w:val="20"/>
          <w:color w:val="auto"/>
        </w:rPr>
      </w:pPr>
      <w:r>
        <w:rPr>
          <w:rFonts w:ascii="Times New Roman" w:cs="Times New Roman" w:eastAsia="Times New Roman" w:hAnsi="Times New Roman"/>
          <w:sz w:val="22"/>
          <w:szCs w:val="22"/>
          <w:color w:val="auto"/>
        </w:rPr>
        <w:t>the Benchmark Replacement Date will be deemed to have occurred prior to the Reference Time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the occurrence of one or more of the following events with respect to the then-current Benchmark:</w:t>
      </w:r>
    </w:p>
    <w:p>
      <w:pPr>
        <w:spacing w:after="0" w:line="150" w:lineRule="exact"/>
        <w:rPr>
          <w:sz w:val="20"/>
          <w:szCs w:val="20"/>
          <w:color w:val="auto"/>
        </w:rPr>
      </w:pPr>
    </w:p>
    <w:p>
      <w:pPr>
        <w:jc w:val="both"/>
        <w:ind w:firstLine="1304"/>
        <w:spacing w:after="0" w:line="217" w:lineRule="auto"/>
        <w:tabs>
          <w:tab w:leader="none" w:pos="194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2" w:lineRule="exact"/>
        <w:rPr>
          <w:sz w:val="20"/>
          <w:szCs w:val="20"/>
          <w:color w:val="auto"/>
        </w:rPr>
      </w:pPr>
    </w:p>
    <w:p>
      <w:pPr>
        <w:jc w:val="both"/>
        <w:ind w:firstLine="1296"/>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in the case of a Benchmark Transition Event, the earlier of (i) the applicable Benchmark Replacement Date and (ii) if such Benchmark Transition Event is a public statement or publication of information of a prospective event,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5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2.8.6</w:t>
      </w:r>
      <w:r>
        <w:rPr>
          <w:rFonts w:ascii="Times New Roman" w:cs="Times New Roman" w:eastAsia="Times New Roman" w:hAnsi="Times New Roman"/>
          <w:sz w:val="22"/>
          <w:szCs w:val="22"/>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2.8.6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7" w:name="page18"/>
    <w:bookmarkEnd w:id="17"/>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 certification regarding beneficial ownership or control as required by the Beneficial Ownership Regulation.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31 C.F.R. § 1010.230.</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any of (a) an “employee benefit plan” (as defined in ERISA) that is subject to Title I of ERISA,</w:t>
      </w:r>
    </w:p>
    <w:p>
      <w:pPr>
        <w:jc w:val="both"/>
        <w:ind w:firstLine="8"/>
        <w:spacing w:after="0" w:line="218" w:lineRule="auto"/>
        <w:tabs>
          <w:tab w:leader="none" w:pos="30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Blanket Marketing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3.28(a)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a borrowing consisting of simultaneous Loans made by the Lenders.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Date</w:t>
      </w:r>
      <w:r>
        <w:rPr>
          <w:rFonts w:ascii="Times New Roman" w:cs="Times New Roman" w:eastAsia="Times New Roman" w:hAnsi="Times New Roman"/>
          <w:sz w:val="22"/>
          <w:szCs w:val="22"/>
          <w:color w:val="auto"/>
        </w:rPr>
        <w:t>”: any day on which the Lenders make Loans to the Borrower 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BSA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any day other than a Saturday, Sunday or other day on which commercial banks are authorized to close under the laws of, or are in fact closed in, New York City, New York, London, England, or such other city and state where the Administrative Agent’s Office is located;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when used in connection with a SOFR Advance, the term “Business Day” shall also exclude any day which is not a U.S. Government Securities Business Day.</w:t>
      </w:r>
    </w:p>
    <w:p>
      <w:pPr>
        <w:spacing w:after="0" w:line="152"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Period</w:t>
      </w:r>
      <w:r>
        <w:rPr>
          <w:rFonts w:ascii="Times New Roman" w:cs="Times New Roman" w:eastAsia="Times New Roman" w:hAnsi="Times New Roman"/>
          <w:sz w:val="22"/>
          <w:szCs w:val="22"/>
          <w:color w:val="auto"/>
        </w:rPr>
        <w:t>”: each period consisting of four (4) consecutive fiscal quarters of the Borrower, irrespective of whether they are part of the same fiscal year (and, if used with reference to a particular date, such four (4) consecutive fiscal quarter period immediately preceding the immediately preceding Quarterly Payment Date).</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expenditures made by the Obligors or any other Project Company to acquire or construct fixed assets, plant and equipment (including renewals, improvements and replacements), which, in accordance with GAAP, are or should be included in “purchase of property and equipment” or similar items reflected in the Consolidated statement of cash flows of the Borrower (excluding any such expenditures that are paid out of the proceeds of Loss Proceeds or proceeds of asset sales).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xml:space="preserve">”: any lease of personal property or fixtures, the obligations of the lessee in respect of which are required in accordance with GAAP to be capitalized on a balance sheet of the lessee;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Capital Lease shall not include real estate leases.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Collateralize</w:t>
      </w:r>
      <w:r>
        <w:rPr>
          <w:rFonts w:ascii="Times New Roman" w:cs="Times New Roman" w:eastAsia="Times New Roman" w:hAnsi="Times New Roman"/>
          <w:sz w:val="21"/>
          <w:szCs w:val="21"/>
          <w:color w:val="auto"/>
        </w:rPr>
        <w:t>”: in respect of an obligation, provide and pledge and deposit with or deliver to the Administrative Agent, for the benefit of one or more LC Issuers, as collateral for LC Exposure or obligations of DSR Lenders to fund participations in respect of LC Exposure, cash collateral in Dollars, at a location and pursuant to documentation in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8" w:name="page19"/>
    <w:bookmarkEnd w:id="18"/>
    <w:p>
      <w:pPr>
        <w:ind w:right="20"/>
        <w:spacing w:after="0" w:line="236" w:lineRule="auto"/>
        <w:rPr>
          <w:sz w:val="20"/>
          <w:szCs w:val="20"/>
          <w:color w:val="auto"/>
        </w:rPr>
      </w:pPr>
      <w:r>
        <w:rPr>
          <w:rFonts w:ascii="Times New Roman" w:cs="Times New Roman" w:eastAsia="Times New Roman" w:hAnsi="Times New Roman"/>
          <w:sz w:val="22"/>
          <w:szCs w:val="22"/>
          <w:color w:val="auto"/>
        </w:rPr>
        <w:t>substance reasonably satisfactory to the Administrative Agent and each applicable LC Issuer.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a Credit Rating Agency;</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$250,000,000;</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the occurrence of any of the following: (a) Fortistar shall fail to own, directly or indirectly, beneficially and of record, on a fully diluted basis, more than fifty percent (50.0%) of the issued and outstanding Equity Interests (including the aggregate ordinary voting power and aggregate economic value represented by such issued and outstanding Equity Interests) in Opal Fuels, or shall fail to have the power, directly or indirectly, to direct or cause the direction of the management and policies of Opal Fuels; (b) Opal Fuels shall fail to own, directly, beneficially and of record, on a fully diluted basis, 100% of the issued and outstanding Equity Interests (including the aggregate ordinary voting power and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9" w:name="page20"/>
    <w:bookmarkEnd w:id="19"/>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economic value represented by such issued and outstanding Equity Interests) in the Parent, or shall fail to have the power, directly or indirectly, to direct or cause the direction of the management and policies of the Parent; (c) the Parent shall fail to own, directly, beneficially and of record, on a fully diluted basis, 100% of the issued and outstanding Equity Interests (including the aggregate ordinary voting power and aggregate economic value represented by such issued and outstanding Equity Interests) in the Borrower, or shall fail to have the power, directly or indirectly, to direct or cause the direction of the management and policies of the Borrower; (d) the Borrower shall fail to (i) own, directly or indirectly, the Equity Interests (including the aggregate ordinary voting power and aggregate economic value represented by such issued and outstanding Equity Interests) in each of the Project Companies that the Borrower owned on the Closing Date or (ii) have the power, directly or indirectly, to direct or cause the direction of the management and policies of each Project Company, except in the case of the preceding clauses (i) and (ii) as permitted by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and except further in the case of the preceding clause (ii) as to the Emerald Project Company, as provided in the Emerald RNG LLCA as in effect on the Closing Date; or (e) a Disqualified Owner shall become a beneficial owner of any voting or economic interest in the Parent or any Obligor. For the avoidance of doubt, neither the consummation of the Specified SPAC Transaction, nor subsequent transfers of publicly-traded securities, shall constitute a Change of Control.</w:t>
      </w:r>
    </w:p>
    <w:p>
      <w:pPr>
        <w:spacing w:after="0" w:line="15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(a) when used with respect to any Lender, refers to whether such Lender has a Loan or Commitment with respect to a particular Class of Loans or Commitments, (b) when used with respect to Commitments, refers to whether such Commitments are Term Loan Commitments or DSR Loan Commitments and (c) when used with respect to Loans, refers to whether such Loans are Term Loans, DSR Loans or LC Loans.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date on which all the conditions precedent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shall have been satisfied or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 Agreement), which is the date of this Agreement.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Total LC Issuer Commitment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from time to time.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all assets of the Obligors which secure the Obligations from time to time, including all assets which constitute “Collateral”, as such term is defined in any Security Document.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2.3.2(b)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with respect to an LC Issuer, such LC Issuer’s LC Issuer Commitment, and with respect to each Lender, such Lender’s Term Loan Commitment or DSR Loan Commitment (as the context requires).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the Commodity Exchange Act (7 U.S.C. § 1 et seq.).</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Commonly Controlled Entity</w:t>
      </w:r>
      <w:r>
        <w:rPr>
          <w:rFonts w:ascii="Times New Roman" w:cs="Times New Roman" w:eastAsia="Times New Roman" w:hAnsi="Times New Roman"/>
          <w:sz w:val="22"/>
          <w:szCs w:val="22"/>
          <w:color w:val="auto"/>
        </w:rPr>
        <w:t>”: an entity, whether or not incorporated, which is under common control with the Borrower within the meaning of Section 4001 of ERISA or is part of a group which includes the Borrower and which is treated as a single employer under Section 414(b) or 414(c)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0" w:name="page21"/>
    <w:bookmarkEnd w:id="20"/>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this Agreement, any Loan Document and any document, any amendment, approval, consent, information, notice, certificate, request, statement, disclosure or authorization related to any Loan Document.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Project</w:t>
      </w:r>
      <w:r>
        <w:rPr>
          <w:rFonts w:ascii="Times New Roman" w:cs="Times New Roman" w:eastAsia="Times New Roman" w:hAnsi="Times New Roman"/>
          <w:sz w:val="22"/>
          <w:szCs w:val="22"/>
          <w:color w:val="auto"/>
        </w:rPr>
        <w:t>”: a renewable gas production facility located in the United States that has a design capacity of at least 2,000 SCFM.</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refers, with respect to any Person, to the consolidation of accounts of such Person and its Subsidiaries (except to the extent otherwise expressly provided herein) in accordance with GAAP.</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Accounts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Budget</w:t>
      </w:r>
      <w:r>
        <w:rPr>
          <w:rFonts w:ascii="Times New Roman" w:cs="Times New Roman" w:eastAsia="Times New Roman" w:hAnsi="Times New Roman"/>
          <w:sz w:val="22"/>
          <w:szCs w:val="22"/>
          <w:color w:val="auto"/>
        </w:rPr>
        <w:t xml:space="preserve">”: as to any Project, a budget setting forth all expected Project Costs for such Project through Final Completion delivered to the Administrative Agent (a) with respect to each Initial Project, on the Closing Date pursuant to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color w:val="auto"/>
        </w:rPr>
        <w:t xml:space="preserve">, and (b) with respect to each Additional Project, on the Inclusion Date with respect to such Additional Project pursuant to </w:t>
      </w:r>
      <w:r>
        <w:rPr>
          <w:rFonts w:ascii="Times New Roman" w:cs="Times New Roman" w:eastAsia="Times New Roman" w:hAnsi="Times New Roman"/>
          <w:sz w:val="22"/>
          <w:szCs w:val="22"/>
          <w:u w:val="single" w:color="auto"/>
          <w:color w:val="auto"/>
        </w:rPr>
        <w:t>Section 4.3(a)(iii)</w:t>
      </w:r>
      <w:r>
        <w:rPr>
          <w:rFonts w:ascii="Times New Roman" w:cs="Times New Roman" w:eastAsia="Times New Roman" w:hAnsi="Times New Roman"/>
          <w:sz w:val="22"/>
          <w:szCs w:val="22"/>
          <w:color w:val="auto"/>
        </w:rPr>
        <w:t xml:space="preserve">, in each case as the same may be amended or modified from time to time in accordance with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Contributing Guarantors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of a Person means the power to exercise, directly or indirectly, control over the operational decisions, management and policies of such Person, whether through the ownership of voting securities, by contract. The terms “Controlled” has a correlative meanings.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Trust Office</w:t>
      </w:r>
      <w:r>
        <w:rPr>
          <w:rFonts w:ascii="Times New Roman" w:cs="Times New Roman" w:eastAsia="Times New Roman" w:hAnsi="Times New Roman"/>
          <w:sz w:val="22"/>
          <w:szCs w:val="22"/>
          <w:color w:val="auto"/>
        </w:rPr>
        <w:t xml:space="preserve">” means the office of the Collateral Agent or the Depositary Agent, as applicable, at which at any particular time its corporate trust business shall be principally administered, which office at the date of the execution of this Agreement is noted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or such other address as the Collateral Agent or the Depositary Agent, as applicable, may designate from time to time by prior written notice to the Borrower and the Administrative Agent, or the principal corporate trust office of any successor Collateral Agent or Depositary Agent, as applicable, (or such other address as such successor Collateral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1" w:name="page22"/>
    <w:bookmarkEnd w:id="21"/>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Depositary Agent, as applicable, may designate from time to time by written notice to the Borrower and the Administrative Agent).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(a) the making by any Term Lender of any Term Loan and/or (b) any DSR Credit Event, as the context may require.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each Agent, Lender and LC Issuer.</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Rating Agency</w:t>
      </w:r>
      <w:r>
        <w:rPr>
          <w:rFonts w:ascii="Times New Roman" w:cs="Times New Roman" w:eastAsia="Times New Roman" w:hAnsi="Times New Roman"/>
          <w:sz w:val="22"/>
          <w:szCs w:val="22"/>
          <w:color w:val="auto"/>
        </w:rPr>
        <w:t>”: a nationally recognized credit rating agency that evaluates the financial condition of issuers of debt instruments and then assigns a rating that reflects its assessment of the issuer’s ability to make debt payments.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Certain</w:t>
      </w:r>
      <w:r>
        <w:rPr>
          <w:rFonts w:ascii="Times New Roman" w:cs="Times New Roman" w:eastAsia="Times New Roman" w:hAnsi="Times New Roman"/>
          <w:sz w:val="22"/>
          <w:szCs w:val="22"/>
          <w:color w:val="auto"/>
        </w:rPr>
        <w:t>”: June 30, 2024.</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w:t>
      </w:r>
      <w:r>
        <w:rPr>
          <w:rFonts w:ascii="Times New Roman" w:cs="Times New Roman" w:eastAsia="Times New Roman" w:hAnsi="Times New Roman"/>
          <w:sz w:val="22"/>
          <w:szCs w:val="22"/>
          <w:color w:val="auto"/>
        </w:rPr>
        <w:t xml:space="preserve">”: for any period, the sum of (a) all interest, scheduled fees (including LC Fees and any Commitment Fees) and scheduled principal payable pursuant to Section 3.3(b)(iv)(A) of the Depositary Agreement during such period in respect of the Loans and Commitments,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(for purposes of calculating the Debt Service Coverage Ratio) any net payments paid by Borrower during such period pursuant to Secured Hedge Agreements entered into with Permitted Hedge Counterparties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(for purposes of calculating the Debt Service Coverage Ratio) any net payments received by Borrower during such period pursuant to Secured Hedge Agreements entered into with Permitted Hedge Counterparties. For the avoidance of doubt, Debt Service shall not include voluntary or mandatory prepayments pursuant to the Loan Documents (including any Required Target Debt Balance Amortization Payments) or repayment of drawings under any DSR Letter of Credit or repayment of any equity contributions from Opal Fuels.</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xml:space="preserve">”: for any Calculation Period, the ratio of (a) Operating Cash Available for Debt Service for such period to (b) Debt Service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less than four (4) full fiscal quarters have elapsed since the Term Conversion Date, the Calculation Period for the calculation of such ratio shall be the actual period of up to four (4) full fiscal quarters that have occurred after such date.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Reserve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Sizing Parameters</w:t>
      </w:r>
      <w:r>
        <w:rPr>
          <w:rFonts w:ascii="Times New Roman" w:cs="Times New Roman" w:eastAsia="Times New Roman" w:hAnsi="Times New Roman"/>
          <w:sz w:val="22"/>
          <w:szCs w:val="22"/>
          <w:color w:val="auto"/>
        </w:rPr>
        <w:t>”: with respect to a Base Case Model Re-run, minimum Projected Debt Service Coverage Ratios of 3.20:1.00 and average Projected Debt Service Coverage Ratios of 3.60:1.00.</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an Event of Default or an event which, with the giving of notice or lapse of time or both, or upon the occurrence of any other contingency, would be an Event of Default.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2" w:name="page23"/>
    <w:bookmarkEnd w:id="22"/>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2.6.6</w:t>
      </w:r>
      <w:r>
        <w:rPr>
          <w:rFonts w:ascii="Times New Roman" w:cs="Times New Roman" w:eastAsia="Times New Roman" w:hAnsi="Times New Roman"/>
          <w:sz w:val="22"/>
          <w:szCs w:val="22"/>
          <w:color w:val="auto"/>
        </w:rPr>
        <w:t>, any Lender that (a) has failed to (i) fund all or any portion of any Loans within two (2) Business Days of the date such Loan was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2.6.6</w:t>
      </w:r>
      <w:r>
        <w:rPr>
          <w:rFonts w:ascii="Times New Roman" w:cs="Times New Roman" w:eastAsia="Times New Roman" w:hAnsi="Times New Roman"/>
          <w:sz w:val="22"/>
          <w:szCs w:val="22"/>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Accounts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Agent</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Agreement</w:t>
      </w:r>
      <w:r>
        <w:rPr>
          <w:rFonts w:ascii="Times New Roman" w:cs="Times New Roman" w:eastAsia="Times New Roman" w:hAnsi="Times New Roman"/>
          <w:sz w:val="22"/>
          <w:szCs w:val="22"/>
          <w:color w:val="auto"/>
        </w:rPr>
        <w:t>”: the Depositary Agreement, dated as of the date hereof, among Borrower, Administrative Agent, Collateral Agent and Depositary Agent.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Agreement</w:t>
      </w:r>
      <w:r>
        <w:rPr>
          <w:rFonts w:ascii="Times New Roman" w:cs="Times New Roman" w:eastAsia="Times New Roman" w:hAnsi="Times New Roman"/>
          <w:sz w:val="22"/>
          <w:szCs w:val="22"/>
          <w:color w:val="auto"/>
        </w:rPr>
        <w:t xml:space="preserve">”: collectively, each consent and agreement with respect to a Material Project Document, to the extent required pursuant to </w:t>
      </w:r>
      <w:r>
        <w:rPr>
          <w:rFonts w:ascii="Times New Roman" w:cs="Times New Roman" w:eastAsia="Times New Roman" w:hAnsi="Times New Roman"/>
          <w:sz w:val="22"/>
          <w:szCs w:val="22"/>
          <w:u w:val="single" w:color="auto"/>
          <w:color w:val="auto"/>
        </w:rPr>
        <w:t>Section 4.2(b)(ix)</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with such modifications as may be reasonably acceptable to Administrative Agent.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the Schedule attached to this Agreement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as the same may be updated pursuant to </w:t>
      </w:r>
      <w:r>
        <w:rPr>
          <w:rFonts w:ascii="Times New Roman" w:cs="Times New Roman" w:eastAsia="Times New Roman" w:hAnsi="Times New Roman"/>
          <w:sz w:val="22"/>
          <w:szCs w:val="22"/>
          <w:u w:val="single" w:color="auto"/>
          <w:color w:val="auto"/>
        </w:rPr>
        <w:t>Section 4.2(b)(xii)</w:t>
      </w:r>
      <w:r>
        <w:rPr>
          <w:rFonts w:ascii="Times New Roman" w:cs="Times New Roman" w:eastAsia="Times New Roman" w:hAnsi="Times New Roman"/>
          <w:sz w:val="22"/>
          <w:szCs w:val="22"/>
          <w:color w:val="auto"/>
        </w:rPr>
        <w:t xml:space="preserve"> and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to update disclosures with respect to an Additional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3" w:name="page24"/>
    <w:bookmarkEnd w:id="23"/>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Owner</w:t>
      </w:r>
      <w:r>
        <w:rPr>
          <w:rFonts w:ascii="Times New Roman" w:cs="Times New Roman" w:eastAsia="Times New Roman" w:hAnsi="Times New Roman"/>
          <w:sz w:val="22"/>
          <w:szCs w:val="22"/>
          <w:color w:val="auto"/>
        </w:rPr>
        <w:t xml:space="preserve">”: any Person that (a) is, or is an Affiliate of a Person that is, a Sanctioned Person or (b) has been, or is an Affiliate of a Person that has been, convicted of violating any Anti-Money Laundering Laws, Anti-Corruption Laws or Sanctions, which conviction has not been overturned;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Person shall be deemed not to be a Disqualified Owner if (i) prior to the date on which such Person first becomes a beneficial owner of economic or voting interests in any Obligor, the Administrative Agent receives all documentation and other written information required under applicable “know your customer” and anti-money laundering rules, regulations and requirements (including the Patriot Act) in respect of such Person and (ii) as of the date such Person first becomes a beneficial owner of economic or voting interests in any Obligor, such Person has certified to the Administrative Agent that none of the foregoing clauses (a) and (b) are applicable to such Person.</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Suspense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 and “$”</w:t>
      </w:r>
      <w:r>
        <w:rPr>
          <w:rFonts w:ascii="Times New Roman" w:cs="Times New Roman" w:eastAsia="Times New Roman" w:hAnsi="Times New Roman"/>
          <w:sz w:val="22"/>
          <w:szCs w:val="22"/>
          <w:color w:val="auto"/>
        </w:rPr>
        <w:t>: dollars in lawful currency of the United States of America.</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Downside Pricing</w:t>
      </w:r>
      <w:r>
        <w:rPr>
          <w:rFonts w:ascii="Times New Roman" w:cs="Times New Roman" w:eastAsia="Times New Roman" w:hAnsi="Times New Roman"/>
          <w:sz w:val="22"/>
          <w:szCs w:val="22"/>
          <w:color w:val="auto"/>
        </w:rPr>
        <w:t>”: (a) for California Low Carbon Fuel Standard (LCFS) credits, $100 per metric ton, and (b) for Renewable Identification Number (RIN) credits, $1.45 per credit; in each case, taking into account any forward sales and other Hedge Agreements related thereto as entered into by the applicable Obligor in accordance with the terms of this Agreement (and accounted for at the applicable actual prices thereunder), to the extent the counterparty to any such forward sales and other Hedge Agreement is (i) NextEra Energy Marketing LLC, (ii) Investment Grade or (iii) otherwise reasonably satisfactory to the Required Lenders.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Payment</w:t>
      </w:r>
      <w:r>
        <w:rPr>
          <w:rFonts w:ascii="Times New Roman" w:cs="Times New Roman" w:eastAsia="Times New Roman" w:hAnsi="Times New Roman"/>
          <w:sz w:val="22"/>
          <w:szCs w:val="22"/>
          <w:color w:val="auto"/>
        </w:rPr>
        <w:t>”: as to any Letter of Credit, a payment made by the LC Issuer to the beneficiary under such Letter of Credit honoring the beneficiary’s presentation for a drawing thereunder.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Availability Period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DSR Loans, the period from and including the Term Conversion Date to (and excluding) the earlier of (i) the Maturity Date and (ii) the date of termination of the DSR Loan Commitments pursuant to the provisions of the Agreement;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DSR Letters of Credit and LC Loans made in respect of draws under such DSR Letters of Credit, the period from and including the Term Conversion Date to (and excluding) the earlier of (i) the date that is five (5) Business Days prior to the Maturity Date and (ii) the date of termination of the DSR Loan Commitments pursuant to the provisions of the Agreement.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Commitment Fee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2.3.2(b)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Credit Event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LC Exposure</w:t>
      </w:r>
      <w:r>
        <w:rPr>
          <w:rFonts w:ascii="Times New Roman" w:cs="Times New Roman" w:eastAsia="Times New Roman" w:hAnsi="Times New Roman"/>
          <w:sz w:val="22"/>
          <w:szCs w:val="22"/>
          <w:color w:val="auto"/>
        </w:rPr>
        <w:t xml:space="preserve">”: with respect to any LC Issuer, at any time, the sum of (a) the aggregate undrawn amount of any Letter of Credit outstanding at such time issued by such LC Issuer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outstanding amount of any LC Reimbursement Obligations owed to such LC Issuer that have not yet been reimbursed by or on behalf of the Borrower at such time.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Lender</w:t>
      </w:r>
      <w:r>
        <w:rPr>
          <w:rFonts w:ascii="Times New Roman" w:cs="Times New Roman" w:eastAsia="Times New Roman" w:hAnsi="Times New Roman"/>
          <w:sz w:val="22"/>
          <w:szCs w:val="22"/>
          <w:color w:val="auto"/>
        </w:rPr>
        <w:t xml:space="preserve">”: each Lender identified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as having a DSR Loan Commitment, and each other person that acquires the rights and obligations of any DSR Lender in accordance with </w:t>
      </w:r>
      <w:r>
        <w:rPr>
          <w:rFonts w:ascii="Times New Roman" w:cs="Times New Roman" w:eastAsia="Times New Roman" w:hAnsi="Times New Roman"/>
          <w:sz w:val="22"/>
          <w:szCs w:val="22"/>
          <w:u w:val="single" w:color="auto"/>
          <w:color w:val="auto"/>
        </w:rPr>
        <w:t>Section 2.2.12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Letter of Credit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Loan</w:t>
      </w:r>
      <w:r>
        <w:rPr>
          <w:rFonts w:ascii="Times New Roman" w:cs="Times New Roman" w:eastAsia="Times New Roman" w:hAnsi="Times New Roman"/>
          <w:sz w:val="22"/>
          <w:szCs w:val="22"/>
          <w:color w:val="auto"/>
        </w:rPr>
        <w:t xml:space="preserve">”: a loan made by the DSR Lenders pursuant to </w:t>
      </w:r>
      <w:r>
        <w:rPr>
          <w:rFonts w:ascii="Times New Roman" w:cs="Times New Roman" w:eastAsia="Times New Roman" w:hAnsi="Times New Roman"/>
          <w:sz w:val="22"/>
          <w:szCs w:val="22"/>
          <w:u w:val="single" w:color="auto"/>
          <w:color w:val="auto"/>
        </w:rPr>
        <w:t>Section 2.1.2(a)(i)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Loan Commitment</w:t>
      </w:r>
      <w:r>
        <w:rPr>
          <w:rFonts w:ascii="Times New Roman" w:cs="Times New Roman" w:eastAsia="Times New Roman" w:hAnsi="Times New Roman"/>
          <w:sz w:val="22"/>
          <w:szCs w:val="22"/>
          <w:color w:val="auto"/>
        </w:rPr>
        <w:t xml:space="preserve">”: with respect to each DSR Lender, the commitment, if any, of such Lender to make DSR Loans and to acquire participations in Letters of Credit and to make LC Loans, expressed as an amount representing the maximum aggregate amount that such Lender agrees to make available as its DSR Loans and LC Loans, as such commitment may be (a) reduced from time to time pursuant to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xml:space="preserve"> or (b) reduced or increased from time to time pursuant to assignments by or to such DSR Lender pursuant to </w:t>
      </w:r>
      <w:r>
        <w:rPr>
          <w:rFonts w:ascii="Times New Roman" w:cs="Times New Roman" w:eastAsia="Times New Roman" w:hAnsi="Times New Roman"/>
          <w:sz w:val="22"/>
          <w:szCs w:val="22"/>
          <w:u w:val="single" w:color="auto"/>
          <w:color w:val="auto"/>
        </w:rPr>
        <w:t>Section 2.2.12</w:t>
      </w:r>
      <w:r>
        <w:rPr>
          <w:rFonts w:ascii="Times New Roman" w:cs="Times New Roman" w:eastAsia="Times New Roman" w:hAnsi="Times New Roman"/>
          <w:sz w:val="22"/>
          <w:szCs w:val="22"/>
          <w:color w:val="auto"/>
        </w:rPr>
        <w:t xml:space="preserve">. The initial amount of each DSR Lender’s DSR Loan Commitment and Proportionate Share of the Total DSR Loan Commitment is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or in the assignment and assumption pursuant to which such DSR Lender shall have assumed its DSR Loan Commitment, as applicable. The initial aggregate amount of all the DSR Lenders’ DSR Loan Commitments is $5,000,000.</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Loan Facility</w:t>
      </w:r>
      <w:r>
        <w:rPr>
          <w:rFonts w:ascii="Times New Roman" w:cs="Times New Roman" w:eastAsia="Times New Roman" w:hAnsi="Times New Roman"/>
          <w:sz w:val="22"/>
          <w:szCs w:val="22"/>
          <w:color w:val="auto"/>
        </w:rPr>
        <w:t>”: the DSR Loan Commitments and the LC Issuer Commitments with respect to Letters of Credit and the extensions of credit made under the Agreement by the LC Issuers with respect to Letters of Credit and the DSR Lenders.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Note(s)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Required Balance</w:t>
      </w:r>
      <w:r>
        <w:rPr>
          <w:rFonts w:ascii="Times New Roman" w:cs="Times New Roman" w:eastAsia="Times New Roman" w:hAnsi="Times New Roman"/>
          <w:sz w:val="22"/>
          <w:szCs w:val="22"/>
          <w:color w:val="auto"/>
        </w:rPr>
        <w:t>” has the meaning given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any of the member states of the European Union, Iceland, Liechtenstein, and Norway.</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have the meanings assigned to them, respectively, by 15 USC §7006, as it may be amended from time to time.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any Person that meets the requirements to be an assignee under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Bank</w:t>
      </w:r>
      <w:r>
        <w:rPr>
          <w:rFonts w:ascii="Times New Roman" w:cs="Times New Roman" w:eastAsia="Times New Roman" w:hAnsi="Times New Roman"/>
          <w:sz w:val="22"/>
          <w:szCs w:val="22"/>
          <w:color w:val="auto"/>
        </w:rPr>
        <w:t xml:space="preserve">”: individually and collectively, (a) the Administrative Agent in its separate capacity as a depository bank, (b) any Lender and (c) any other bank that is a Federal or state chartered bank or a Federal or state licensed branch of a foreign bank, has assets in excess of $250,000,000 and has (in the case of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executed and delivered to the Administrative Agent a Control Agreement in form and substance reasonably satisfactory to the Administrative Agent, covering all Local Accounts it maintains.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Emerald Project Company</w:t>
      </w:r>
      <w:r>
        <w:rPr>
          <w:rFonts w:ascii="Times New Roman" w:cs="Times New Roman" w:eastAsia="Times New Roman" w:hAnsi="Times New Roman"/>
          <w:sz w:val="22"/>
          <w:szCs w:val="22"/>
          <w:color w:val="auto"/>
        </w:rPr>
        <w:t>”: Emerald RNG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5" w:name="page26"/>
    <w:bookmarkEnd w:id="25"/>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Emerald RNG LLCA</w:t>
      </w:r>
      <w:r>
        <w:rPr>
          <w:rFonts w:ascii="Times New Roman" w:cs="Times New Roman" w:eastAsia="Times New Roman" w:hAnsi="Times New Roman"/>
          <w:sz w:val="22"/>
          <w:szCs w:val="22"/>
          <w:color w:val="auto"/>
        </w:rPr>
        <w:t>”: the Limited Liability Company Agreement of the Emerald Project Company dated as of December 13, 2021, as it may be amended or modified from time to time in accordance with the terms thereof</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Emerald RNG Project</w:t>
      </w:r>
      <w:r>
        <w:rPr>
          <w:rFonts w:ascii="Times New Roman" w:cs="Times New Roman" w:eastAsia="Times New Roman" w:hAnsi="Times New Roman"/>
          <w:sz w:val="22"/>
          <w:szCs w:val="22"/>
          <w:color w:val="auto"/>
        </w:rPr>
        <w:t>”: the landfill renewable natural gas development project located in Northville, Michigan, which has a designed capacity of approximately 9,000 SCFM and is owned by the Emerald Project Company.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Emergency Operating Costs</w:t>
      </w:r>
      <w:r>
        <w:rPr>
          <w:rFonts w:ascii="Times New Roman" w:cs="Times New Roman" w:eastAsia="Times New Roman" w:hAnsi="Times New Roman"/>
          <w:sz w:val="22"/>
          <w:szCs w:val="22"/>
          <w:color w:val="auto"/>
        </w:rPr>
        <w:t>”: those amounts required to be expended for the purchase of goods and services in order to prevent or mitigate an unforeseeable event or circumstances that, in the good faith judgment of Borrower, necessitates the taking of immediate measures to prevent or mitigate injury to Persons or loss of property or environmental contamination.</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ambient air, indoor air, surface water, groundwater, drinking water, soil, surface and subsurface strata, natural resources such as wetland, flora and fauna, and any other environmental media.</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Costs</w:t>
      </w:r>
      <w:r>
        <w:rPr>
          <w:rFonts w:ascii="Times New Roman" w:cs="Times New Roman" w:eastAsia="Times New Roman" w:hAnsi="Times New Roman"/>
          <w:sz w:val="22"/>
          <w:szCs w:val="22"/>
          <w:color w:val="auto"/>
        </w:rPr>
        <w:t>”: any and all costs or expenses (including, without limitation, attorneys’ and consultants’ fees, investigation and laboratory fees, response costs, court costs and litigation expenses) of whatever kind or nature, known or unknown, contingent or otherwise, arising out of, or in any way relating to any violation of, noncompliance with or liability under any Environmental Laws, releases of Hazardous Substances, or any orders, requirements, demands, or investigations of any Person related to any Environmental Laws. Environmental Costs include any and all of the foregoing, without regard to whether they arise out of or are related to any past, pending or threatened proceeding of any kind.</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Credits</w:t>
      </w:r>
      <w:r>
        <w:rPr>
          <w:rFonts w:ascii="Times New Roman" w:cs="Times New Roman" w:eastAsia="Times New Roman" w:hAnsi="Times New Roman"/>
          <w:sz w:val="22"/>
          <w:szCs w:val="22"/>
          <w:color w:val="auto"/>
        </w:rPr>
        <w:t>”: any environmental credit, offset, attribute or other entitlement generated under any federal, state, local or other law, including those attributable to biogas resources, renewable natural gas and/or natural gas (including RINs), state low carbon fuel standards (including LCFS), carbon offsets or carbon allowance, in each case to the extent owned by an Obligor, but excluding any Incentives.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all laws (including common law), rules, orders, regulations, statutes, ordinances, codes, decrees, judgments, injunctions, notices or requirements issued, promulgated or entered into by any Governmental Authority, the environment, pollution, protection, preservation or reclamation of natural resources or the environment, the management, release or threatened release of any Hazardous Substances or to health and safety matters, including the Clean Water Act also known as the Federal Water Pollution Control Act (“</w:t>
      </w:r>
      <w:r>
        <w:rPr>
          <w:rFonts w:ascii="Times New Roman" w:cs="Times New Roman" w:eastAsia="Times New Roman" w:hAnsi="Times New Roman"/>
          <w:sz w:val="21"/>
          <w:szCs w:val="21"/>
          <w:u w:val="single" w:color="auto"/>
          <w:color w:val="auto"/>
        </w:rPr>
        <w:t>FWPCA</w:t>
      </w:r>
      <w:r>
        <w:rPr>
          <w:rFonts w:ascii="Times New Roman" w:cs="Times New Roman" w:eastAsia="Times New Roman" w:hAnsi="Times New Roman"/>
          <w:sz w:val="21"/>
          <w:szCs w:val="21"/>
          <w:color w:val="auto"/>
        </w:rPr>
        <w:t xml:space="preserve"> ” ) 33 U.S.C. § 1251 et seq., the Clean Air Act (“</w:t>
      </w:r>
      <w:r>
        <w:rPr>
          <w:rFonts w:ascii="Times New Roman" w:cs="Times New Roman" w:eastAsia="Times New Roman" w:hAnsi="Times New Roman"/>
          <w:sz w:val="21"/>
          <w:szCs w:val="21"/>
          <w:u w:val="single" w:color="auto"/>
          <w:color w:val="auto"/>
        </w:rPr>
        <w:t>CAA</w:t>
      </w:r>
      <w:r>
        <w:rPr>
          <w:rFonts w:ascii="Times New Roman" w:cs="Times New Roman" w:eastAsia="Times New Roman" w:hAnsi="Times New Roman"/>
          <w:sz w:val="21"/>
          <w:szCs w:val="21"/>
          <w:color w:val="auto"/>
        </w:rPr>
        <w:t>” ), 42 U.S.C. §§ 7401 et seq., the Federal Insecticide, Fungicide and Rodenticide Act (“</w:t>
      </w:r>
      <w:r>
        <w:rPr>
          <w:rFonts w:ascii="Times New Roman" w:cs="Times New Roman" w:eastAsia="Times New Roman" w:hAnsi="Times New Roman"/>
          <w:sz w:val="21"/>
          <w:szCs w:val="21"/>
          <w:u w:val="single" w:color="auto"/>
          <w:color w:val="auto"/>
        </w:rPr>
        <w:t>FIFRA</w:t>
      </w:r>
      <w:r>
        <w:rPr>
          <w:rFonts w:ascii="Times New Roman" w:cs="Times New Roman" w:eastAsia="Times New Roman" w:hAnsi="Times New Roman"/>
          <w:sz w:val="21"/>
          <w:szCs w:val="21"/>
          <w:color w:val="auto"/>
        </w:rPr>
        <w:t>”), 7 U.S.C. §§ 136 et seq., the Surface Mining Control and Reclamation Act (“</w:t>
      </w:r>
      <w:r>
        <w:rPr>
          <w:rFonts w:ascii="Times New Roman" w:cs="Times New Roman" w:eastAsia="Times New Roman" w:hAnsi="Times New Roman"/>
          <w:sz w:val="21"/>
          <w:szCs w:val="21"/>
          <w:u w:val="single" w:color="auto"/>
          <w:color w:val="auto"/>
        </w:rPr>
        <w:t>SMCRA</w:t>
      </w:r>
      <w:r>
        <w:rPr>
          <w:rFonts w:ascii="Times New Roman" w:cs="Times New Roman" w:eastAsia="Times New Roman" w:hAnsi="Times New Roman"/>
          <w:sz w:val="21"/>
          <w:szCs w:val="21"/>
          <w:color w:val="auto"/>
        </w:rPr>
        <w:t>”), 30 U.S.C. §§ 1201 et seq., the Comprehensive Environmental Response, Compensation and Liability Act (“</w:t>
      </w:r>
      <w:r>
        <w:rPr>
          <w:rFonts w:ascii="Times New Roman" w:cs="Times New Roman" w:eastAsia="Times New Roman" w:hAnsi="Times New Roman"/>
          <w:sz w:val="21"/>
          <w:szCs w:val="21"/>
          <w:u w:val="single" w:color="auto"/>
          <w:color w:val="auto"/>
        </w:rPr>
        <w:t>CERCLA</w:t>
      </w:r>
      <w:r>
        <w:rPr>
          <w:rFonts w:ascii="Times New Roman" w:cs="Times New Roman" w:eastAsia="Times New Roman" w:hAnsi="Times New Roman"/>
          <w:sz w:val="21"/>
          <w:szCs w:val="21"/>
          <w:color w:val="auto"/>
        </w:rPr>
        <w:t>”), 42 U.S.C. § 9601 et seq., the Superfund Amendment and Reauthorization Act of 1986 (“</w:t>
      </w:r>
      <w:r>
        <w:rPr>
          <w:rFonts w:ascii="Times New Roman" w:cs="Times New Roman" w:eastAsia="Times New Roman" w:hAnsi="Times New Roman"/>
          <w:sz w:val="21"/>
          <w:szCs w:val="21"/>
          <w:u w:val="single" w:color="auto"/>
          <w:color w:val="auto"/>
        </w:rPr>
        <w:t>SARA</w:t>
      </w:r>
      <w:r>
        <w:rPr>
          <w:rFonts w:ascii="Times New Roman" w:cs="Times New Roman" w:eastAsia="Times New Roman" w:hAnsi="Times New Roman"/>
          <w:sz w:val="21"/>
          <w:szCs w:val="21"/>
          <w:color w:val="auto"/>
        </w:rPr>
        <w:t>” ), Public Law 99 499, 100 Stat. 1613, the Emergency Planning and Community Right to Know Act (“</w:t>
      </w:r>
      <w:r>
        <w:rPr>
          <w:rFonts w:ascii="Times New Roman" w:cs="Times New Roman" w:eastAsia="Times New Roman" w:hAnsi="Times New Roman"/>
          <w:sz w:val="21"/>
          <w:szCs w:val="21"/>
          <w:u w:val="single" w:color="auto"/>
          <w:color w:val="auto"/>
        </w:rPr>
        <w:t>ECPCRKA</w:t>
      </w:r>
      <w:r>
        <w:rPr>
          <w:rFonts w:ascii="Times New Roman" w:cs="Times New Roman" w:eastAsia="Times New Roman" w:hAnsi="Times New Roman"/>
          <w:sz w:val="21"/>
          <w:szCs w:val="21"/>
          <w:color w:val="auto"/>
        </w:rPr>
        <w:t>” ), 42 U.S.C. § 11001 et seq., the Resource Conservation and Recovery Act (“</w:t>
      </w:r>
      <w:r>
        <w:rPr>
          <w:rFonts w:ascii="Times New Roman" w:cs="Times New Roman" w:eastAsia="Times New Roman" w:hAnsi="Times New Roman"/>
          <w:sz w:val="21"/>
          <w:szCs w:val="21"/>
          <w:u w:val="single" w:color="auto"/>
          <w:color w:val="auto"/>
        </w:rPr>
        <w:t>RCRA</w:t>
      </w:r>
      <w:r>
        <w:rPr>
          <w:rFonts w:ascii="Times New Roman" w:cs="Times New Roman" w:eastAsia="Times New Roman" w:hAnsi="Times New Roman"/>
          <w:sz w:val="21"/>
          <w:szCs w:val="21"/>
          <w:color w:val="auto"/>
        </w:rPr>
        <w:t>” ), 42 U.S.C. § 6901 et seq., the Occupational Safety and Health Act as amended (“</w:t>
      </w:r>
      <w:r>
        <w:rPr>
          <w:rFonts w:ascii="Times New Roman" w:cs="Times New Roman" w:eastAsia="Times New Roman" w:hAnsi="Times New Roman"/>
          <w:sz w:val="21"/>
          <w:szCs w:val="21"/>
          <w:u w:val="single" w:color="auto"/>
          <w:color w:val="auto"/>
        </w:rPr>
        <w:t>OSHA</w:t>
      </w:r>
      <w:r>
        <w:rPr>
          <w:rFonts w:ascii="Times New Roman" w:cs="Times New Roman" w:eastAsia="Times New Roman" w:hAnsi="Times New Roman"/>
          <w:sz w:val="21"/>
          <w:szCs w:val="21"/>
          <w:color w:val="auto"/>
        </w:rPr>
        <w:t>” ), 29 U.S.C. § 655 and § 657, together, in each case, with any amendment thereto, and the regulations adopted and binding publications promulgated thereunder and all substitutions thereof.</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Contractors</w:t>
      </w:r>
      <w:r>
        <w:rPr>
          <w:rFonts w:ascii="Times New Roman" w:cs="Times New Roman" w:eastAsia="Times New Roman" w:hAnsi="Times New Roman"/>
          <w:sz w:val="22"/>
          <w:szCs w:val="22"/>
          <w:color w:val="auto"/>
        </w:rPr>
        <w:t xml:space="preserve">”: the Persons designated as “EPC Contractors”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may be updated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6" w:name="page27"/>
    <w:bookmarkEnd w:id="26"/>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Contracts</w:t>
      </w:r>
      <w:r>
        <w:rPr>
          <w:rFonts w:ascii="Times New Roman" w:cs="Times New Roman" w:eastAsia="Times New Roman" w:hAnsi="Times New Roman"/>
          <w:sz w:val="22"/>
          <w:szCs w:val="22"/>
          <w:color w:val="auto"/>
        </w:rPr>
        <w:t xml:space="preserve">”: the agreements designated as “EPC Contracts”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may be updated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Equator Principles</w:t>
      </w:r>
      <w:r>
        <w:rPr>
          <w:rFonts w:ascii="Times New Roman" w:cs="Times New Roman" w:eastAsia="Times New Roman" w:hAnsi="Times New Roman"/>
          <w:sz w:val="22"/>
          <w:szCs w:val="22"/>
          <w:color w:val="auto"/>
        </w:rPr>
        <w:t>”: the principles named “Equator Principles” – A financial industry benchmark for determining, assessing and managing social and environmental risk in projects adopted by various financing institutions in July 2020 and effective October 2020, available at: https://equator-principles.com/wp-content/uploads/2020/05/The-Equator-Principles-July-2020-v2.pdf.</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initially, for each Initial Project, and upon and following the respective Inclusion Date therefor, for each Additional Project, an Equity Commitment Letter, in substantially the form attached as Exhibit K, by and between Opal Fuels and Parent.</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w:t>
      </w:r>
      <w:r>
        <w:rPr>
          <w:rFonts w:ascii="Times New Roman" w:cs="Times New Roman" w:eastAsia="Times New Roman" w:hAnsi="Times New Roman"/>
          <w:sz w:val="22"/>
          <w:szCs w:val="22"/>
          <w:color w:val="auto"/>
        </w:rPr>
        <w:t xml:space="preserve">”: the contribution of cash by Parent to the Borrower, which is deposited in the Revenue Account and results in the Debt Service Coverage Ratio being equal to or greater than 1.20:1.00 as of the last day of a fiscal quarter. For the avoidance of doubt, cash contributed by Parent to the Borrower and deposited into the Revenue Account for the purpose of effecting an Equity Cure pursuant to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shall be deemed Operating Cash Available for Debt Service for the purposes of calculating the Debt Service Coverage Ratio as of the applicable measurement date.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with respect to any Person, any and all shares, interests, rights to purchase, warrants, options, participation or other equivalents of or interests in (however designated) equity of such Person, including any common stock, preferred stock, any limited or general partnership interest, any limited liability company membership interest and any unlimited liability company membership interests.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Employee Retirement Income Security Act of 1974, as amended from time to time, together with all rules and regulations promulgated from time to time thereunder.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the EU Bail-In Legislation Schedule published by the Loan Market Association (or any successor person), as in effect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any of the events specified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Eminent Domain</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 Obligation</w:t>
      </w:r>
      <w:r>
        <w:rPr>
          <w:rFonts w:ascii="Times New Roman" w:cs="Times New Roman" w:eastAsia="Times New Roman" w:hAnsi="Times New Roman"/>
          <w:sz w:val="22"/>
          <w:szCs w:val="22"/>
          <w:color w:val="auto"/>
        </w:rPr>
        <w:t>”: with respect to any Guarantor, any Hedge Obligation if, and to the extent that, all or a portion of the liability of such Guarantor for or the guarantee of such Guarantor of, or the grant by such Guarantor of a security interest to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7" w:name="page28"/>
    <w:bookmarkEnd w:id="27"/>
    <w:p>
      <w:pPr>
        <w:jc w:val="both"/>
        <w:spacing w:after="0" w:line="222" w:lineRule="auto"/>
        <w:rPr>
          <w:sz w:val="20"/>
          <w:szCs w:val="20"/>
          <w:color w:val="auto"/>
        </w:rPr>
      </w:pPr>
      <w:r>
        <w:rPr>
          <w:rFonts w:ascii="Times New Roman" w:cs="Times New Roman" w:eastAsia="Times New Roman" w:hAnsi="Times New Roman"/>
          <w:sz w:val="21"/>
          <w:szCs w:val="21"/>
          <w:color w:val="auto"/>
        </w:rPr>
        <w:t>such Hedge Obligation (or any liability or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liability for or the guarantee of such Guarantor or the grant of such security interest becomes effective with respect to such Hedge Obligation (such determination being made after giving effect to any applicable keepwell, support or other agreement for the benefit of the applicable Guarantor, including under the keepwell provisions in the Guaranty). If a Hedge Obligation arises under a master agreement governing more than one swap, such exclusion shall apply only to the portion of such Hedge Obligation that is attributable to swaps for which such guarantee or security interest is or becomes illegal for the reasons identified in the immediately preceding sentence of this definition.</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Term Loan or Commitment pursuant to a law in effect on the date on which (i) such Lender acquires such interest in the Term Loan or Commitment (other than pursuant to an assignment request by the Borrower under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2.6.5</w:t>
      </w:r>
      <w:r>
        <w:rPr>
          <w:rFonts w:ascii="Times New Roman" w:cs="Times New Roman" w:eastAsia="Times New Roman" w:hAnsi="Times New Roman"/>
          <w:sz w:val="22"/>
          <w:szCs w:val="22"/>
          <w:color w:val="auto"/>
        </w:rPr>
        <w:t xml:space="preserve"> and (d) any U.S. federal withholding Taxes imposed pursuant to FATCA.</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the Term Facility, the LC Facility and the DSR Loan Facility, as applicable.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Share Contribution Amount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any fee due to any Agent or any Lender hereunder or under any of the Loan Documents.</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(a) the Agency Fee Letter, (b) that certain fee letter dated as of Closing Date by and among Borrower and the Lenders as of the Closing Date and (c) the WTNA Fee Letter.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shall mean the Federal Energy Regulatory Commission or any successor thereto.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for any Project, the achievement of “Final Completion” under and as defined in the EPC Contract for such Project.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 Date</w:t>
      </w:r>
      <w:r>
        <w:rPr>
          <w:rFonts w:ascii="Times New Roman" w:cs="Times New Roman" w:eastAsia="Times New Roman" w:hAnsi="Times New Roman"/>
          <w:sz w:val="22"/>
          <w:szCs w:val="22"/>
          <w:color w:val="auto"/>
        </w:rPr>
        <w:t>”: for any Project, the date that Final Completion is achieved for such Project, as certified by a Responsible Officer of Borrower and confirmed by the Independent Engineer.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Drawing</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4.7(i)(ii)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a rate of interest equal to 1.00% per annum.</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Former Plan</w:t>
      </w:r>
      <w:r>
        <w:rPr>
          <w:rFonts w:ascii="Times New Roman" w:cs="Times New Roman" w:eastAsia="Times New Roman" w:hAnsi="Times New Roman"/>
          <w:sz w:val="22"/>
          <w:szCs w:val="22"/>
          <w:color w:val="auto"/>
        </w:rPr>
        <w:t>”: any employee benefit plan in respect of which the Borrower or a Commonly Controlled Entity could incur liability because of Section 4069 or Section 4212(c) of ERISA.</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Fortistar</w:t>
      </w:r>
      <w:r>
        <w:rPr>
          <w:rFonts w:ascii="Times New Roman" w:cs="Times New Roman" w:eastAsia="Times New Roman" w:hAnsi="Times New Roman"/>
          <w:sz w:val="22"/>
          <w:szCs w:val="22"/>
          <w:color w:val="auto"/>
        </w:rPr>
        <w:t>”: Fortistar, LLC, a Delaware limited liability company.</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at any time there is a Defaulting Lender, with respect to any LC Issuer, such Defaulting Lender’s Proportionate Share of the outstanding LC Exposure with respect to Letters of Credit issued by such LC Issuer other than LC Exposure as to which such Defaulting Lender’s participation obligation has been reallocated to other Lenders or cash collateralized in accordance with the terms hereof.</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Project</w:t>
      </w:r>
      <w:r>
        <w:rPr>
          <w:rFonts w:ascii="Times New Roman" w:cs="Times New Roman" w:eastAsia="Times New Roman" w:hAnsi="Times New Roman"/>
          <w:sz w:val="22"/>
          <w:szCs w:val="22"/>
          <w:color w:val="auto"/>
        </w:rPr>
        <w:t xml:space="preserve">”: any Project for which the conditions under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(with respect to any Initial Project) or </w:t>
      </w:r>
      <w:r>
        <w:rPr>
          <w:rFonts w:ascii="Times New Roman" w:cs="Times New Roman" w:eastAsia="Times New Roman" w:hAnsi="Times New Roman"/>
          <w:sz w:val="22"/>
          <w:szCs w:val="22"/>
          <w:u w:val="single" w:color="auto"/>
          <w:color w:val="auto"/>
        </w:rPr>
        <w:t>Sections 4.3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(with respect to any Additional Project) have been satisfied or waived by the Lenders (or the Required Lenders, as the case may be,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 such Project’s initial Borrowing has occurred.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Project Company</w:t>
      </w:r>
      <w:r>
        <w:rPr>
          <w:rFonts w:ascii="Times New Roman" w:cs="Times New Roman" w:eastAsia="Times New Roman" w:hAnsi="Times New Roman"/>
          <w:sz w:val="22"/>
          <w:szCs w:val="22"/>
          <w:color w:val="auto"/>
        </w:rPr>
        <w:t>”: a Project Company that owns a Funded Project.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Interconnection Agreements</w:t>
      </w:r>
      <w:r>
        <w:rPr>
          <w:rFonts w:ascii="Times New Roman" w:cs="Times New Roman" w:eastAsia="Times New Roman" w:hAnsi="Times New Roman"/>
          <w:sz w:val="22"/>
          <w:szCs w:val="22"/>
          <w:color w:val="auto"/>
        </w:rPr>
        <w:t xml:space="preserve">”: the agreements designated as “Gas Interconnection Agreements”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3.10(a)</w:t>
      </w:r>
      <w:r>
        <w:rPr>
          <w:rFonts w:ascii="Times New Roman" w:cs="Times New Roman" w:eastAsia="Times New Roman" w:hAnsi="Times New Roman"/>
          <w:sz w:val="22"/>
          <w:szCs w:val="22"/>
          <w:color w:val="auto"/>
        </w:rPr>
        <w:t xml:space="preserve">, as the same may be updated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and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29" w:name="page30"/>
    <w:bookmarkEnd w:id="29"/>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Supply Agreements</w:t>
      </w:r>
      <w:r>
        <w:rPr>
          <w:rFonts w:ascii="Times New Roman" w:cs="Times New Roman" w:eastAsia="Times New Roman" w:hAnsi="Times New Roman"/>
          <w:sz w:val="22"/>
          <w:szCs w:val="22"/>
          <w:color w:val="auto"/>
        </w:rPr>
        <w:t xml:space="preserve">”: the agreements designated as “Gas Supply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GFL Consent</w:t>
      </w:r>
      <w:r>
        <w:rPr>
          <w:rFonts w:ascii="Times New Roman" w:cs="Times New Roman" w:eastAsia="Times New Roman" w:hAnsi="Times New Roman"/>
          <w:sz w:val="22"/>
          <w:szCs w:val="22"/>
          <w:color w:val="auto"/>
        </w:rPr>
        <w:t xml:space="preserve">”: the consent and agreement, substantially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with such modifications as may be reasonably acceptable to Administrative Agent.</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any nation or government, any state, county, city or other political subdivision thereof and any entity exercising executive, legislative, judicial, regulatory or administrative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the Parent, each Obligor and any other Person that may hereafter join and enter into any Security Document as a grantor of a security interest in any Collateral securing the whole or any part of the Obligations.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8.1</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each of (a) each Intermediate Holdco (b) each wholly-owned Project Company, (c) each other wholly-owned Subsidiary of the Borrower that is or becomes a Guarantor or Grantor pursuant to the terms of the Loan Documents (which such Person shall join and enter into this Agreement or another Guaranty as a Guarantor as provided herein) and (d) any other Person that may hereafter join and enter into any Guaranty as a guarantor of the whole or any part of the Obligations.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the guaranty set forth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any other guaranty of the Obligations executed by a Guarantor in favor of the Administrative Agent, for the benefit of the Credit Parties, in form and substance reasonably satisfactory to the Administrative Agent.</w:t>
      </w:r>
    </w:p>
    <w:p>
      <w:pPr>
        <w:spacing w:after="0" w:line="15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 Obligation</w:t>
      </w:r>
      <w:r>
        <w:rPr>
          <w:rFonts w:ascii="Times New Roman" w:cs="Times New Roman" w:eastAsia="Times New Roman" w:hAnsi="Times New Roman"/>
          <w:sz w:val="21"/>
          <w:szCs w:val="21"/>
          <w:color w:val="auto"/>
        </w:rPr>
        <w:t>”: of or by any Person shall mean any obligation, contingent or otherwise, of such Person, guaranteeing or entered into for the purpose of guaranteeing any Indebtedness of any 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xml:space="preserve">”)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holder of such Indebtedness of the payment of such Indebtedness, or (c) to maintain working capital, equity or other financial statement condition or liquidity of the Primary Obligor so as to enable the Primary Obligor to pay such Indebtedness, and any other contract which, in economic effect, is substantially equivalent to a guarantee;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“Guaranty Obligation” shall not include endorsements for collection or deposit of instruments in the ordinary course of business.</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any and all wastes, materials and substances defined or regulated in, or for which standards of conduct or liability are or may be imposed pursuant to, any Environmental Law, including radioactive waste, asbestos, asbestos-containing materials, radon gas, urea formaldehyde foam insulation, poly- and per-fluoroalkyl substances, noise, odor, toxic mold, polychlorinated biphenyls, petroleum products and by-products and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0" w:name="page31"/>
    <w:bookmarkEnd w:id="30"/>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Breaking Fees</w:t>
      </w:r>
      <w:r>
        <w:rPr>
          <w:rFonts w:ascii="Times New Roman" w:cs="Times New Roman" w:eastAsia="Times New Roman" w:hAnsi="Times New Roman"/>
          <w:sz w:val="22"/>
          <w:szCs w:val="22"/>
          <w:color w:val="auto"/>
        </w:rPr>
        <w:t>”: all termination amounts, costs, fees and expenses incurred by the Borrower in connection with any unwinding, breach or termination of any Secured Hedge Agreement.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Obligation</w:t>
      </w:r>
      <w:r>
        <w:rPr>
          <w:rFonts w:ascii="Times New Roman" w:cs="Times New Roman" w:eastAsia="Times New Roman" w:hAnsi="Times New Roman"/>
          <w:sz w:val="22"/>
          <w:szCs w:val="22"/>
          <w:color w:val="auto"/>
        </w:rPr>
        <w:t>”: with respect to any Obligor, any obligation to pay or perform under any agreement, contract or transaction that constitutes a “swap” within the meaning of Section 1a(47) of the Commodity Exchange Act.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Termination Payment</w:t>
      </w:r>
      <w:r>
        <w:rPr>
          <w:rFonts w:ascii="Times New Roman" w:cs="Times New Roman" w:eastAsia="Times New Roman" w:hAnsi="Times New Roman"/>
          <w:sz w:val="22"/>
          <w:szCs w:val="22"/>
          <w:color w:val="auto"/>
        </w:rPr>
        <w:t>”: the amount payable to or by the Borrower in connection with an early termination (whether as a result of the occurrence of an event of default or other termination event) of any Secured Hedge Agreement in accordance with the terms thereof, which amount shall be the Hedge Termination Value.</w:t>
      </w:r>
    </w:p>
    <w:p>
      <w:pPr>
        <w:spacing w:after="0" w:line="15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Termination Value</w:t>
      </w:r>
      <w:r>
        <w:rPr>
          <w:rFonts w:ascii="Times New Roman" w:cs="Times New Roman" w:eastAsia="Times New Roman" w:hAnsi="Times New Roman"/>
          <w:sz w:val="21"/>
          <w:szCs w:val="21"/>
          <w:color w:val="auto"/>
        </w:rPr>
        <w:t>”: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w:t>
      </w:r>
    </w:p>
    <w:p>
      <w:pPr>
        <w:spacing w:after="0" w:line="2" w:lineRule="exact"/>
        <w:rPr>
          <w:sz w:val="20"/>
          <w:szCs w:val="20"/>
          <w:color w:val="auto"/>
        </w:rPr>
      </w:pPr>
    </w:p>
    <w:p>
      <w:pPr>
        <w:jc w:val="both"/>
        <w:ind w:firstLine="8"/>
        <w:spacing w:after="0" w:line="214" w:lineRule="auto"/>
        <w:tabs>
          <w:tab w:leader="none" w:pos="3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the Administrative Agent or any Affiliate of a Lender or the Administrative Agent).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IE Requisition Certificate</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Incentives</w:t>
      </w:r>
      <w:r>
        <w:rPr>
          <w:rFonts w:ascii="Times New Roman" w:cs="Times New Roman" w:eastAsia="Times New Roman" w:hAnsi="Times New Roman"/>
          <w:sz w:val="22"/>
          <w:szCs w:val="22"/>
          <w:color w:val="auto"/>
        </w:rPr>
        <w:t>”: any tax benefits, tax credits, or other financial incentives, whether federal, state or other, resulting from construction, ownership, operation, maintenance or other use of any Project owned by any Project Company. As to any Project and as between the Lenders and the Obligors, the applicable Project Company shall retain all rights to all Incentives associated with such Project.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Inclusion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Project</w:t>
      </w:r>
      <w:r>
        <w:rPr>
          <w:rFonts w:ascii="Times New Roman" w:cs="Times New Roman" w:eastAsia="Times New Roman" w:hAnsi="Times New Roman"/>
          <w:sz w:val="22"/>
          <w:szCs w:val="22"/>
          <w:color w:val="auto"/>
        </w:rPr>
        <w:t>”: a renewable natural gas project as may be designated as an Incremental Project from time to time by the Borrower in a written notice to the Administrative Agent and that is acceptable to the Lenders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Satisfaction Date</w:t>
      </w:r>
      <w:r>
        <w:rPr>
          <w:rFonts w:ascii="Times New Roman" w:cs="Times New Roman" w:eastAsia="Times New Roman" w:hAnsi="Times New Roman"/>
          <w:sz w:val="22"/>
          <w:szCs w:val="22"/>
          <w:color w:val="auto"/>
        </w:rPr>
        <w:t>”: the date that each of the following conditions is satisfied or waived by the</w:t>
      </w:r>
    </w:p>
    <w:p>
      <w:pPr>
        <w:spacing w:after="0" w:line="204" w:lineRule="auto"/>
        <w:rPr>
          <w:sz w:val="20"/>
          <w:szCs w:val="20"/>
          <w:color w:val="auto"/>
        </w:rPr>
      </w:pPr>
      <w:r>
        <w:rPr>
          <w:rFonts w:ascii="Times New Roman" w:cs="Times New Roman" w:eastAsia="Times New Roman" w:hAnsi="Times New Roman"/>
          <w:sz w:val="22"/>
          <w:szCs w:val="22"/>
          <w:color w:val="auto"/>
        </w:rPr>
        <w:t xml:space="preserve">Lenders: (a) up to four (4) Incremental Projects satisfy the applicable conditions under </w:t>
      </w:r>
      <w:r>
        <w:rPr>
          <w:rFonts w:ascii="Times New Roman" w:cs="Times New Roman" w:eastAsia="Times New Roman" w:hAnsi="Times New Roman"/>
          <w:sz w:val="22"/>
          <w:szCs w:val="22"/>
          <w:u w:val="single" w:color="auto"/>
          <w:color w:val="auto"/>
        </w:rPr>
        <w:t>Sections 4.3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(b) written consent</w:t>
      </w:r>
    </w:p>
    <w:p>
      <w:pPr>
        <w:spacing w:after="0" w:line="205" w:lineRule="auto"/>
        <w:rPr>
          <w:sz w:val="20"/>
          <w:szCs w:val="20"/>
          <w:color w:val="auto"/>
        </w:rPr>
      </w:pPr>
      <w:r>
        <w:rPr>
          <w:rFonts w:ascii="Times New Roman" w:cs="Times New Roman" w:eastAsia="Times New Roman" w:hAnsi="Times New Roman"/>
          <w:sz w:val="22"/>
          <w:szCs w:val="22"/>
          <w:color w:val="auto"/>
        </w:rPr>
        <w:t>of the Lenders and LC Issuers (in their sole discretion) has been provided to each of the Incremental Projects included in the</w:t>
      </w:r>
    </w:p>
    <w:p>
      <w:pPr>
        <w:spacing w:after="0" w:line="205" w:lineRule="auto"/>
        <w:rPr>
          <w:sz w:val="20"/>
          <w:szCs w:val="20"/>
          <w:color w:val="auto"/>
        </w:rPr>
      </w:pPr>
      <w:r>
        <w:rPr>
          <w:rFonts w:ascii="Times New Roman" w:cs="Times New Roman" w:eastAsia="Times New Roman" w:hAnsi="Times New Roman"/>
          <w:sz w:val="22"/>
          <w:szCs w:val="22"/>
          <w:color w:val="auto"/>
        </w:rPr>
        <w:t>preceding clause (a); (c) related amendments to the Loan Documents, satisfactory to the Lenders, shall be effective; and (d) due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diligence regarding the applicable Incremental Projects has been completed to the satisfaction of the Lenders and LC Issuers.</w:t>
      </w:r>
    </w:p>
    <w:p>
      <w:pPr>
        <w:spacing w:after="0" w:line="155"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at any date, (a) all indebtedness, liabilities and obligations of such Person for borrowed money (including, in the case of the any Obligor, without duplication, indebtedness hereunder), (b) all indebtedness evidenced by notes, bonds, debentures or similar instruments, (c) all obligations of such Person under Capital Leases, (d) all obligations of such Person in respect of acceptances (as defined in Section 3-410 of the UCC) issued or created for the account of such Person, (e) the undrawn amount of all letters of credit issued for the account of such Person and (without duplication) all unreimbursed drafts drawn thereunder, (f) all indebtedness of such Person for the deferred purchase price of property or services (other than trade liabilities incurred in the ordinary course of business and payable in accordance with customary practices), (g) all indebtedness or obligations of the types referred to in the preceding clauses (a) through (f) above secured by any Lien on any property owned by such Person even though such Person has not assumed or otherwise become liable for the payment thereof,</w:t>
      </w:r>
    </w:p>
    <w:p>
      <w:pPr>
        <w:spacing w:after="0" w:line="3" w:lineRule="exact"/>
        <w:rPr>
          <w:sz w:val="20"/>
          <w:szCs w:val="20"/>
          <w:color w:val="auto"/>
        </w:rPr>
      </w:pPr>
    </w:p>
    <w:p>
      <w:pPr>
        <w:jc w:val="both"/>
        <w:ind w:firstLine="8"/>
        <w:spacing w:after="0" w:line="209" w:lineRule="auto"/>
        <w:tabs>
          <w:tab w:leader="none" w:pos="31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Guaranty Obligations of such Person, in each case determined as at such date, without duplication and in accordance with GAAP and (i) all net obligations of such Person under any Hedge Agreements (which, on any date, shall be deemed to be the Hedge Termination Value thereof as of such date). The Indebtedness of any Person shall include the Indebtedness of any partnership in which such Person is a general partner, unless such partnership Indebtedness is without recourse to such general partner. The term “Indebtedness”, when used with respect to any Person, shall include all liabilities and obligations of such Person in respect of any of the items specified above, irrespective of whether GAAP requires that such liabilities and obligations be reported as indebtedness on such Person’s financial statements or whether such Person actually reports such liabilities and obligations as indebtedness on its financial statements.</w:t>
      </w:r>
    </w:p>
    <w:p>
      <w:pPr>
        <w:spacing w:after="0" w:line="158"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(a) Taxes, other than Excluded Taxes, imposed on or with respect to any payment made by or on account of any obligation of any Obligor or Guarantor under any Loan Document and (b) to the extent not otherwise described in clause (a), Other Taxes.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Engineer</w:t>
      </w:r>
      <w:r>
        <w:rPr>
          <w:rFonts w:ascii="Times New Roman" w:cs="Times New Roman" w:eastAsia="Times New Roman" w:hAnsi="Times New Roman"/>
          <w:sz w:val="21"/>
          <w:szCs w:val="21"/>
          <w:color w:val="auto"/>
        </w:rPr>
        <w:t>”: Luminate, LLC or another engineering consultant reasonably acceptable to the Lenders.</w:t>
      </w:r>
    </w:p>
    <w:p>
      <w:pPr>
        <w:spacing w:after="0" w:line="19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Engineer Report</w:t>
      </w:r>
      <w:r>
        <w:rPr>
          <w:rFonts w:ascii="Times New Roman" w:cs="Times New Roman" w:eastAsia="Times New Roman" w:hAnsi="Times New Roman"/>
          <w:sz w:val="22"/>
          <w:szCs w:val="22"/>
          <w:color w:val="auto"/>
        </w:rPr>
        <w:t>”: the report entitled “Prince William &amp; Arbor Hills Renewable Gas Energy Production Facilities Independent Engineer’s Report”, dated as of May 25, 2022, and delivered by the Independent Engineer, including all exhibits, appendices and any other attachments.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Projects</w:t>
      </w:r>
      <w:r>
        <w:rPr>
          <w:rFonts w:ascii="Times New Roman" w:cs="Times New Roman" w:eastAsia="Times New Roman" w:hAnsi="Times New Roman"/>
          <w:sz w:val="22"/>
          <w:szCs w:val="22"/>
          <w:color w:val="auto"/>
        </w:rPr>
        <w:t>”: the Prince William RNG Project and the Emerald RNG Project.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Consultant</w:t>
      </w:r>
      <w:r>
        <w:rPr>
          <w:rFonts w:ascii="Times New Roman" w:cs="Times New Roman" w:eastAsia="Times New Roman" w:hAnsi="Times New Roman"/>
          <w:sz w:val="22"/>
          <w:szCs w:val="22"/>
          <w:color w:val="auto"/>
        </w:rPr>
        <w:t>”: Moore-McNeil, LLC, or another insurance consultant reasonably acceptable to the</w:t>
      </w: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82" w:right="339" w:bottom="1440" w:gutter="0" w:footer="0" w:header="0"/>
        </w:sectPr>
      </w:pPr>
    </w:p>
    <w:bookmarkStart w:id="32" w:name="page33"/>
    <w:bookmarkEnd w:id="32"/>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Consultant Report</w:t>
      </w:r>
      <w:r>
        <w:rPr>
          <w:rFonts w:ascii="Times New Roman" w:cs="Times New Roman" w:eastAsia="Times New Roman" w:hAnsi="Times New Roman"/>
          <w:sz w:val="22"/>
          <w:szCs w:val="22"/>
          <w:color w:val="auto"/>
        </w:rPr>
        <w:t>”: a report delivered by the Insurance Consultant, including all exhibits, appendices and any other attachments thereto, in form and substance reasonably acceptable to each of the Lenders.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xml:space="preserve">”: with respect to any period for any Person, the sum of (a) the aggregate amount of interest payable by such Person during such period (determined in accordance with GAAP) in respect of its Indebtedness (including interest payable hereunder and imputed interest under Capital Leases, but excluding interest paid in kind),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as applicable) (b) the net amounts payable (or receivable) pursuant to the Secured Hedge Agreements (other than interest, termination or unwind payments thereunder) accrued during such period, in each case whether or not actually paid or received.</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in connection with a SOFR Advance, (a) initially, the period commencing on the borrowing or conversion date, as the case may be, with respect to such SOFR Advance and ending one (1) month , three (3) or six (6) months thereafter, as selected by the Borrower in its Notice of Borrowing or Notice of Conversion of Loan Type, as the case may be, given with respect thereto; and (b) thereafter, each period commencing on the last day of the immediately preceding Interest Period applicable to such SOFR Advance and ending one (1) month or three (3) months thereafter, as selected by the Borrower in a Notice of Conversion of Loan Type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all of the foregoing provisions relating to Interest Periods are subject to the following:</w:t>
      </w:r>
    </w:p>
    <w:p>
      <w:pPr>
        <w:spacing w:after="0" w:line="156" w:lineRule="exact"/>
        <w:rPr>
          <w:sz w:val="20"/>
          <w:szCs w:val="20"/>
          <w:color w:val="auto"/>
        </w:rPr>
      </w:pPr>
    </w:p>
    <w:p>
      <w:pPr>
        <w:jc w:val="both"/>
        <w:ind w:left="660" w:firstLine="644"/>
        <w:spacing w:after="0" w:line="220" w:lineRule="auto"/>
        <w:tabs>
          <w:tab w:leader="none" w:pos="19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Interest Period would otherwise end on a day that is not a U.S. Government Securities Business Day, such Interest Period shall be extended to the next succeeding U.S. Government Securities Business Day unless the result of such extension would be to carry such Interest Period into another calendar month in which event such Interest Period shall end on the immediately preceding U.S. Government Securities Business Day;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U.S. Government Securities Business Day of a calendar month (or on a day for which there is no numerically corresponding day in the calendar month at the end of such Interest Period) shall, subject to clause (iii) of this definition, end on the last U.S. Government Securities Business Day of a calendar month;</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tenor that has been removed from this definition pursuant to </w:t>
      </w:r>
      <w:r>
        <w:rPr>
          <w:rFonts w:ascii="Times New Roman" w:cs="Times New Roman" w:eastAsia="Times New Roman" w:hAnsi="Times New Roman"/>
          <w:sz w:val="22"/>
          <w:szCs w:val="22"/>
          <w:u w:val="single" w:color="auto"/>
          <w:color w:val="auto"/>
        </w:rPr>
        <w:t>Section 2.8.6</w:t>
      </w:r>
      <w:r>
        <w:rPr>
          <w:rFonts w:ascii="Times New Roman" w:cs="Times New Roman" w:eastAsia="Times New Roman" w:hAnsi="Times New Roman"/>
          <w:sz w:val="22"/>
          <w:szCs w:val="22"/>
          <w:color w:val="auto"/>
        </w:rPr>
        <w:t xml:space="preserve"> shall be available for specification in such any Notice of Borrowing or Notice of Term Conversion;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definition, each “U.S. Government Securities Business Day” shall exclude any day that is not also a Business Day.</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any Hedge Agreement entered into by the Borrower in the ordinary course of business and not for speculative purposes in order to effectively hedge interest rate exposure through a cap, collar, option, swap, swaption or other exchange of interest rates (from floating to fixed rates) with respect to any interest-bearing liability or investment of the Borrower.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Holdco</w:t>
      </w:r>
      <w:r>
        <w:rPr>
          <w:rFonts w:ascii="Times New Roman" w:cs="Times New Roman" w:eastAsia="Times New Roman" w:hAnsi="Times New Roman"/>
          <w:sz w:val="22"/>
          <w:szCs w:val="22"/>
          <w:color w:val="auto"/>
        </w:rPr>
        <w:t>”: each of Arbor Hills RNG LLC and OPAL Emerald RNG,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3" w:name="page34"/>
    <w:bookmarkEnd w:id="33"/>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w:t>
      </w:r>
      <w:r>
        <w:rPr>
          <w:rFonts w:ascii="Times New Roman" w:cs="Times New Roman" w:eastAsia="Times New Roman" w:hAnsi="Times New Roman"/>
          <w:sz w:val="22"/>
          <w:szCs w:val="22"/>
          <w:color w:val="auto"/>
        </w:rPr>
        <w:t>”: with respect to any Person, that such Person has a rating of at least BBB- by S&amp;P and at least Baa3 by Moody’s for its unsecured long-term senior debt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Person is rated by only one of S&amp;P or Moody’s, a rating complying with the foregoing requirements from only one of S&amp;P or Moody’s shall suffice) or whose obligations under any and all relevant Offtake Agreements are guaranteed in full by an unconditional guaranty of a Person with such ratings.</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in any Person means (a) any purchase or acquisition (whether for cash, property, services or securities or otherwise, and whether structured as an acquisition or as a merger or consolidation or otherwise) of any share of Equity Interests, any bond, note, debenture or other evidence of indebtedness, or any other security, issued by such Person, or of any partnership or other ownership interest in such Person, or any binding obligation or option to make such purchase or acquisition, (b) any loan, advance, or extension of credit to, any deposit with, and any contribution to the capital of, such Person, and any commitment to make such loan, advance, extension of credit, deposit or contribution to capital, and (c) any purchase of all or any integral part of the business of such Person or assets comprising such business or part thereof, and any binding obligation or option to make such purchase;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term “Investment” shall not include (a) current trade and customer accounts receivable for services rendered in the ordinary course of business of such Person and payable in accordance with customary trade terms and other investments in accounts, contract rights and chattel paper arising or acquired in the ordinary course of business of such Person or (b) Equity Interests or other securities acquired in connection with the satisfaction or enforcement of debts or claims due or owing or as security for any such debts or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debts or claims were not created for the purpose of or with a view to acquiring such stock or other securities.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w:t>
      </w:r>
      <w:r>
        <w:rPr>
          <w:rFonts w:ascii="Times New Roman" w:cs="Times New Roman" w:eastAsia="Times New Roman" w:hAnsi="Times New Roman"/>
          <w:sz w:val="22"/>
          <w:szCs w:val="22"/>
          <w:color w:val="auto"/>
        </w:rPr>
        <w:t>”: International Swaps and Derivatives Association, Inc.</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w:t>
      </w:r>
      <w:r>
        <w:rPr>
          <w:rFonts w:ascii="Times New Roman" w:cs="Times New Roman" w:eastAsia="Times New Roman" w:hAnsi="Times New Roman"/>
          <w:sz w:val="22"/>
          <w:szCs w:val="22"/>
          <w:color w:val="auto"/>
        </w:rPr>
        <w:t>”: with respect to any Letter of Credit, to issue, extend the expiration date of (whether automatically or otherwise), or increase the face amount of, such Letter of Credit, or to cause any Person to do any of the foregoing. The terms “</w:t>
      </w:r>
      <w:r>
        <w:rPr>
          <w:rFonts w:ascii="Times New Roman" w:cs="Times New Roman" w:eastAsia="Times New Roman" w:hAnsi="Times New Roman"/>
          <w:sz w:val="22"/>
          <w:szCs w:val="22"/>
          <w:u w:val="single" w:color="auto"/>
          <w:color w:val="auto"/>
        </w:rPr>
        <w:t>Issued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Issuance</w:t>
      </w:r>
      <w:r>
        <w:rPr>
          <w:rFonts w:ascii="Times New Roman" w:cs="Times New Roman" w:eastAsia="Times New Roman" w:hAnsi="Times New Roman"/>
          <w:sz w:val="22"/>
          <w:szCs w:val="22"/>
          <w:color w:val="auto"/>
        </w:rPr>
        <w:t>” have correlative meanings.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at any time the sum of (a) the aggregate principal amount of all LC Loans outstanding at such time, (b) the Stated Amount of all Letters of Credit outstanding at such time and (c) the outstanding amount of any LC Reimbursement Obligations that have not yet been reimbursed by or on behalf of the Borrower at such time.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Facility</w:t>
      </w:r>
      <w:r>
        <w:rPr>
          <w:rFonts w:ascii="Times New Roman" w:cs="Times New Roman" w:eastAsia="Times New Roman" w:hAnsi="Times New Roman"/>
          <w:sz w:val="22"/>
          <w:szCs w:val="22"/>
          <w:color w:val="auto"/>
        </w:rPr>
        <w:t>”: the LC Issuer Commitments and the obligations of the DSR Lenders to participate in the Letters of Credit up to the Total LC Issuer Commitment and the extensions of credit made under the Agreement by the LC Issuers and the DSR Lenders in respect of Letters of Credit.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xml:space="preserve">”: each LC Issuer identified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as an LC Issuer, in each case in its capacity as issuer of a Letter of Credit hereunder and each other Person that acquires the rights and obligations of any LC Issuer in accordance with </w:t>
      </w:r>
      <w:r>
        <w:rPr>
          <w:rFonts w:ascii="Times New Roman" w:cs="Times New Roman" w:eastAsia="Times New Roman" w:hAnsi="Times New Roman"/>
          <w:sz w:val="22"/>
          <w:szCs w:val="22"/>
          <w:u w:val="single" w:color="auto"/>
          <w:color w:val="auto"/>
        </w:rPr>
        <w:t>Section 2.2.12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 Commitment</w:t>
      </w:r>
      <w:r>
        <w:rPr>
          <w:rFonts w:ascii="Times New Roman" w:cs="Times New Roman" w:eastAsia="Times New Roman" w:hAnsi="Times New Roman"/>
          <w:sz w:val="22"/>
          <w:szCs w:val="22"/>
          <w:color w:val="auto"/>
        </w:rPr>
        <w:t xml:space="preserve">”: at any time with respect to each LC Issuer, such Person’s commitment to issue one or more Letters of Credit, as such commitment may be (a) reduced from time to time pursuant to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xml:space="preserve"> and (b) reduced or increased from time to time pursuant to </w:t>
      </w:r>
      <w:r>
        <w:rPr>
          <w:rFonts w:ascii="Times New Roman" w:cs="Times New Roman" w:eastAsia="Times New Roman" w:hAnsi="Times New Roman"/>
          <w:sz w:val="22"/>
          <w:szCs w:val="22"/>
          <w:u w:val="single" w:color="auto"/>
          <w:color w:val="auto"/>
        </w:rPr>
        <w:t>Section 2.2.12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Loan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Reimbursement Obligation</w:t>
      </w:r>
      <w:r>
        <w:rPr>
          <w:rFonts w:ascii="Times New Roman" w:cs="Times New Roman" w:eastAsia="Times New Roman" w:hAnsi="Times New Roman"/>
          <w:sz w:val="21"/>
          <w:szCs w:val="21"/>
          <w:color w:val="auto"/>
        </w:rPr>
        <w:t>”: the obligation of Borrower to repay any Drawing Payments relating to a Letter</w:t>
      </w:r>
    </w:p>
    <w:p>
      <w:pPr>
        <w:spacing w:after="0"/>
        <w:rPr>
          <w:sz w:val="20"/>
          <w:szCs w:val="20"/>
          <w:color w:val="auto"/>
        </w:rPr>
      </w:pPr>
      <w:r>
        <w:rPr>
          <w:rFonts w:ascii="Times New Roman" w:cs="Times New Roman" w:eastAsia="Times New Roman" w:hAnsi="Times New Roman"/>
          <w:sz w:val="22"/>
          <w:szCs w:val="22"/>
          <w:color w:val="auto"/>
        </w:rPr>
        <w:t>of Credit.</w:t>
      </w:r>
    </w:p>
    <w:p>
      <w:pPr>
        <w:spacing w:after="0" w:line="155"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LCFS</w:t>
      </w:r>
      <w:r>
        <w:rPr>
          <w:rFonts w:ascii="Times New Roman" w:cs="Times New Roman" w:eastAsia="Times New Roman" w:hAnsi="Times New Roman"/>
          <w:sz w:val="22"/>
          <w:szCs w:val="22"/>
          <w:color w:val="auto"/>
        </w:rPr>
        <w:t>”: the regulatory program, including regulations and formal written policies adopted by the California Air Resources Board pursuant to the California Low Carbon Fuel Standard Regulation as set forth in Title 17, California Code of Regulations (CCR), §95480 et seq., and each successor regulation.</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as to any Lender, the office or offices of such Lender as a Lender may from time to time notify the Borrower and the Administrative Agent (or described as such in such Lender’s Administrative Questionnaire), which office may include any Affiliate of such Lender or any domestic or foreign branch of such Lender or such Affiliate. Unless the context otherwise requires each reference to a Lender shall include its applicable Lending Office.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each of the DSR Letters of Credit.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any mortgage, deed of trust, pledge, hypothecation, assignment, security deposit arrangement, encumbrance, lien (whether statutory, consensual or otherwise),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Costs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 Term Loan, a DSR Loan, or an LC Loan, as the context may require.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collectively, the Term Loans, the DSR Loans and the LC Loans.</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this Agreement, the Notes, the Security Documents, each Fee Letter and any and all other agreements, instruments and documents, including any subordination agreements, intercreditor agreements, guaranties, pledges, powers of attorney, consents or other agreements and all other writings heretofore, now or hereafter executed by the Borrower or any other Obligor or Guarantor or delivered to the Administrative Agent or any Lender in respect of the transactions contemplated by this Agreement (excluding any Secured Hedge Agreements).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Accounts</w:t>
      </w:r>
      <w:r>
        <w:rPr>
          <w:rFonts w:ascii="Times New Roman" w:cs="Times New Roman" w:eastAsia="Times New Roman" w:hAnsi="Times New Roman"/>
          <w:sz w:val="22"/>
          <w:szCs w:val="22"/>
          <w:color w:val="auto"/>
        </w:rPr>
        <w:t>”: at any time, any deposit account, securities account or commodities account (other than a Non-Material Account) maintained by an Obligor, held with an Eligible Bank and subject to a Control Agreement, which agreement shall in each case be in form and substance reasonably satisfactory to the Administrative Agent and duly executed by the applicable Grantor and account bank.</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Services Agreements</w:t>
      </w:r>
      <w:r>
        <w:rPr>
          <w:rFonts w:ascii="Times New Roman" w:cs="Times New Roman" w:eastAsia="Times New Roman" w:hAnsi="Times New Roman"/>
          <w:sz w:val="22"/>
          <w:szCs w:val="22"/>
          <w:color w:val="auto"/>
        </w:rPr>
        <w:t xml:space="preserve">”: the agreements designated as “Management Services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and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2.1.7(c)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3" w:right="339" w:bottom="1440" w:gutter="0" w:footer="0" w:header="0"/>
        </w:sectPr>
      </w:pPr>
    </w:p>
    <w:bookmarkStart w:id="35" w:name="page36"/>
    <w:bookmarkEnd w:id="35"/>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(a) a material adverse change in, or a material adverse effect on, the operations, business, assets, properties, liabilities (actual or contingent) or condition (financial or otherwise) of (i) the Prince William RNG Project, (ii) the Emerald RNG Project, and (iii) the Projects or the Borrower and its Subsidiaries, taken as a whole, (b) a material impairment of the ability of the Borrower, any Obligor or any Guarantor to perform its payment obligations under any Loan Document to which it is a party or (c) a material adverse effect upon the legality, validity, binding effect or enforceability against the Borrower, any Obligor or any Guarantor of any Loan Document to which it is a party.</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each of the Real Property Agreements, EPC Contracts, Gas Supply Agreements, Gas Interconnection Agreements, Offtake Agreements, O&amp;M Agreements (but only as of and after the initial Borrowing for the applicable Project), Management Services Agreements (but only as of and after the initial Borrowing for the applicable Project), each Additional Project Document, and each Replacement Project Document for any Material Project Document.</w:t>
      </w:r>
    </w:p>
    <w:p>
      <w:pPr>
        <w:spacing w:after="0" w:line="152"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August 4, 2027, or such earlier date on which the Term Loans become due and payable hereunder (whether by reason of acceleration, notice of prepayment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date is not a Business Day, the Maturity Date shall be the immediately preceding Business Day.</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Minimum Notice Period</w:t>
      </w:r>
      <w:r>
        <w:rPr>
          <w:rFonts w:ascii="Times New Roman" w:cs="Times New Roman" w:eastAsia="Times New Roman" w:hAnsi="Times New Roman"/>
          <w:sz w:val="21"/>
          <w:szCs w:val="21"/>
          <w:color w:val="auto"/>
        </w:rPr>
        <w:t>”: not later than 11:00 a.m., Toronto time (a) at least three (3) Business Days before the date of any Borrowing, Optional Prepayment, continuation or conversion of a Type of Loan resulting in whole or in part in one or more SOFR Term Loans or SOFR DSR Loans, and (b) at least one (1) Business Day before any Borrowing, Optional Prepayment or conversion of a Type of Loan resulting in whole or in part in one or more Base Rate Term Loans or Base Rate DSR Loans.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 Plan which is a multiemployer plan as defined in Section 4001(a)(3) of ERISA.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NGA</w:t>
      </w:r>
      <w:r>
        <w:rPr>
          <w:rFonts w:ascii="Times New Roman" w:cs="Times New Roman" w:eastAsia="Times New Roman" w:hAnsi="Times New Roman"/>
          <w:sz w:val="22"/>
          <w:szCs w:val="22"/>
          <w:color w:val="auto"/>
        </w:rPr>
        <w:t>”: the Natural Gas Act, as amended, and all rules and regulation of FERC adopted thereunder.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at any time, any Lender that is not a Defaulting Lender.</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Non-Material Account</w:t>
      </w:r>
      <w:r>
        <w:rPr>
          <w:rFonts w:ascii="Times New Roman" w:cs="Times New Roman" w:eastAsia="Times New Roman" w:hAnsi="Times New Roman"/>
          <w:sz w:val="22"/>
          <w:szCs w:val="22"/>
          <w:color w:val="auto"/>
        </w:rPr>
        <w:t>”: at any time, any deposit account, securities account or commodities account, other than a Depositary Account maintained pursuant to the Depositary Agreement by an Obligor that (a) is a payroll, trust and tax withholding accounts funded in the ordinary course of business and required by applicable Requirements of Law, (b) is a custodial account maintained on behalf of a third person other than any Obligor or is a zero balance disbursement account or (c) had, together with all other accounts included under this clause (c), an aggregate average daily credit balance of less than $200,000 during the immediately preceding three-month period.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Pledge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4.1(a)(iv)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a Term Note or a DSR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6" w:name="page37"/>
    <w:bookmarkEnd w:id="36"/>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Conversion of Loan Type</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LC Activity</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C-4</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Agreements</w:t>
      </w:r>
      <w:r>
        <w:rPr>
          <w:rFonts w:ascii="Times New Roman" w:cs="Times New Roman" w:eastAsia="Times New Roman" w:hAnsi="Times New Roman"/>
          <w:sz w:val="22"/>
          <w:szCs w:val="22"/>
          <w:color w:val="auto"/>
        </w:rPr>
        <w:t xml:space="preserve">”: the agreements designated as “O&amp;M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and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Costs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all indebtedness and other liabilities and obligations of the Obligors and Guarantors hereunder or under any other Loan Document including, without limitation, (a) the obligation to repay the Loans in full when due, (b) the obligation to pay interest on the Loans at the rates and on the dates specified herein, (c) the obligation to pay the Fees in full when due at the rates and on the dates specified herein, (d) the obligation to indemnify each Agent or any Lender as provided herein or in any other Loan Document, (e) the obligation to pay costs and expenses as provided herein or in any other Loan Document and any Erroneous Payment Subrogation Rights arising under this Agreement, (f) the obligation to pay all other amounts specified herein or in any other Loan Document and (g) any Secured Hedge Obligations.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Obligors</w:t>
      </w:r>
      <w:r>
        <w:rPr>
          <w:rFonts w:ascii="Times New Roman" w:cs="Times New Roman" w:eastAsia="Times New Roman" w:hAnsi="Times New Roman"/>
          <w:sz w:val="22"/>
          <w:szCs w:val="22"/>
          <w:color w:val="auto"/>
        </w:rPr>
        <w:t>”: collectively, the Borrower and the Guarantors other than the Parent.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Offtake Agreements</w:t>
      </w:r>
      <w:r>
        <w:rPr>
          <w:rFonts w:ascii="Times New Roman" w:cs="Times New Roman" w:eastAsia="Times New Roman" w:hAnsi="Times New Roman"/>
          <w:sz w:val="22"/>
          <w:szCs w:val="22"/>
          <w:color w:val="auto"/>
        </w:rPr>
        <w:t xml:space="preserve">”: the agreements designated as “Offtake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Opal Fuels</w:t>
      </w:r>
      <w:r>
        <w:rPr>
          <w:rFonts w:ascii="Times New Roman" w:cs="Times New Roman" w:eastAsia="Times New Roman" w:hAnsi="Times New Roman"/>
          <w:sz w:val="22"/>
          <w:szCs w:val="22"/>
          <w:color w:val="auto"/>
        </w:rPr>
        <w:t>”: Opal Fuels LLC, a Delaware limited liability company and the direct owner of 100% of the issued and outstanding Equity Interests of the Parent.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Cash Available for Debt Service</w:t>
      </w:r>
      <w:r>
        <w:rPr>
          <w:rFonts w:ascii="Times New Roman" w:cs="Times New Roman" w:eastAsia="Times New Roman" w:hAnsi="Times New Roman"/>
          <w:sz w:val="22"/>
          <w:szCs w:val="22"/>
          <w:color w:val="auto"/>
        </w:rPr>
        <w:t xml:space="preserve">”: for any period, (a) the sum of (i) all Project Revenues received by the Obligors during such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all distributions received by the Obligors from Project Companies that are not Obligors to the extent such distributions are deposited into the Revenue Account during such period pursuant to Section 3.3(a) of the Depositary Agreement,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O&amp;M Costs paid by the Obligors.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Operative Documents</w:t>
      </w:r>
      <w:r>
        <w:rPr>
          <w:rFonts w:ascii="Times New Roman" w:cs="Times New Roman" w:eastAsia="Times New Roman" w:hAnsi="Times New Roman"/>
          <w:sz w:val="22"/>
          <w:szCs w:val="22"/>
          <w:color w:val="auto"/>
        </w:rPr>
        <w:t>”: collectively, the Loan Documents and the Project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2.1.7(b)(ii)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52"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2.10.2</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Opal Fuels Parent HoldCo 2 LLC, a Delaware limited liability company and the direct owner of 100% of the issued and outstanding Equity Interests of the Borrower.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Pension Benefit Guaranty Corporation established pursuant to Subtitle A of Title IV of ERISA and any successor thereto.</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Tests</w:t>
      </w:r>
      <w:r>
        <w:rPr>
          <w:rFonts w:ascii="Times New Roman" w:cs="Times New Roman" w:eastAsia="Times New Roman" w:hAnsi="Times New Roman"/>
          <w:sz w:val="22"/>
          <w:szCs w:val="22"/>
          <w:color w:val="auto"/>
        </w:rPr>
        <w:t>”: for any Project, the “Reliability Tests”, “Design Parameter Tests” or “Performance Tests” (or similarly defined tests) under (and as defined in) the EPC Contract for such Project.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as defined in the definition of “Term SOFR”.</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any and all licenses, permits, certificates, consents, approvals, authorizations, franchises, registrations, tariffs, exemptions, variances, qualifications or other rights, privileges or approvals issued by any Governmental Authority or required under applicable law for the construction, operation, maintenance and removal of the Projects, or the sale of renewable natural gas therefrom.</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Hedge Counterparty</w:t>
      </w:r>
      <w:r>
        <w:rPr>
          <w:rFonts w:ascii="Times New Roman" w:cs="Times New Roman" w:eastAsia="Times New Roman" w:hAnsi="Times New Roman"/>
          <w:sz w:val="22"/>
          <w:szCs w:val="22"/>
          <w:color w:val="auto"/>
        </w:rPr>
        <w:t>”: any Person that, at the time that such Person enters into, or otherwise becomes a party to, an applicable Secured Hedge Agreement, is a Lender, the Administrative Agent or an Affiliate of a Lender or the Administrative Agent.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8" w:name="page39"/>
    <w:bookmarkEnd w:id="38"/>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Tax Distributions</w:t>
      </w:r>
      <w:r>
        <w:rPr>
          <w:rFonts w:ascii="Times New Roman" w:cs="Times New Roman" w:eastAsia="Times New Roman" w:hAnsi="Times New Roman"/>
          <w:sz w:val="22"/>
          <w:szCs w:val="22"/>
          <w:color w:val="auto"/>
        </w:rPr>
        <w:t>”: for the Borrower and the Parent, so long as such Person is classified as a partnership or disregarded entity for U.S. federal income tax purposes and that has not elected to be treated as a corporation for U.S. federal tax purposes, a declaration and payment of a dividend or making of a distribution by such Person to the holders of such Person’s Equity Interests in an aggregate amount not greater than the amount necessary for such holders to pay their actual state and United States income tax liabilities based on the highest blended marginal effective income tax rate with respect to income earned by such holders after deducting any unused prior losses.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 individual, partnership, limited liability company, corporation, business trust, joint stock company, trust, unincorporated association, joint venture, Governmental Authority or other entity of whatever nature.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any employee benefit plan which is covered by ERISA and in respect of which the Borrower or a Commonly Controlled Entity is an “employer” as defined in Section 3(5) of ERISA.</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as defined in the definition of “Guaranty Obligation”.</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rate of interest per annum from time to time published in the “Money Rates” section of The Wall Street Journal as being the “Prime Lending Rate” or, if more than one rate is published as the Prime Lending Rate, then the highest of such rates.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Prince William Project Company</w:t>
      </w:r>
      <w:r>
        <w:rPr>
          <w:rFonts w:ascii="Times New Roman" w:cs="Times New Roman" w:eastAsia="Times New Roman" w:hAnsi="Times New Roman"/>
          <w:sz w:val="22"/>
          <w:szCs w:val="22"/>
          <w:color w:val="auto"/>
        </w:rPr>
        <w:t>”: Prince William RNG LLC, a Delaware limited liability company</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Prince William RNG Project</w:t>
      </w:r>
      <w:r>
        <w:rPr>
          <w:rFonts w:ascii="Times New Roman" w:cs="Times New Roman" w:eastAsia="Times New Roman" w:hAnsi="Times New Roman"/>
          <w:sz w:val="22"/>
          <w:szCs w:val="22"/>
          <w:color w:val="auto"/>
        </w:rPr>
        <w:t>”: the landfill renewable natural gas development project located in Manassas, Virginia, which has a design capacity of approximately 6,000 SCFM and is owned by Prince William Project Company.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each Initial Project and, commencing with the applicable Inclusion Date thereof, each Additional</w:t>
      </w:r>
    </w:p>
    <w:p>
      <w:pPr>
        <w:spacing w:after="0"/>
        <w:rPr>
          <w:sz w:val="20"/>
          <w:szCs w:val="20"/>
          <w:color w:val="auto"/>
        </w:rPr>
      </w:pPr>
      <w:r>
        <w:rPr>
          <w:rFonts w:ascii="Times New Roman" w:cs="Times New Roman" w:eastAsia="Times New Roman" w:hAnsi="Times New Roman"/>
          <w:sz w:val="22"/>
          <w:szCs w:val="22"/>
          <w:color w:val="auto"/>
        </w:rPr>
        <w:t>Project.</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Companies</w:t>
      </w:r>
      <w:r>
        <w:rPr>
          <w:rFonts w:ascii="Times New Roman" w:cs="Times New Roman" w:eastAsia="Times New Roman" w:hAnsi="Times New Roman"/>
          <w:sz w:val="22"/>
          <w:szCs w:val="22"/>
          <w:color w:val="auto"/>
        </w:rPr>
        <w:t>”: any entity that directly owns an Initial Project or as of the applicable Inclusion Date, an Additional Project, including the Emerald Project Company and the Prince William Project Company.</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Costs</w:t>
      </w:r>
      <w:r>
        <w:rPr>
          <w:rFonts w:ascii="Times New Roman" w:cs="Times New Roman" w:eastAsia="Times New Roman" w:hAnsi="Times New Roman"/>
          <w:sz w:val="22"/>
          <w:szCs w:val="22"/>
          <w:color w:val="auto"/>
        </w:rPr>
        <w:t>”: for any Project, the following costs and expenses incurred or to be incurred on or prior to the Final Completion Date for such Project in connection with the ownership, acquisition, development, design, engineering, procurement, construction, installation, equipping, assembly, inspection, testing, completion, start-up, operation and financing of the Project (and, if and to the extent applicable, allocated amongst the Projects in the same ratable proportion as the Allocated Term Loan Commitments):</w:t>
      </w:r>
    </w:p>
    <w:p>
      <w:pPr>
        <w:spacing w:after="0" w:line="152" w:lineRule="exact"/>
        <w:rPr>
          <w:sz w:val="20"/>
          <w:szCs w:val="20"/>
          <w:color w:val="auto"/>
        </w:rPr>
      </w:pPr>
    </w:p>
    <w:p>
      <w:pPr>
        <w:jc w:val="both"/>
        <w:ind w:firstLine="1304"/>
        <w:spacing w:after="0" w:line="215"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payable under the applicable EPC Contract and the other Project Documents (including any reserves established for the payment of Remaining Costs pursuant to the Depositary Agreement), any contractor bonuses, site leasing and preparation costs, any interconnection upgrade costs payable by the Borrower, costs related to acquisition, development and construction of facilities for the receipt of natural gas, feedstocks, water and other inputs to, and to transport or deliver renewable natural gas and other outputs from, such Project, and all other amounts payable under the applicable Project Documents prior to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39" w:name="page40"/>
    <w:bookmarkEnd w:id="39"/>
    <w:p>
      <w:pPr>
        <w:spacing w:after="0" w:line="236" w:lineRule="auto"/>
        <w:rPr>
          <w:sz w:val="20"/>
          <w:szCs w:val="20"/>
          <w:color w:val="auto"/>
        </w:rPr>
      </w:pPr>
      <w:r>
        <w:rPr>
          <w:rFonts w:ascii="Times New Roman" w:cs="Times New Roman" w:eastAsia="Times New Roman" w:hAnsi="Times New Roman"/>
          <w:sz w:val="22"/>
          <w:szCs w:val="22"/>
          <w:color w:val="auto"/>
        </w:rPr>
        <w:t>Completion of such Project, including the contingency provided for in the Construction Budget and amounts payable in order to complete the Punch List for such Project;</w:t>
      </w:r>
    </w:p>
    <w:p>
      <w:pPr>
        <w:spacing w:after="0" w:line="150" w:lineRule="exact"/>
        <w:rPr>
          <w:sz w:val="20"/>
          <w:szCs w:val="20"/>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advisory, consulting, legal, accounting and other fees and related costs;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Project-related costs, including fuel-related costs and prepaid fuel costs, any development costs (including funding any mitigation measures (such as community projects and the purchase of certain nearby residences) required in connection with the Project), management services fees and expenses and costs and expenses to complete the construction and financing of the Project;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contingency funds, required reserves, start-up costs and initial working capital costs;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and sales taxes due in respect of the Project;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O&amp;M Costs incurred prior to the Term Conversion Date;</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under  the  Secured  Hedge  Agreements  entered  into  with  Permitted  Hedge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Counterparties;</w:t>
      </w:r>
    </w:p>
    <w:p>
      <w:pPr>
        <w:spacing w:after="0" w:line="155"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incurred with the negotiation and preparation of the Operative Documents and the formation of the Borrower and Parent;</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(including interest during construction), fees and other amounts payable under the Loan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costs payable under any construction management agreement or, prior to the Term Conversion Date, any administrative management agreement;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of obtaining insurance for such Project; and</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required to fund the O&amp;M Account and the Debt Service Reserve Account in accordance with the terms of the Depositary Agreement.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Modification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Documents</w:t>
      </w:r>
      <w:r>
        <w:rPr>
          <w:rFonts w:ascii="Times New Roman" w:cs="Times New Roman" w:eastAsia="Times New Roman" w:hAnsi="Times New Roman"/>
          <w:sz w:val="22"/>
          <w:szCs w:val="22"/>
          <w:color w:val="auto"/>
        </w:rPr>
        <w:t>”: the Material Project Documents and each other agreement related to the development, construction, operation, maintenance, management, administration, ownership or use of any Project, the sale of renewable natural gas therefrom, the purchase of landfill gas or manure therefor, the provision of other services thereto and Real Property rights and interests relating to the Project, in each case, entered into by, or assigned to, any Obligor.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Revenues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Schedule</w:t>
      </w:r>
      <w:r>
        <w:rPr>
          <w:rFonts w:ascii="Times New Roman" w:cs="Times New Roman" w:eastAsia="Times New Roman" w:hAnsi="Times New Roman"/>
          <w:sz w:val="22"/>
          <w:szCs w:val="22"/>
          <w:color w:val="auto"/>
        </w:rPr>
        <w:t xml:space="preserve">”: for each Project, a schedule setting forth the expected schedule and milestones for construction of such Project through Final Completion thereof, delivered to the Administrative Agent (a) with respect to the Initial Projects, on the Closing Date, and (b) with respect to any other Project, as required under </w:t>
      </w:r>
      <w:r>
        <w:rPr>
          <w:rFonts w:ascii="Times New Roman" w:cs="Times New Roman" w:eastAsia="Times New Roman" w:hAnsi="Times New Roman"/>
          <w:sz w:val="22"/>
          <w:szCs w:val="22"/>
          <w:u w:val="single" w:color="auto"/>
          <w:color w:val="auto"/>
        </w:rPr>
        <w:t>Section 4.3(a)(iii)</w:t>
      </w:r>
      <w:r>
        <w:rPr>
          <w:rFonts w:ascii="Times New Roman" w:cs="Times New Roman" w:eastAsia="Times New Roman" w:hAnsi="Times New Roman"/>
          <w:sz w:val="22"/>
          <w:szCs w:val="22"/>
          <w:color w:val="auto"/>
        </w:rPr>
        <w:t xml:space="preserve"> or from time to time in connection with any Incremental Satisfaction Date, and in each case reasonably satisfactory to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0" w:name="page41"/>
    <w:bookmarkEnd w:id="40"/>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Projected Debt Service Coverage Ratio</w:t>
      </w:r>
      <w:r>
        <w:rPr>
          <w:rFonts w:ascii="Times New Roman" w:cs="Times New Roman" w:eastAsia="Times New Roman" w:hAnsi="Times New Roman"/>
          <w:sz w:val="22"/>
          <w:szCs w:val="22"/>
          <w:color w:val="auto"/>
        </w:rPr>
        <w:t>”: as of any date, the ratio, based on the financial model utilized to create the applicable Base Case Projections of (a) Operating Cash Available for Debt Service to (b) Debt Service, calculated as of the last day of each fiscal quarter of the Borrower occurring through the Maturity Date and for the Calculation Periods ending on each fiscal quarter end.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Proportionate Share</w:t>
      </w:r>
      <w:r>
        <w:rPr>
          <w:rFonts w:ascii="Times New Roman" w:cs="Times New Roman" w:eastAsia="Times New Roman" w:hAnsi="Times New Roman"/>
          <w:sz w:val="22"/>
          <w:szCs w:val="22"/>
          <w:color w:val="auto"/>
        </w:rPr>
        <w:t xml:space="preserve">”: the percentage participation of a Lender (including any LC Issuer) at any time in the Total DSR Loan Commitment, the Total Term Loan Commitment, the total LC Exposure or the Total LC Issuer Commitment, respectively, as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Prudent Industry Practices</w:t>
      </w:r>
      <w:r>
        <w:rPr>
          <w:rFonts w:ascii="Times New Roman" w:cs="Times New Roman" w:eastAsia="Times New Roman" w:hAnsi="Times New Roman"/>
          <w:sz w:val="21"/>
          <w:szCs w:val="21"/>
          <w:color w:val="auto"/>
        </w:rPr>
        <w:t>”: any of the spectrum of practices, methods, standards and acts engaged in or adopted by a significant portion of the renewable natural gas industry in the United States that, during the relevant period of time, in the exercise of reasonable judgment in light of the facts known or that should reasonably have been known at the time a decision was made, could have been expected to accomplish the desired result consistent with good business practices, reliability, economy, and safety, and which practices, methods, standards and acts reflect due regard for operation and maintenance standards recommended by any applicable Project’s equipment suppliers and manufacturers, operational limits, and all applicable Requirements of Law. Prudent Industry Practice is not intended to be limited to the optimum practice, method, standard or act to the exclusion of all others but rather to be a spectrum of acceptable practices, methods, standards or acts.</w:t>
      </w:r>
    </w:p>
    <w:p>
      <w:pPr>
        <w:spacing w:after="0" w:line="15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a prohibited transaction class exemption issued by the U.S. Department of Labor, as any such exemption may be amended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Punch List</w:t>
      </w:r>
      <w:r>
        <w:rPr>
          <w:rFonts w:ascii="Times New Roman" w:cs="Times New Roman" w:eastAsia="Times New Roman" w:hAnsi="Times New Roman"/>
          <w:sz w:val="22"/>
          <w:szCs w:val="22"/>
          <w:color w:val="auto"/>
        </w:rPr>
        <w:t>”: for any Project, as defined in the EPC Contract for such Project.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Date</w:t>
      </w:r>
      <w:r>
        <w:rPr>
          <w:rFonts w:ascii="Times New Roman" w:cs="Times New Roman" w:eastAsia="Times New Roman" w:hAnsi="Times New Roman"/>
          <w:sz w:val="22"/>
          <w:szCs w:val="22"/>
          <w:color w:val="auto"/>
        </w:rPr>
        <w:t>”: the last Business day of each March, June, September and December, starting with September 30, 2022.</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as to any Person, all right, title and interest of such Person in and to any and all parcels of real property owned, leased or operated by the Obligor or any other Project Company together with all of such Person’s interests in all improvements and appurtenant fixtures, equipment, personal property, easements and other property and rights incidental to the ownership, lease or operation thereof.</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Agreements</w:t>
      </w:r>
      <w:r>
        <w:rPr>
          <w:rFonts w:ascii="Times New Roman" w:cs="Times New Roman" w:eastAsia="Times New Roman" w:hAnsi="Times New Roman"/>
          <w:sz w:val="22"/>
          <w:szCs w:val="22"/>
          <w:color w:val="auto"/>
        </w:rPr>
        <w:t xml:space="preserve">”: the agreements designated as “Real Property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the Administrative Agent, any Lender or any other recipient of any payment to be made by or on account of any obligation of any Obligor or Guarantor hereunder.</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(a) if such Benchmark is the Term SOFR Reference Rate, then three (3)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20" w:lineRule="auto"/>
        <w:rPr>
          <w:sz w:val="20"/>
          <w:szCs w:val="20"/>
          <w:color w:val="auto"/>
        </w:rPr>
      </w:pPr>
      <w:r>
        <w:rPr>
          <w:rFonts w:ascii="Times New Roman" w:cs="Times New Roman" w:eastAsia="Times New Roman" w:hAnsi="Times New Roman"/>
          <w:sz w:val="22"/>
          <w:szCs w:val="22"/>
          <w:color w:val="auto"/>
        </w:rPr>
        <w:t>prior to (i) if the date of such setting is a Business Day, such date or (ii) if the date of such setting is not a Business Day, the Business Day immediately preceding such date and (b) if such Benchmark is not the Term SOFR Reference Rate, then the time determined by the Administrative Agent and the Borrower in accordance with the Benchmark Replacement Conforming Changes.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10.7(c)</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Regulation U of the Board of Governors of the Federal Reserve System as in effect from time to</w:t>
      </w: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any release, spill, emission, discharge, deposit, disposal, leaking, pumping, pouring, dumping, emptying, injection, migrating or leaching into, on, under, or through the Environment, or into, from or through any building, structure or facility.</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Costs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9.6(b)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Obligor</w:t>
      </w:r>
      <w:r>
        <w:rPr>
          <w:rFonts w:ascii="Times New Roman" w:cs="Times New Roman" w:eastAsia="Times New Roman" w:hAnsi="Times New Roman"/>
          <w:sz w:val="22"/>
          <w:szCs w:val="22"/>
          <w:color w:val="auto"/>
        </w:rPr>
        <w:t xml:space="preserve">”: a Person acceptable to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if such Person is entering into a Replacement Project Document that relates to a Material Project Document that was subject to a Direct Agreement, on the date such Person enters into such Replacement Project Document, such Person enters into a Direct Agreement.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Project Document</w:t>
      </w:r>
      <w:r>
        <w:rPr>
          <w:rFonts w:ascii="Times New Roman" w:cs="Times New Roman" w:eastAsia="Times New Roman" w:hAnsi="Times New Roman"/>
          <w:sz w:val="22"/>
          <w:szCs w:val="22"/>
          <w:color w:val="auto"/>
        </w:rPr>
        <w:t>”: any Project Document entered into by an Obligor or other Project Company with a Replacement Obligor in replacement of a Material Project Document, which, in each case, shall be in form and substance reasonably satisfactory to the Required Lenders.</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if any Obligor or other Project Company becomes a Sanctioned Person, or is indicted, arraigned, investigated or custodially detained, or receives an inquiry from regulatory or law enforcement officials, in connection with any Anti-Corruption Law, Sanctions, or Anti-Money Laundering Law or any predicate crime to any Anti-Money Laundering Law, or self-discovers facts or circumstances implicating any aspect of its operations with the actual or possible violation of any such laws or regulations.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any of the events set forth in Section 4043(c) of ERISA, other than those events as to which the thirty-day notice period has been waived.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DSR Lenders</w:t>
      </w:r>
      <w:r>
        <w:rPr>
          <w:rFonts w:ascii="Times New Roman" w:cs="Times New Roman" w:eastAsia="Times New Roman" w:hAnsi="Times New Roman"/>
          <w:sz w:val="22"/>
          <w:szCs w:val="22"/>
          <w:color w:val="auto"/>
        </w:rPr>
        <w:t>”: at any time, DSR Lenders holding more than fifty percent (50.0%) of the sum of (a) the aggregate principal amount of the DSR Loans, LC Loans and LC Reimbursement Obligations in respect of Letters of Credit outstanding, (b) the aggregate Available Amount of all Letters of Credit issued and outstanding at such time, and (c)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2" w:name="page43"/>
    <w:bookmarkEnd w:id="42"/>
    <w:p>
      <w:pPr>
        <w:jc w:val="both"/>
        <w:spacing w:after="0" w:line="217" w:lineRule="auto"/>
        <w:rPr>
          <w:sz w:val="20"/>
          <w:szCs w:val="20"/>
          <w:color w:val="auto"/>
        </w:rPr>
      </w:pPr>
      <w:r>
        <w:rPr>
          <w:rFonts w:ascii="Times New Roman" w:cs="Times New Roman" w:eastAsia="Times New Roman" w:hAnsi="Times New Roman"/>
          <w:sz w:val="22"/>
          <w:szCs w:val="22"/>
          <w:color w:val="auto"/>
        </w:rPr>
        <w:t>aggregate amount of Unutilized DSR Loan Commitments. The DSR Loans, LC Loans, Available Amount of all Letters of Credit issued and outstanding and Unutilized DSR Loan Commitments of any Defaulting Lender or any Affiliate of any Obligor shall be disregarded in determining Required DSR Lenders at any time. For the avoidance of doubt, with respect to the Available Amount of all Letters of Credit issued and outstanding at such time, such calculation shall not include the LC Issuer Commitments of the LC Issuers and shall be limited to the participation interests of each DSR Lender in the Letters of Credit.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Equity Contribution</w:t>
      </w:r>
      <w:r>
        <w:rPr>
          <w:rFonts w:ascii="Times New Roman" w:cs="Times New Roman" w:eastAsia="Times New Roman" w:hAnsi="Times New Roman"/>
          <w:sz w:val="22"/>
          <w:szCs w:val="22"/>
          <w:color w:val="auto"/>
        </w:rPr>
        <w:t xml:space="preserve">”: with respect to any Project, 100% of the equity capital contributions required to be made by the applicable Obligors pursuant to the Base Case Projections to fund the Project Costs through Final Completion for such Project as set forth (a) in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with respect to each Initial Project and (b) in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 xml:space="preserve"> with respect to each Additional Project.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at any time, Lenders holding more than fifty percent (50.0%) of the sum of (a) the aggregate principal amount of the Loans and LC Reimbursement Obligations outstanding, (b) the aggregate Available Amount of all Letters of Credit issued and outstanding at such time, and (c) the aggregate amount of Unutilized Commitments. The Loans, Available Amounts of all Letters of Credit issued and outstanding and Unutilized Commitments of any Defaulting Lender or any Affiliate of any Obligor shall be disregarded in determining Required Lenders at any time. For the avoidance of doubt, with respect to the Available Amount of all Letters of Credit issued and outstanding at such time, such calculation shall not include the LC Issuer Commitments of the LC Issuers and shall be limited to the participation interests of each DSR Lender in the applicable Letters of Credit. The “Required Lenders” of a particular Class of Loans means Lenders holding more than 50% of the sum of (a) the aggregate principal amount of the Loans of such Class and LC Reimbursement Obligations of such Class outstanding, (b) the aggregate Available Amount of all Letters of Credit of such Class issued and outstanding at such time, (c) the aggregate amount of Unutilized Commitments of such Class and (d) Interest Expense related to any of the foregoing.</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Target Debt Balance Amortization Payment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to any Person, the articles or certificate of incorporation, declaration of trust, partnership agreement and by-laws or other organizational or governing documents of such Person, and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and in each case applicable to or binding upon such Person or any of its material property or to which such Person or any of its material property is subject.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an EEA Resolution Authority or with respect to any UK Financial Institution, a UK Resolution Authority.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the chief executive or chief financial officer of the Borrower or other officer of the Borrower having primary responsibility for the Borrower’s financial affairs, and solely for purposes of the delivery of incumbency certificates pursuant to </w:t>
      </w:r>
      <w:r>
        <w:rPr>
          <w:rFonts w:ascii="Times New Roman" w:cs="Times New Roman" w:eastAsia="Times New Roman" w:hAnsi="Times New Roman"/>
          <w:sz w:val="22"/>
          <w:szCs w:val="22"/>
          <w:u w:val="single" w:color="auto"/>
          <w:color w:val="auto"/>
        </w:rPr>
        <w:t>Section 4.1(a)(vii)</w:t>
      </w:r>
      <w:r>
        <w:rPr>
          <w:rFonts w:ascii="Times New Roman" w:cs="Times New Roman" w:eastAsia="Times New Roman" w:hAnsi="Times New Roman"/>
          <w:sz w:val="22"/>
          <w:szCs w:val="22"/>
          <w:color w:val="auto"/>
        </w:rPr>
        <w:t>, the secretary or any assistant secretary of any Obligor or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Action</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with respect to any Person, (a) the declaration or payment by such Person of any dividend (other than a dividend payable solely in Equity Interests of such Person) or any other distribution on any share of Equity Interests of such Person, (b) the purchase, redemption or retirement by such Person of any share of its Equity Interests, (c) any payment by such Person resulting in the reduction of the capital of such Person, or (d) the payment by such Person of any amount, including principal and interest, of subordinated indebtedness of such Person.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RIN</w:t>
      </w:r>
      <w:r>
        <w:rPr>
          <w:rFonts w:ascii="Times New Roman" w:cs="Times New Roman" w:eastAsia="Times New Roman" w:hAnsi="Times New Roman"/>
          <w:sz w:val="22"/>
          <w:szCs w:val="22"/>
          <w:color w:val="auto"/>
        </w:rPr>
        <w:t>”: any “Renewable Identification Numbers” generated to represent a volume of renewable fuel as set forth in the U.S. Environmental Protection Agency’s (or its successor agency’s) Renewable Fuel Standard regulations as set forth in 40 C.F.R. Part 80.</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 Management Policy</w:t>
      </w:r>
      <w:r>
        <w:rPr>
          <w:rFonts w:ascii="Times New Roman" w:cs="Times New Roman" w:eastAsia="Times New Roman" w:hAnsi="Times New Roman"/>
          <w:sz w:val="22"/>
          <w:szCs w:val="22"/>
          <w:color w:val="auto"/>
        </w:rPr>
        <w:t xml:space="preserve">”: means a written risk management policy, prepared by the Borrower and approved by the Administrative Agent (such approval not to be unreasonably withheld, conditioned or delayed), as may be updated from time to time by the Borrower with the consent of the Administrative Agent (such consent not to be unreasonably withheld, conditioned or delayed), in respect of Hedge Agreements entered into by the Borrower pursuant to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 which written risk management policy shall include policies in respect of tenor, hedged volumes, basis, and counterparty credit quality and credit support.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a country the subject of a sanctions program maintained by any Compliance Authority.</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those economic and trade sanctions and embargoes enforced or administered by any Compliance Authority, including without limitation the foreign assets control regulations of the United States Treasury Department (31 CFR, Subtitle B, Chapter V, as amended) or any enabling legislation or executive order relating thereto.</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SCFM</w:t>
      </w:r>
      <w:r>
        <w:rPr>
          <w:rFonts w:ascii="Times New Roman" w:cs="Times New Roman" w:eastAsia="Times New Roman" w:hAnsi="Times New Roman"/>
          <w:sz w:val="22"/>
          <w:szCs w:val="22"/>
          <w:color w:val="auto"/>
        </w:rPr>
        <w:t>”: standard cubic feet per minute (or, for dairy, its equivalent).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United States Securities and Exchange Commission or any successor thereto.</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Agreement</w:t>
      </w:r>
      <w:r>
        <w:rPr>
          <w:rFonts w:ascii="Times New Roman" w:cs="Times New Roman" w:eastAsia="Times New Roman" w:hAnsi="Times New Roman"/>
          <w:sz w:val="22"/>
          <w:szCs w:val="22"/>
          <w:color w:val="auto"/>
        </w:rPr>
        <w:t>”: (a) any Interest Rate Hedge in effect on the Closing Date between the Borrower and a Permitted Hedge Counterparty entered into in connection with the interest rate risk arising under this Agreement and, in each case as determined as of the Closing Date or (b) any Interest Rate Hedge entered into after the Closing Date between the Borrower and a Permitted Hedge Counterparty in connection with the interest rate risk arising under this Agreement, in each case as determined at the time such Hedge Agreement is entered into.</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Obligations</w:t>
      </w:r>
      <w:r>
        <w:rPr>
          <w:rFonts w:ascii="Times New Roman" w:cs="Times New Roman" w:eastAsia="Times New Roman" w:hAnsi="Times New Roman"/>
          <w:sz w:val="22"/>
          <w:szCs w:val="22"/>
          <w:color w:val="auto"/>
        </w:rPr>
        <w:t xml:space="preserve">”: all existing or future payment and other obligations owing by any Obligor under any Secured Hedge Agreement;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“Secured Hedge Obligations” of an Obligor shall exclude any Excluded Hedge Obligations with respect to such Obligor.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4.1(a)(iii)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collectively, the Security Agreement, the Non-Recourse Pledge Agreement, the Depositary Agreement, the Control Agreements, the Direct Agreements, each financing statement or other document executed, filed or recorded in connection with the foregoing, and any and all other agreements, instruments and documents now or hereafter executed by any Grantor or any other Person or delivered to the Administrative Agent or any Lender, pursuant to which any Lien is created in favor of the Administrative Agent to secure all or any portion of the Obligations.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each Agent, Lender, LC Issuer and Permitted Hedge Counterparty.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Single Employer Plan</w:t>
      </w:r>
      <w:r>
        <w:rPr>
          <w:rFonts w:ascii="Times New Roman" w:cs="Times New Roman" w:eastAsia="Times New Roman" w:hAnsi="Times New Roman"/>
          <w:sz w:val="21"/>
          <w:szCs w:val="21"/>
          <w:color w:val="auto"/>
        </w:rPr>
        <w:t>”: any Plan which is covered by Title IV of ERISA, but which is not a Multiemployer Plan.</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a rate equal to the secured overnight financing rate as administered by the SOFR Administrator.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the NYFRB (or a successor administrator of the secured overnight financing rate).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Advance</w:t>
      </w:r>
      <w:r>
        <w:rPr>
          <w:rFonts w:ascii="Times New Roman" w:cs="Times New Roman" w:eastAsia="Times New Roman" w:hAnsi="Times New Roman"/>
          <w:sz w:val="22"/>
          <w:szCs w:val="22"/>
          <w:color w:val="auto"/>
        </w:rPr>
        <w:t>”: a Borrowing comprised of Loans bearing interest at a rate determined by reference to the Term SOFR Reference Rate.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DSR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2.1.2(b)(i)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LC Loan</w:t>
      </w:r>
      <w:r>
        <w:rPr>
          <w:rFonts w:ascii="Times New Roman" w:cs="Times New Roman" w:eastAsia="Times New Roman" w:hAnsi="Times New Roman"/>
          <w:sz w:val="22"/>
          <w:szCs w:val="22"/>
          <w:color w:val="auto"/>
        </w:rPr>
        <w:t>”: any LC Loan bearing interest at a rate determined by reference to the Term SOFR Reference</w:t>
      </w:r>
    </w:p>
    <w:p>
      <w:pPr>
        <w:spacing w:after="0"/>
        <w:rPr>
          <w:sz w:val="20"/>
          <w:szCs w:val="20"/>
          <w:color w:val="auto"/>
        </w:rPr>
      </w:pPr>
      <w:r>
        <w:rPr>
          <w:rFonts w:ascii="Times New Roman" w:cs="Times New Roman" w:eastAsia="Times New Roman" w:hAnsi="Times New Roman"/>
          <w:sz w:val="22"/>
          <w:szCs w:val="22"/>
          <w:color w:val="auto"/>
        </w:rPr>
        <w:t>Rate.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any Loan bearing interest at a rate determined by reference to the Term SOFR Reference Rate.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Term Loan(s)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with respect to any Person on a particular date, the condition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amount of capital.</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Calculation Period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SPAC Transaction</w:t>
      </w:r>
      <w:r>
        <w:rPr>
          <w:rFonts w:ascii="Times New Roman" w:cs="Times New Roman" w:eastAsia="Times New Roman" w:hAnsi="Times New Roman"/>
          <w:sz w:val="22"/>
          <w:szCs w:val="22"/>
          <w:color w:val="auto"/>
        </w:rPr>
        <w:t>”: the business combination between ArcLight Clean Transition Corp. II (Nasdaq:</w:t>
      </w:r>
    </w:p>
    <w:p>
      <w:pPr>
        <w:spacing w:after="0"/>
        <w:rPr>
          <w:sz w:val="20"/>
          <w:szCs w:val="20"/>
          <w:color w:val="auto"/>
        </w:rPr>
      </w:pPr>
      <w:r>
        <w:rPr>
          <w:rFonts w:ascii="Times New Roman" w:cs="Times New Roman" w:eastAsia="Times New Roman" w:hAnsi="Times New Roman"/>
          <w:sz w:val="22"/>
          <w:szCs w:val="22"/>
          <w:color w:val="auto"/>
        </w:rPr>
        <w:t>ACTD) and OPAL Fuels, announced on December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5" w:name="page46"/>
    <w:bookmarkEnd w:id="45"/>
    <w:p>
      <w:pPr>
        <w:jc w:val="both"/>
        <w:spacing w:after="0" w:line="236" w:lineRule="auto"/>
        <w:rPr>
          <w:sz w:val="20"/>
          <w:szCs w:val="20"/>
          <w:color w:val="auto"/>
        </w:rPr>
      </w:pPr>
      <w:r>
        <w:rPr>
          <w:rFonts w:ascii="Times New Roman" w:cs="Times New Roman" w:eastAsia="Times New Roman" w:hAnsi="Times New Roman"/>
          <w:sz w:val="22"/>
          <w:szCs w:val="22"/>
          <w:color w:val="auto"/>
        </w:rPr>
        <w:t>together with an up to $125 million fully committed, common stock PIPE and an up to $125 million preferred equity investment by NextEra Energy, Inc.</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 Commission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3.28(a)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Amount</w:t>
      </w:r>
      <w:r>
        <w:rPr>
          <w:rFonts w:ascii="Times New Roman" w:cs="Times New Roman" w:eastAsia="Times New Roman" w:hAnsi="Times New Roman"/>
          <w:sz w:val="22"/>
          <w:szCs w:val="22"/>
          <w:color w:val="auto"/>
        </w:rPr>
        <w:t>”: with respect to any Letter of Credit, the total amount available to be drawn thereunder at the time in question in accordance with the terms of such Letter of Credit (regardless of whether any conditions for drawing could be met at such time).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Party</w:t>
      </w:r>
      <w:r>
        <w:rPr>
          <w:rFonts w:ascii="Times New Roman" w:cs="Times New Roman" w:eastAsia="Times New Roman" w:hAnsi="Times New Roman"/>
          <w:sz w:val="22"/>
          <w:szCs w:val="22"/>
          <w:color w:val="auto"/>
        </w:rPr>
        <w:t>”: (a) OPAL Fuels Station Services LLC (f/k/a TruStar Energy LLC), (a) as to any Funded Project that has yet to achieve Substantial Completion, the EPC Contractor therefor, (c) OPAL Fuels, (d) the Parent, (e) the Borrower and (f) any other Obligor or other Project Company.</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with respect to any specific Person, another Person that directly or indirectly through one or more intermediaries is Controlled by the specific Person. Unless otherwise specified, all references herein to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will refer to a Subsidiary or Subsidiaries of the Borrower, and shall include Emerald RNG).</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for any Project, means the achievement of “Substantial Completion” under and as defined in the EPC Contract for such Project.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Date</w:t>
      </w:r>
      <w:r>
        <w:rPr>
          <w:rFonts w:ascii="Times New Roman" w:cs="Times New Roman" w:eastAsia="Times New Roman" w:hAnsi="Times New Roman"/>
          <w:sz w:val="22"/>
          <w:szCs w:val="22"/>
          <w:color w:val="auto"/>
        </w:rPr>
        <w:t>”: for any Project, the date that Substantial Completion is achieved for such Project, as certified by a Responsible Officer of Borrower and confirmed by the Independent Engineer.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Debt Balance</w:t>
      </w:r>
      <w:r>
        <w:rPr>
          <w:rFonts w:ascii="Times New Roman" w:cs="Times New Roman" w:eastAsia="Times New Roman" w:hAnsi="Times New Roman"/>
          <w:sz w:val="22"/>
          <w:szCs w:val="22"/>
          <w:color w:val="auto"/>
        </w:rPr>
        <w:t xml:space="preserve">”: with respect to the Term Conversion Date and each Quarterly Payment Date after the Term Conversion Date, the amount set forth in the following table, as such table may be updated from time to time, including upon the Term Conversion Date, in accordance with </w:t>
      </w:r>
      <w:r>
        <w:rPr>
          <w:rFonts w:ascii="Times New Roman" w:cs="Times New Roman" w:eastAsia="Times New Roman" w:hAnsi="Times New Roman"/>
          <w:sz w:val="22"/>
          <w:szCs w:val="22"/>
          <w:u w:val="single" w:color="auto"/>
          <w:color w:val="auto"/>
        </w:rPr>
        <w:t>Sections 2.1.7(a)(v)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6" w:name="page47"/>
    <w:bookmarkEnd w:id="4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40" w:type="dxa"/>
            <w:vAlign w:val="bottom"/>
            <w:tcBorders>
              <w:top w:val="single" w:sz="8" w:color="auto"/>
              <w:left w:val="single" w:sz="8" w:color="auto"/>
              <w:bottom w:val="single" w:sz="8" w:color="D9D9D9"/>
            </w:tcBorders>
            <w:shd w:val="clear" w:color="auto" w:fill="D9D9D9"/>
          </w:tcPr>
          <w:p>
            <w:pPr>
              <w:spacing w:after="0"/>
              <w:rPr>
                <w:sz w:val="19"/>
                <w:szCs w:val="19"/>
                <w:color w:val="auto"/>
              </w:rPr>
            </w:pPr>
          </w:p>
        </w:tc>
        <w:tc>
          <w:tcPr>
            <w:tcW w:w="3380" w:type="dxa"/>
            <w:vAlign w:val="bottom"/>
            <w:tcBorders>
              <w:top w:val="single" w:sz="8" w:color="auto"/>
              <w:bottom w:val="single" w:sz="8" w:color="auto"/>
            </w:tcBorders>
            <w:gridSpan w:val="3"/>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Quarterly Payment Date on or after the</w:t>
            </w:r>
          </w:p>
        </w:tc>
        <w:tc>
          <w:tcPr>
            <w:tcW w:w="240" w:type="dxa"/>
            <w:vAlign w:val="bottom"/>
            <w:tcBorders>
              <w:top w:val="single" w:sz="8" w:color="auto"/>
              <w:bottom w:val="single" w:sz="8" w:color="auto"/>
              <w:right w:val="single" w:sz="8" w:color="auto"/>
            </w:tcBorders>
            <w:vMerge w:val="restart"/>
            <w:shd w:val="clear" w:color="auto" w:fill="D9D9D9"/>
          </w:tcPr>
          <w:p>
            <w:pPr>
              <w:spacing w:after="0"/>
              <w:rPr>
                <w:sz w:val="19"/>
                <w:szCs w:val="19"/>
                <w:color w:val="auto"/>
              </w:rPr>
            </w:pP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3240" w:type="dxa"/>
            <w:vAlign w:val="bottom"/>
            <w:tcBorders>
              <w:top w:val="single" w:sz="8" w:color="auto"/>
              <w:bottom w:val="single" w:sz="8" w:color="auto"/>
            </w:tcBorders>
            <w:shd w:val="clear" w:color="auto" w:fill="D9D9D9"/>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Assumed Date as of the Closing Date</w:t>
            </w:r>
          </w:p>
        </w:tc>
        <w:tc>
          <w:tcPr>
            <w:tcW w:w="260" w:type="dxa"/>
            <w:vAlign w:val="bottom"/>
            <w:tcBorders>
              <w:top w:val="single" w:sz="8" w:color="auto"/>
              <w:bottom w:val="single" w:sz="8" w:color="D9D9D9"/>
              <w:right w:val="single" w:sz="8" w:color="auto"/>
            </w:tcBorders>
            <w:shd w:val="clear" w:color="auto" w:fill="D9D9D9"/>
          </w:tcPr>
          <w:p>
            <w:pPr>
              <w:spacing w:after="0"/>
              <w:rPr>
                <w:sz w:val="19"/>
                <w:szCs w:val="19"/>
                <w:color w:val="auto"/>
              </w:rPr>
            </w:pPr>
          </w:p>
        </w:tc>
        <w:tc>
          <w:tcPr>
            <w:tcW w:w="3660" w:type="dxa"/>
            <w:vAlign w:val="bottom"/>
            <w:tcBorders>
              <w:top w:val="single" w:sz="8" w:color="auto"/>
              <w:bottom w:val="single" w:sz="8" w:color="auto"/>
              <w:right w:val="single" w:sz="8" w:color="auto"/>
            </w:tcBorders>
            <w:gridSpan w:val="3"/>
            <w:vMerge w:val="restart"/>
            <w:shd w:val="clear" w:color="auto" w:fill="D9D9D9"/>
          </w:tcPr>
          <w:p>
            <w:pPr>
              <w:ind w:left="940"/>
              <w:spacing w:after="0"/>
              <w:rPr>
                <w:sz w:val="20"/>
                <w:szCs w:val="20"/>
                <w:color w:val="auto"/>
              </w:rPr>
            </w:pPr>
            <w:r>
              <w:rPr>
                <w:rFonts w:ascii="Times New Roman" w:cs="Times New Roman" w:eastAsia="Times New Roman" w:hAnsi="Times New Roman"/>
                <w:sz w:val="22"/>
                <w:szCs w:val="22"/>
                <w:color w:val="auto"/>
              </w:rPr>
              <w:t>Target Debt Balance</w:t>
            </w:r>
          </w:p>
        </w:tc>
        <w:tc>
          <w:tcPr>
            <w:tcW w:w="0" w:type="dxa"/>
            <w:vAlign w:val="bottom"/>
          </w:tcPr>
          <w:p>
            <w:pPr>
              <w:spacing w:after="0"/>
              <w:rPr>
                <w:sz w:val="1"/>
                <w:szCs w:val="1"/>
                <w:color w:val="auto"/>
              </w:rPr>
            </w:pPr>
          </w:p>
        </w:tc>
      </w:tr>
      <w:tr>
        <w:trPr>
          <w:trHeight w:val="61"/>
        </w:trPr>
        <w:tc>
          <w:tcPr>
            <w:tcW w:w="240" w:type="dxa"/>
            <w:vAlign w:val="bottom"/>
            <w:tcBorders>
              <w:left w:val="single" w:sz="8" w:color="auto"/>
              <w:bottom w:val="single" w:sz="8" w:color="D9D9D9"/>
            </w:tcBorders>
            <w:shd w:val="clear" w:color="auto" w:fill="D9D9D9"/>
          </w:tcPr>
          <w:p>
            <w:pPr>
              <w:spacing w:after="0"/>
              <w:rPr>
                <w:sz w:val="5"/>
                <w:szCs w:val="5"/>
                <w:color w:val="auto"/>
              </w:rPr>
            </w:pPr>
          </w:p>
        </w:tc>
        <w:tc>
          <w:tcPr>
            <w:tcW w:w="3380" w:type="dxa"/>
            <w:vAlign w:val="bottom"/>
            <w:tcBorders>
              <w:bottom w:val="single" w:sz="8" w:color="auto"/>
            </w:tcBorders>
            <w:gridSpan w:val="3"/>
            <w:vMerge w:val="continue"/>
            <w:shd w:val="clear" w:color="auto" w:fill="D9D9D9"/>
          </w:tcPr>
          <w:p>
            <w:pPr>
              <w:spacing w:after="0"/>
              <w:rPr>
                <w:sz w:val="5"/>
                <w:szCs w:val="5"/>
                <w:color w:val="auto"/>
              </w:rPr>
            </w:pPr>
          </w:p>
        </w:tc>
        <w:tc>
          <w:tcPr>
            <w:tcW w:w="240" w:type="dxa"/>
            <w:vAlign w:val="bottom"/>
            <w:tcBorders>
              <w:bottom w:val="single" w:sz="8" w:color="D9D9D9"/>
              <w:right w:val="single" w:sz="8" w:color="auto"/>
            </w:tcBorders>
            <w:vMerge w:val="continue"/>
            <w:shd w:val="clear" w:color="auto" w:fill="D9D9D9"/>
          </w:tcPr>
          <w:p>
            <w:pPr>
              <w:spacing w:after="0"/>
              <w:rPr>
                <w:sz w:val="5"/>
                <w:szCs w:val="5"/>
                <w:color w:val="auto"/>
              </w:rPr>
            </w:pPr>
          </w:p>
        </w:tc>
        <w:tc>
          <w:tcPr>
            <w:tcW w:w="3740" w:type="dxa"/>
            <w:vAlign w:val="bottom"/>
            <w:tcBorders>
              <w:bottom w:val="single" w:sz="8" w:color="D9D9D9"/>
              <w:right w:val="single" w:sz="8" w:color="auto"/>
            </w:tcBorders>
            <w:gridSpan w:val="3"/>
            <w:vMerge w:val="restart"/>
            <w:shd w:val="clear" w:color="auto" w:fill="D9D9D9"/>
          </w:tcPr>
          <w:p>
            <w:pPr>
              <w:jc w:val="center"/>
              <w:ind w:right="20"/>
              <w:spacing w:after="0" w:line="156" w:lineRule="exact"/>
              <w:rPr>
                <w:sz w:val="20"/>
                <w:szCs w:val="20"/>
                <w:color w:val="auto"/>
              </w:rPr>
            </w:pPr>
            <w:r>
              <w:rPr>
                <w:rFonts w:ascii="Times New Roman" w:cs="Times New Roman" w:eastAsia="Times New Roman" w:hAnsi="Times New Roman"/>
                <w:sz w:val="18"/>
                <w:szCs w:val="18"/>
                <w:color w:val="auto"/>
              </w:rPr>
              <w:t>(based on assumed Term Conversion Date</w:t>
            </w:r>
          </w:p>
        </w:tc>
        <w:tc>
          <w:tcPr>
            <w:tcW w:w="3660" w:type="dxa"/>
            <w:vAlign w:val="bottom"/>
            <w:tcBorders>
              <w:bottom w:val="single" w:sz="8" w:color="auto"/>
              <w:right w:val="single" w:sz="8" w:color="auto"/>
            </w:tcBorders>
            <w:gridSpan w:val="3"/>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40" w:type="dxa"/>
            <w:vAlign w:val="bottom"/>
            <w:tcBorders>
              <w:left w:val="single" w:sz="8" w:color="auto"/>
            </w:tcBorders>
            <w:shd w:val="clear" w:color="auto" w:fill="D9D9D9"/>
          </w:tcPr>
          <w:p>
            <w:pPr>
              <w:spacing w:after="0"/>
              <w:rPr>
                <w:sz w:val="7"/>
                <w:szCs w:val="7"/>
                <w:color w:val="auto"/>
              </w:rPr>
            </w:pPr>
          </w:p>
        </w:tc>
        <w:tc>
          <w:tcPr>
            <w:tcW w:w="3620" w:type="dxa"/>
            <w:vAlign w:val="bottom"/>
            <w:tcBorders>
              <w:right w:val="single" w:sz="8" w:color="auto"/>
            </w:tcBorders>
            <w:gridSpan w:val="4"/>
            <w:vMerge w:val="restart"/>
            <w:shd w:val="clear" w:color="auto" w:fill="D9D9D9"/>
          </w:tcPr>
          <w:p>
            <w:pPr>
              <w:jc w:val="center"/>
              <w:ind w:right="240"/>
              <w:spacing w:after="0" w:line="196" w:lineRule="exact"/>
              <w:rPr>
                <w:sz w:val="20"/>
                <w:szCs w:val="20"/>
                <w:color w:val="auto"/>
              </w:rPr>
            </w:pPr>
            <w:r>
              <w:rPr>
                <w:rFonts w:ascii="Times New Roman" w:cs="Times New Roman" w:eastAsia="Times New Roman" w:hAnsi="Times New Roman"/>
                <w:sz w:val="22"/>
                <w:szCs w:val="22"/>
                <w:color w:val="auto"/>
                <w:w w:val="98"/>
              </w:rPr>
              <w:t>Term Conversion Date</w:t>
            </w:r>
          </w:p>
        </w:tc>
        <w:tc>
          <w:tcPr>
            <w:tcW w:w="3740" w:type="dxa"/>
            <w:vAlign w:val="bottom"/>
            <w:tcBorders>
              <w:right w:val="single" w:sz="8" w:color="auto"/>
            </w:tcBorders>
            <w:gridSpan w:val="3"/>
            <w:vMerge w:val="continue"/>
            <w:shd w:val="clear" w:color="auto" w:fill="D9D9D9"/>
          </w:tcPr>
          <w:p>
            <w:pPr>
              <w:spacing w:after="0"/>
              <w:rPr>
                <w:sz w:val="7"/>
                <w:szCs w:val="7"/>
                <w:color w:val="auto"/>
              </w:rPr>
            </w:pPr>
          </w:p>
        </w:tc>
        <w:tc>
          <w:tcPr>
            <w:tcW w:w="3660" w:type="dxa"/>
            <w:vAlign w:val="bottom"/>
            <w:tcBorders>
              <w:right w:val="single" w:sz="8" w:color="auto"/>
            </w:tcBorders>
            <w:gridSpan w:val="3"/>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40" w:type="dxa"/>
            <w:vAlign w:val="bottom"/>
            <w:tcBorders>
              <w:top w:val="single" w:sz="8" w:color="D9D9D9"/>
              <w:left w:val="single" w:sz="8" w:color="auto"/>
            </w:tcBorders>
            <w:shd w:val="clear" w:color="auto" w:fill="D9D9D9"/>
          </w:tcPr>
          <w:p>
            <w:pPr>
              <w:spacing w:after="0"/>
              <w:rPr>
                <w:sz w:val="7"/>
                <w:szCs w:val="7"/>
                <w:color w:val="auto"/>
              </w:rPr>
            </w:pPr>
          </w:p>
        </w:tc>
        <w:tc>
          <w:tcPr>
            <w:tcW w:w="3620" w:type="dxa"/>
            <w:vAlign w:val="bottom"/>
            <w:tcBorders>
              <w:top w:val="single" w:sz="8" w:color="D9D9D9"/>
              <w:right w:val="single" w:sz="8" w:color="auto"/>
            </w:tcBorders>
            <w:gridSpan w:val="4"/>
            <w:vMerge w:val="continue"/>
            <w:shd w:val="clear" w:color="auto" w:fill="D9D9D9"/>
          </w:tcPr>
          <w:p>
            <w:pPr>
              <w:spacing w:after="0"/>
              <w:rPr>
                <w:sz w:val="7"/>
                <w:szCs w:val="7"/>
                <w:color w:val="auto"/>
              </w:rPr>
            </w:pPr>
          </w:p>
        </w:tc>
        <w:tc>
          <w:tcPr>
            <w:tcW w:w="240" w:type="dxa"/>
            <w:vAlign w:val="bottom"/>
            <w:tcBorders>
              <w:top w:val="single" w:sz="8" w:color="D9D9D9"/>
            </w:tcBorders>
            <w:shd w:val="clear" w:color="auto" w:fill="D9D9D9"/>
          </w:tcPr>
          <w:p>
            <w:pPr>
              <w:spacing w:after="0"/>
              <w:rPr>
                <w:sz w:val="7"/>
                <w:szCs w:val="7"/>
                <w:color w:val="auto"/>
              </w:rPr>
            </w:pPr>
          </w:p>
        </w:tc>
        <w:tc>
          <w:tcPr>
            <w:tcW w:w="3500" w:type="dxa"/>
            <w:vAlign w:val="bottom"/>
            <w:tcBorders>
              <w:top w:val="single" w:sz="8" w:color="D9D9D9"/>
              <w:right w:val="single" w:sz="8" w:color="auto"/>
            </w:tcBorders>
            <w:gridSpan w:val="2"/>
            <w:vMerge w:val="restart"/>
            <w:shd w:val="clear" w:color="auto" w:fill="D9D9D9"/>
          </w:tcPr>
          <w:p>
            <w:pPr>
              <w:jc w:val="center"/>
              <w:ind w:right="260"/>
              <w:spacing w:after="0"/>
              <w:rPr>
                <w:sz w:val="20"/>
                <w:szCs w:val="20"/>
                <w:color w:val="auto"/>
              </w:rPr>
            </w:pPr>
            <w:r>
              <w:rPr>
                <w:rFonts w:ascii="Times New Roman" w:cs="Times New Roman" w:eastAsia="Times New Roman" w:hAnsi="Times New Roman"/>
                <w:sz w:val="20"/>
                <w:szCs w:val="20"/>
                <w:color w:val="auto"/>
                <w:w w:val="99"/>
              </w:rPr>
              <w:t>between 4/1/2024 and 6/30/2024)</w:t>
            </w:r>
          </w:p>
        </w:tc>
        <w:tc>
          <w:tcPr>
            <w:tcW w:w="940" w:type="dxa"/>
            <w:vAlign w:val="bottom"/>
            <w:tcBorders>
              <w:top w:val="single" w:sz="8" w:color="D9D9D9"/>
            </w:tcBorders>
            <w:shd w:val="clear" w:color="auto" w:fill="D9D9D9"/>
          </w:tcPr>
          <w:p>
            <w:pPr>
              <w:spacing w:after="0"/>
              <w:rPr>
                <w:sz w:val="7"/>
                <w:szCs w:val="7"/>
                <w:color w:val="auto"/>
              </w:rPr>
            </w:pPr>
          </w:p>
        </w:tc>
        <w:tc>
          <w:tcPr>
            <w:tcW w:w="1760" w:type="dxa"/>
            <w:vAlign w:val="bottom"/>
            <w:tcBorders>
              <w:top w:val="single" w:sz="8" w:color="auto"/>
            </w:tcBorders>
            <w:shd w:val="clear" w:color="auto" w:fill="D9D9D9"/>
          </w:tcPr>
          <w:p>
            <w:pPr>
              <w:spacing w:after="0"/>
              <w:rPr>
                <w:sz w:val="7"/>
                <w:szCs w:val="7"/>
                <w:color w:val="auto"/>
              </w:rPr>
            </w:pPr>
          </w:p>
        </w:tc>
        <w:tc>
          <w:tcPr>
            <w:tcW w:w="960" w:type="dxa"/>
            <w:vAlign w:val="bottom"/>
            <w:tcBorders>
              <w:top w:val="single" w:sz="8" w:color="D9D9D9"/>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40" w:type="dxa"/>
            <w:vAlign w:val="bottom"/>
            <w:tcBorders>
              <w:top w:val="single" w:sz="8" w:color="D9D9D9"/>
              <w:left w:val="single" w:sz="8" w:color="auto"/>
              <w:bottom w:val="single" w:sz="8" w:color="auto"/>
            </w:tcBorders>
            <w:shd w:val="clear" w:color="auto" w:fill="D9D9D9"/>
          </w:tcPr>
          <w:p>
            <w:pPr>
              <w:spacing w:after="0"/>
              <w:rPr>
                <w:sz w:val="11"/>
                <w:szCs w:val="11"/>
                <w:color w:val="auto"/>
              </w:rPr>
            </w:pPr>
          </w:p>
        </w:tc>
        <w:tc>
          <w:tcPr>
            <w:tcW w:w="700" w:type="dxa"/>
            <w:vAlign w:val="bottom"/>
            <w:tcBorders>
              <w:top w:val="single" w:sz="8" w:color="D9D9D9"/>
              <w:bottom w:val="single" w:sz="8" w:color="auto"/>
            </w:tcBorders>
            <w:shd w:val="clear" w:color="auto" w:fill="D9D9D9"/>
          </w:tcPr>
          <w:p>
            <w:pPr>
              <w:spacing w:after="0"/>
              <w:rPr>
                <w:sz w:val="11"/>
                <w:szCs w:val="11"/>
                <w:color w:val="auto"/>
              </w:rPr>
            </w:pPr>
          </w:p>
        </w:tc>
        <w:tc>
          <w:tcPr>
            <w:tcW w:w="1980" w:type="dxa"/>
            <w:vAlign w:val="bottom"/>
            <w:tcBorders>
              <w:top w:val="single" w:sz="8" w:color="auto"/>
              <w:bottom w:val="single" w:sz="8" w:color="auto"/>
            </w:tcBorders>
            <w:shd w:val="clear" w:color="auto" w:fill="D9D9D9"/>
          </w:tcPr>
          <w:p>
            <w:pPr>
              <w:spacing w:after="0"/>
              <w:rPr>
                <w:sz w:val="11"/>
                <w:szCs w:val="11"/>
                <w:color w:val="auto"/>
              </w:rPr>
            </w:pPr>
          </w:p>
        </w:tc>
        <w:tc>
          <w:tcPr>
            <w:tcW w:w="700" w:type="dxa"/>
            <w:vAlign w:val="bottom"/>
            <w:tcBorders>
              <w:top w:val="single" w:sz="8" w:color="D9D9D9"/>
              <w:bottom w:val="single" w:sz="8" w:color="auto"/>
            </w:tcBorders>
            <w:shd w:val="clear" w:color="auto" w:fill="D9D9D9"/>
          </w:tcPr>
          <w:p>
            <w:pPr>
              <w:spacing w:after="0"/>
              <w:rPr>
                <w:sz w:val="11"/>
                <w:szCs w:val="11"/>
                <w:color w:val="auto"/>
              </w:rPr>
            </w:pPr>
          </w:p>
        </w:tc>
        <w:tc>
          <w:tcPr>
            <w:tcW w:w="24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240" w:type="dxa"/>
            <w:vAlign w:val="bottom"/>
            <w:tcBorders>
              <w:top w:val="single" w:sz="8" w:color="D9D9D9"/>
              <w:bottom w:val="single" w:sz="8" w:color="auto"/>
            </w:tcBorders>
            <w:shd w:val="clear" w:color="auto" w:fill="D9D9D9"/>
          </w:tcPr>
          <w:p>
            <w:pPr>
              <w:spacing w:after="0"/>
              <w:rPr>
                <w:sz w:val="11"/>
                <w:szCs w:val="11"/>
                <w:color w:val="auto"/>
              </w:rPr>
            </w:pPr>
          </w:p>
        </w:tc>
        <w:tc>
          <w:tcPr>
            <w:tcW w:w="3500" w:type="dxa"/>
            <w:vAlign w:val="bottom"/>
            <w:tcBorders>
              <w:top w:val="single" w:sz="8" w:color="D9D9D9"/>
              <w:bottom w:val="single" w:sz="8" w:color="auto"/>
              <w:right w:val="single" w:sz="8" w:color="auto"/>
            </w:tcBorders>
            <w:gridSpan w:val="2"/>
            <w:vMerge w:val="continue"/>
            <w:shd w:val="clear" w:color="auto" w:fill="D9D9D9"/>
          </w:tcPr>
          <w:p>
            <w:pPr>
              <w:spacing w:after="0"/>
              <w:rPr>
                <w:sz w:val="11"/>
                <w:szCs w:val="11"/>
                <w:color w:val="auto"/>
              </w:rPr>
            </w:pPr>
          </w:p>
        </w:tc>
        <w:tc>
          <w:tcPr>
            <w:tcW w:w="940" w:type="dxa"/>
            <w:vAlign w:val="bottom"/>
            <w:tcBorders>
              <w:top w:val="single" w:sz="8" w:color="D9D9D9"/>
              <w:bottom w:val="single" w:sz="8" w:color="auto"/>
            </w:tcBorders>
            <w:shd w:val="clear" w:color="auto" w:fill="D9D9D9"/>
          </w:tcPr>
          <w:p>
            <w:pPr>
              <w:spacing w:after="0"/>
              <w:rPr>
                <w:sz w:val="11"/>
                <w:szCs w:val="11"/>
                <w:color w:val="auto"/>
              </w:rPr>
            </w:pPr>
          </w:p>
        </w:tc>
        <w:tc>
          <w:tcPr>
            <w:tcW w:w="1760" w:type="dxa"/>
            <w:vAlign w:val="bottom"/>
            <w:tcBorders>
              <w:top w:val="single" w:sz="8" w:color="D9D9D9"/>
              <w:bottom w:val="single" w:sz="8" w:color="auto"/>
            </w:tcBorders>
            <w:shd w:val="clear" w:color="auto" w:fill="D9D9D9"/>
          </w:tcPr>
          <w:p>
            <w:pPr>
              <w:spacing w:after="0"/>
              <w:rPr>
                <w:sz w:val="11"/>
                <w:szCs w:val="11"/>
                <w:color w:val="auto"/>
              </w:rPr>
            </w:pPr>
          </w:p>
        </w:tc>
        <w:tc>
          <w:tcPr>
            <w:tcW w:w="96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1</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6/30/2024</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9"/>
              </w:rPr>
              <w:t>$100,000,000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2</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9/30/2024</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$93,750,000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3</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9"/>
              </w:rPr>
              <w:t>12/31/2024</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$87,500,000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4</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3/31/2025</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$81,250,000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5</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6/30/2025</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$75,000,000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6</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9/30/2025</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$68,750,000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7</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9"/>
              </w:rPr>
              <w:t>12/31/2025</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$62,500,000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8</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3/31/2026</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$56,250,000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0"/>
              </w:rPr>
              <w:t>9</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6/30/2026</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$50,000,000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10</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9/30/2026</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$43,750,000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11</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9"/>
              </w:rPr>
              <w:t>12/31/2026</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$37,500,000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12</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22"/>
                <w:szCs w:val="22"/>
                <w:color w:val="auto"/>
                <w:w w:val="98"/>
              </w:rPr>
              <w:t>3/31/2027</w:t>
            </w:r>
          </w:p>
        </w:tc>
        <w:tc>
          <w:tcPr>
            <w:tcW w:w="26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gridSpan w:val="2"/>
          </w:tcPr>
          <w:p>
            <w:pPr>
              <w:jc w:val="center"/>
              <w:ind w:left="832"/>
              <w:spacing w:after="0"/>
              <w:rPr>
                <w:sz w:val="20"/>
                <w:szCs w:val="20"/>
                <w:color w:val="auto"/>
              </w:rPr>
            </w:pPr>
            <w:r>
              <w:rPr>
                <w:rFonts w:ascii="Times New Roman" w:cs="Times New Roman" w:eastAsia="Times New Roman" w:hAnsi="Times New Roman"/>
                <w:sz w:val="22"/>
                <w:szCs w:val="22"/>
                <w:color w:val="auto"/>
                <w:w w:val="98"/>
              </w:rPr>
              <w:t>$31,250,000</w:t>
            </w: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Conversion</w:t>
      </w:r>
      <w:r>
        <w:rPr>
          <w:rFonts w:ascii="Times New Roman" w:cs="Times New Roman" w:eastAsia="Times New Roman" w:hAnsi="Times New Roman"/>
          <w:sz w:val="21"/>
          <w:szCs w:val="21"/>
          <w:color w:val="auto"/>
        </w:rPr>
        <w:t xml:space="preserve">”: satisfaction or waiver in writing (in accordance with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of the conditions set forth</w:t>
      </w:r>
    </w:p>
    <w:p>
      <w:pPr>
        <w:spacing w:after="0"/>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Conversion Date</w:t>
      </w:r>
      <w:r>
        <w:rPr>
          <w:rFonts w:ascii="Times New Roman" w:cs="Times New Roman" w:eastAsia="Times New Roman" w:hAnsi="Times New Roman"/>
          <w:sz w:val="22"/>
          <w:szCs w:val="22"/>
          <w:color w:val="auto"/>
        </w:rPr>
        <w:t>”: the date on which Term Conversion occurs.</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at any time, (a) the aggregate amount of the Term Loan Commitments at such time, and (b) the aggregate principal amount of the Term Loans of all Term Lenders outstanding at such time. The Term Facility shall be denominated in Dollars.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at any time, any Lender that has a Term Commitment or that holds Term Loans at such time.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2.1.1(a)(i)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Availability Period</w:t>
      </w:r>
      <w:r>
        <w:rPr>
          <w:rFonts w:ascii="Times New Roman" w:cs="Times New Roman" w:eastAsia="Times New Roman" w:hAnsi="Times New Roman"/>
          <w:sz w:val="22"/>
          <w:szCs w:val="22"/>
          <w:color w:val="auto"/>
        </w:rPr>
        <w:t>”: the period from the Closing Date until the Term Loan Availability Period Termination Date.</w:t>
      </w:r>
    </w:p>
    <w:p>
      <w:pPr>
        <w:spacing w:after="0" w:line="150" w:lineRule="exact"/>
        <w:rPr>
          <w:sz w:val="20"/>
          <w:szCs w:val="20"/>
          <w:color w:val="auto"/>
        </w:rPr>
      </w:pPr>
    </w:p>
    <w:p>
      <w:pPr>
        <w:jc w:val="both"/>
        <w:ind w:right="4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Availability Period Termination Date</w:t>
      </w:r>
      <w:r>
        <w:rPr>
          <w:rFonts w:ascii="Times New Roman" w:cs="Times New Roman" w:eastAsia="Times New Roman" w:hAnsi="Times New Roman"/>
          <w:sz w:val="22"/>
          <w:szCs w:val="22"/>
          <w:color w:val="auto"/>
        </w:rPr>
        <w:t>”: the earliest of (a) Date Certain, (b) the Term Conversion Date and (c) the Maturity Date.</w:t>
      </w:r>
    </w:p>
    <w:p>
      <w:pPr>
        <w:spacing w:after="0" w:line="150"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w:t>
      </w:r>
      <w:r>
        <w:rPr>
          <w:rFonts w:ascii="Times New Roman" w:cs="Times New Roman" w:eastAsia="Times New Roman" w:hAnsi="Times New Roman"/>
          <w:sz w:val="22"/>
          <w:szCs w:val="22"/>
          <w:color w:val="auto"/>
        </w:rPr>
        <w:t xml:space="preserve">”: with respect to any Lender, its commitment to make Term Loans to the Borrower during the Term Loan Availability Period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in the amount set forth opposite such Lender’s name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The aggregate Term Loan Commitments on the Closing Date are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60"/>
          </w:cols>
          <w:pgMar w:left="320" w:top="1440" w:right="31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 Fee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2.3.2(a)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52"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Adjustment</w:t>
      </w:r>
      <w:r>
        <w:rPr>
          <w:rFonts w:ascii="Times New Roman" w:cs="Times New Roman" w:eastAsia="Times New Roman" w:hAnsi="Times New Roman"/>
          <w:sz w:val="22"/>
          <w:szCs w:val="22"/>
          <w:color w:val="auto"/>
        </w:rPr>
        <w:t>”: for any calculation with respect to a Base Rate Loan or a SOFR Loan, a percentage per annum as set forth below for the applicable type of such Loan and (if applicable) Interest Period therefor:</w:t>
      </w:r>
    </w:p>
    <w:p>
      <w:pPr>
        <w:spacing w:after="0" w:line="144" w:lineRule="exact"/>
        <w:rPr>
          <w:sz w:val="20"/>
          <w:szCs w:val="20"/>
          <w:color w:val="auto"/>
        </w:rPr>
      </w:pPr>
    </w:p>
    <w:p>
      <w:pPr>
        <w:ind w:left="1300"/>
        <w:spacing w:after="0"/>
        <w:tabs>
          <w:tab w:leader="none" w:pos="3060" w:val="left"/>
        </w:tabs>
        <w:rPr>
          <w:sz w:val="20"/>
          <w:szCs w:val="20"/>
          <w:color w:val="auto"/>
        </w:rPr>
      </w:pPr>
      <w:r>
        <w:rPr>
          <w:rFonts w:ascii="Times New Roman" w:cs="Times New Roman" w:eastAsia="Times New Roman" w:hAnsi="Times New Roman"/>
          <w:sz w:val="22"/>
          <w:szCs w:val="22"/>
          <w:b w:val="1"/>
          <w:bCs w:val="1"/>
          <w:i w:val="1"/>
          <w:iCs w:val="1"/>
          <w:color w:val="auto"/>
        </w:rPr>
        <w:t>Base Rate Loans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0.100%</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i w:val="1"/>
          <w:iCs w:val="1"/>
          <w:color w:val="auto"/>
        </w:rPr>
        <w:t>SOFR Loans</w:t>
      </w:r>
      <w:r>
        <w:rPr>
          <w:rFonts w:ascii="Times New Roman" w:cs="Times New Roman" w:eastAsia="Times New Roman" w:hAnsi="Times New Roman"/>
          <w:sz w:val="22"/>
          <w:szCs w:val="22"/>
          <w:color w:val="auto"/>
        </w:rPr>
        <w:t>:</w:t>
      </w:r>
    </w:p>
    <w:p>
      <w:pPr>
        <w:spacing w:after="0" w:line="233" w:lineRule="exact"/>
        <w:rPr>
          <w:sz w:val="20"/>
          <w:szCs w:val="20"/>
          <w:color w:val="auto"/>
        </w:rPr>
      </w:pPr>
    </w:p>
    <w:tbl>
      <w:tblPr>
        <w:tblLayout w:type="fixed"/>
        <w:tblInd w:w="1230" w:type="dxa"/>
        <w:tblCellMar>
          <w:top w:w="0" w:type="dxa"/>
          <w:left w:w="0" w:type="dxa"/>
          <w:bottom w:w="0" w:type="dxa"/>
          <w:right w:w="0" w:type="dxa"/>
        </w:tblCellMar>
      </w:tblPr>
      <w:tr>
        <w:trPr>
          <w:trHeight w:val="283"/>
        </w:trPr>
        <w:tc>
          <w:tcPr>
            <w:tcW w:w="3380" w:type="dxa"/>
            <w:vAlign w:val="bottom"/>
            <w:tcBorders>
              <w:top w:val="single" w:sz="8" w:color="auto"/>
              <w:left w:val="single" w:sz="8" w:color="auto"/>
              <w:bottom w:val="single" w:sz="8" w:color="auto"/>
              <w:right w:val="single" w:sz="8" w:color="auto"/>
            </w:tcBorders>
            <w:gridSpan w:val="3"/>
            <w:shd w:val="clear" w:color="auto" w:fill="D9D9D9"/>
          </w:tcPr>
          <w:p>
            <w:pPr>
              <w:jc w:val="center"/>
              <w:ind w:right="320"/>
              <w:spacing w:after="0" w:line="229" w:lineRule="exact"/>
              <w:rPr>
                <w:sz w:val="20"/>
                <w:szCs w:val="20"/>
                <w:color w:val="auto"/>
              </w:rPr>
            </w:pPr>
            <w:r>
              <w:rPr>
                <w:rFonts w:ascii="Times New Roman" w:cs="Times New Roman" w:eastAsia="Times New Roman" w:hAnsi="Times New Roman"/>
                <w:sz w:val="22"/>
                <w:szCs w:val="22"/>
                <w:color w:val="auto"/>
                <w:w w:val="97"/>
              </w:rPr>
              <w:t>Interest Period</w:t>
            </w:r>
          </w:p>
        </w:tc>
        <w:tc>
          <w:tcPr>
            <w:tcW w:w="1080" w:type="dxa"/>
            <w:vAlign w:val="bottom"/>
            <w:tcBorders>
              <w:top w:val="single" w:sz="8" w:color="auto"/>
              <w:bottom w:val="single" w:sz="8" w:color="auto"/>
            </w:tcBorders>
            <w:shd w:val="clear" w:color="auto" w:fill="D9D9D9"/>
          </w:tcPr>
          <w:p>
            <w:pPr>
              <w:spacing w:after="0"/>
              <w:rPr>
                <w:sz w:val="24"/>
                <w:szCs w:val="24"/>
                <w:color w:val="auto"/>
              </w:rPr>
            </w:pPr>
          </w:p>
        </w:tc>
        <w:tc>
          <w:tcPr>
            <w:tcW w:w="2400" w:type="dxa"/>
            <w:vAlign w:val="bottom"/>
            <w:tcBorders>
              <w:top w:val="single" w:sz="8" w:color="auto"/>
              <w:bottom w:val="single" w:sz="8" w:color="auto"/>
              <w:right w:val="single" w:sz="8" w:color="auto"/>
            </w:tcBorders>
            <w:gridSpan w:val="2"/>
            <w:shd w:val="clear" w:color="auto" w:fill="D9D9D9"/>
          </w:tcPr>
          <w:p>
            <w:pPr>
              <w:jc w:val="center"/>
              <w:ind w:right="1440"/>
              <w:spacing w:after="0" w:line="229" w:lineRule="exact"/>
              <w:rPr>
                <w:sz w:val="20"/>
                <w:szCs w:val="20"/>
                <w:color w:val="auto"/>
              </w:rPr>
            </w:pPr>
            <w:r>
              <w:rPr>
                <w:rFonts w:ascii="Times New Roman" w:cs="Times New Roman" w:eastAsia="Times New Roman" w:hAnsi="Times New Roman"/>
                <w:sz w:val="22"/>
                <w:szCs w:val="22"/>
                <w:color w:val="auto"/>
                <w:w w:val="99"/>
              </w:rPr>
              <w:t>Percentage</w:t>
            </w:r>
          </w:p>
        </w:tc>
      </w:tr>
      <w:tr>
        <w:trPr>
          <w:trHeight w:val="263"/>
        </w:trPr>
        <w:tc>
          <w:tcPr>
            <w:tcW w:w="3380" w:type="dxa"/>
            <w:vAlign w:val="bottom"/>
            <w:tcBorders>
              <w:left w:val="single" w:sz="8" w:color="auto"/>
              <w:bottom w:val="single" w:sz="8" w:color="auto"/>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22"/>
                <w:szCs w:val="22"/>
                <w:color w:val="auto"/>
                <w:w w:val="98"/>
              </w:rPr>
              <w:t>One (1) month</w:t>
            </w:r>
          </w:p>
        </w:tc>
        <w:tc>
          <w:tcPr>
            <w:tcW w:w="2040" w:type="dxa"/>
            <w:vAlign w:val="bottom"/>
            <w:tcBorders>
              <w:bottom w:val="single" w:sz="8" w:color="auto"/>
            </w:tcBorders>
            <w:gridSpan w:val="2"/>
          </w:tcPr>
          <w:p>
            <w:pPr>
              <w:jc w:val="center"/>
              <w:ind w:left="972"/>
              <w:spacing w:after="0"/>
              <w:rPr>
                <w:sz w:val="20"/>
                <w:szCs w:val="20"/>
                <w:color w:val="auto"/>
              </w:rPr>
            </w:pPr>
            <w:r>
              <w:rPr>
                <w:rFonts w:ascii="Times New Roman" w:cs="Times New Roman" w:eastAsia="Times New Roman" w:hAnsi="Times New Roman"/>
                <w:sz w:val="22"/>
                <w:szCs w:val="22"/>
                <w:color w:val="auto"/>
              </w:rPr>
              <w:t>0.100%</w:t>
            </w:r>
          </w:p>
        </w:tc>
        <w:tc>
          <w:tcPr>
            <w:tcW w:w="1440" w:type="dxa"/>
            <w:vAlign w:val="bottom"/>
            <w:tcBorders>
              <w:bottom w:val="single" w:sz="8" w:color="auto"/>
              <w:right w:val="single" w:sz="8" w:color="auto"/>
            </w:tcBorders>
          </w:tcPr>
          <w:p>
            <w:pPr>
              <w:spacing w:after="0"/>
              <w:rPr>
                <w:sz w:val="22"/>
                <w:szCs w:val="22"/>
                <w:color w:val="auto"/>
              </w:rPr>
            </w:pPr>
          </w:p>
        </w:tc>
      </w:tr>
      <w:tr>
        <w:trPr>
          <w:trHeight w:val="264"/>
        </w:trPr>
        <w:tc>
          <w:tcPr>
            <w:tcW w:w="3380" w:type="dxa"/>
            <w:vAlign w:val="bottom"/>
            <w:tcBorders>
              <w:left w:val="single" w:sz="8" w:color="auto"/>
              <w:bottom w:val="single" w:sz="8" w:color="auto"/>
              <w:right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22"/>
                <w:szCs w:val="22"/>
                <w:color w:val="auto"/>
                <w:w w:val="98"/>
              </w:rPr>
              <w:t>Three (3) months</w:t>
            </w:r>
          </w:p>
        </w:tc>
        <w:tc>
          <w:tcPr>
            <w:tcW w:w="2040" w:type="dxa"/>
            <w:vAlign w:val="bottom"/>
            <w:tcBorders>
              <w:bottom w:val="single" w:sz="8" w:color="auto"/>
            </w:tcBorders>
            <w:gridSpan w:val="2"/>
          </w:tcPr>
          <w:p>
            <w:pPr>
              <w:jc w:val="center"/>
              <w:ind w:left="972"/>
              <w:spacing w:after="0"/>
              <w:rPr>
                <w:sz w:val="20"/>
                <w:szCs w:val="20"/>
                <w:color w:val="auto"/>
              </w:rPr>
            </w:pPr>
            <w:r>
              <w:rPr>
                <w:rFonts w:ascii="Times New Roman" w:cs="Times New Roman" w:eastAsia="Times New Roman" w:hAnsi="Times New Roman"/>
                <w:sz w:val="22"/>
                <w:szCs w:val="22"/>
                <w:color w:val="auto"/>
              </w:rPr>
              <w:t>0.150%</w:t>
            </w:r>
          </w:p>
        </w:tc>
        <w:tc>
          <w:tcPr>
            <w:tcW w:w="1440" w:type="dxa"/>
            <w:vAlign w:val="bottom"/>
            <w:tcBorders>
              <w:bottom w:val="single" w:sz="8" w:color="auto"/>
              <w:right w:val="single" w:sz="8" w:color="auto"/>
            </w:tcBorders>
          </w:tcPr>
          <w:p>
            <w:pPr>
              <w:spacing w:after="0"/>
              <w:rPr>
                <w:sz w:val="22"/>
                <w:szCs w:val="22"/>
                <w:color w:val="auto"/>
              </w:rPr>
            </w:pPr>
          </w:p>
        </w:tc>
      </w:tr>
      <w:tr>
        <w:trPr>
          <w:trHeight w:val="263"/>
        </w:trPr>
        <w:tc>
          <w:tcPr>
            <w:tcW w:w="3380" w:type="dxa"/>
            <w:vAlign w:val="bottom"/>
            <w:tcBorders>
              <w:left w:val="single" w:sz="8" w:color="auto"/>
              <w:bottom w:val="single" w:sz="8" w:color="auto"/>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22"/>
                <w:szCs w:val="22"/>
                <w:color w:val="auto"/>
                <w:w w:val="97"/>
              </w:rPr>
              <w:t>Six (6) months</w:t>
            </w:r>
          </w:p>
        </w:tc>
        <w:tc>
          <w:tcPr>
            <w:tcW w:w="2040" w:type="dxa"/>
            <w:vAlign w:val="bottom"/>
            <w:tcBorders>
              <w:bottom w:val="single" w:sz="8" w:color="auto"/>
            </w:tcBorders>
            <w:gridSpan w:val="2"/>
          </w:tcPr>
          <w:p>
            <w:pPr>
              <w:jc w:val="center"/>
              <w:ind w:left="972"/>
              <w:spacing w:after="0"/>
              <w:rPr>
                <w:sz w:val="20"/>
                <w:szCs w:val="20"/>
                <w:color w:val="auto"/>
              </w:rPr>
            </w:pPr>
            <w:r>
              <w:rPr>
                <w:rFonts w:ascii="Times New Roman" w:cs="Times New Roman" w:eastAsia="Times New Roman" w:hAnsi="Times New Roman"/>
                <w:sz w:val="22"/>
                <w:szCs w:val="22"/>
                <w:color w:val="auto"/>
              </w:rPr>
              <w:t>0.250%</w:t>
            </w:r>
          </w:p>
        </w:tc>
        <w:tc>
          <w:tcPr>
            <w:tcW w:w="1440" w:type="dxa"/>
            <w:vAlign w:val="bottom"/>
            <w:tcBorders>
              <w:bottom w:val="single" w:sz="8" w:color="auto"/>
              <w:right w:val="single" w:sz="8" w:color="auto"/>
            </w:tcBorders>
          </w:tcPr>
          <w:p>
            <w:pPr>
              <w:spacing w:after="0"/>
              <w:rPr>
                <w:sz w:val="22"/>
                <w:szCs w:val="22"/>
                <w:color w:val="auto"/>
              </w:rPr>
            </w:pPr>
          </w:p>
        </w:tc>
      </w:tr>
    </w:tbl>
    <w:p>
      <w:pPr>
        <w:spacing w:after="0" w:line="297"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CME Group Benchmark Administration Limited (CBA) (or a successor administrator of the Term SOFR Reference Rate selected by the Administrative Agent in its reasonable discretion).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4.2(b)(iv)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DSR Exposure</w:t>
      </w:r>
      <w:r>
        <w:rPr>
          <w:rFonts w:ascii="Times New Roman" w:cs="Times New Roman" w:eastAsia="Times New Roman" w:hAnsi="Times New Roman"/>
          <w:sz w:val="22"/>
          <w:szCs w:val="22"/>
          <w:color w:val="auto"/>
        </w:rPr>
        <w:t xml:space="preserve">”: at any time, the aggregate amount of the DSR LC Exposure of the LC Issuers outstanding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principal amount of all DSR Loans and LC Loans outstanding at such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DSR Loan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2.5.1(b)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LC Issuer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2.5.2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2.5.1(a)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Officer</w:t>
      </w:r>
      <w:r>
        <w:rPr>
          <w:rFonts w:ascii="Times New Roman" w:cs="Times New Roman" w:eastAsia="Times New Roman" w:hAnsi="Times New Roman"/>
          <w:sz w:val="22"/>
          <w:szCs w:val="22"/>
          <w:color w:val="auto"/>
        </w:rPr>
        <w:t>”: means, when used with respect to the Collateral Agent or the Depositary Agent, as applicable, any officer assigned to the Project Finance Agency Services Unit (or any successor unit) of the Collateral Agent or the Depositary Agent, as applicable, located at its Corporate Trust Office, who shall have direct responsibility for the administration of this Agreement or any other Loan Document to which it is a party.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TruStar Acknowledgement</w:t>
      </w:r>
      <w:r>
        <w:rPr>
          <w:rFonts w:ascii="Times New Roman" w:cs="Times New Roman" w:eastAsia="Times New Roman" w:hAnsi="Times New Roman"/>
          <w:sz w:val="22"/>
          <w:szCs w:val="22"/>
          <w:color w:val="auto"/>
        </w:rPr>
        <w:t xml:space="preserve">”: collectively, each acknowledgment with respect to an Offtake Agreement,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with such modifications as may be reasonably acceptable to Administrative Agent.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whether the rate of interest on such Loan, or on the Loans constituting such Borrowing, is determined by reference to the Base Rate or the Adjusted Term SOFR.</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the Uniform Commercial Code as adopted in New York and from time to time in effect.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the Bank of England or any other public administrative authority having responsibility for the resolution of any UK Financial Institution.</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the applicable Benchmark Replacement excluding the related Benchmark Replacement Adjustment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Affiliate</w:t>
      </w:r>
      <w:r>
        <w:rPr>
          <w:rFonts w:ascii="Times New Roman" w:cs="Times New Roman" w:eastAsia="Times New Roman" w:hAnsi="Times New Roman"/>
          <w:sz w:val="22"/>
          <w:szCs w:val="22"/>
          <w:color w:val="auto"/>
        </w:rPr>
        <w:t>”: any Affiliate of the Borrower that is not a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Commitments</w:t>
      </w:r>
      <w:r>
        <w:rPr>
          <w:rFonts w:ascii="Times New Roman" w:cs="Times New Roman" w:eastAsia="Times New Roman" w:hAnsi="Times New Roman"/>
          <w:sz w:val="22"/>
          <w:szCs w:val="22"/>
          <w:color w:val="auto"/>
        </w:rPr>
        <w:t>”: the Unutilized Term Loan Commitments and Unutilized DSR Loan Commitments.</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DSR Loan Commitment</w:t>
      </w:r>
      <w:r>
        <w:rPr>
          <w:rFonts w:ascii="Times New Roman" w:cs="Times New Roman" w:eastAsia="Times New Roman" w:hAnsi="Times New Roman"/>
          <w:sz w:val="22"/>
          <w:szCs w:val="22"/>
          <w:color w:val="auto"/>
        </w:rPr>
        <w:t xml:space="preserve">”: with respect to any DSR Lender at any time, (a) such DSR Lender’s DSR Loan Commitment at such time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without duplication (i) the aggregate principal amount of all DSR Loans and LC Loans made by such DSR Lender outstanding at such time and (ii) such DSR Lender’s Proportionate Share of the total DSR LC Exposure at such time.</w:t>
      </w:r>
    </w:p>
    <w:p>
      <w:pPr>
        <w:spacing w:after="0" w:line="15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Unutilized Term Loan Commitment</w:t>
      </w:r>
      <w:r>
        <w:rPr>
          <w:rFonts w:ascii="Times New Roman" w:cs="Times New Roman" w:eastAsia="Times New Roman" w:hAnsi="Times New Roman"/>
          <w:sz w:val="21"/>
          <w:szCs w:val="21"/>
          <w:color w:val="auto"/>
        </w:rPr>
        <w:t xml:space="preserve">”: with respect to any Term Lender at any time, (a) such Term Lender’s Term Loan Commitment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aggregate principal amount of Term Loans made by such Term Loan outstanding at such time.</w:t>
      </w:r>
    </w:p>
    <w:p>
      <w:pPr>
        <w:spacing w:after="0" w:line="13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WTNA Fee Letter</w:t>
      </w:r>
      <w:r>
        <w:rPr>
          <w:rFonts w:ascii="Times New Roman" w:cs="Times New Roman" w:eastAsia="Times New Roman" w:hAnsi="Times New Roman"/>
          <w:sz w:val="22"/>
          <w:szCs w:val="22"/>
          <w:color w:val="auto"/>
        </w:rPr>
        <w:t>”: that certain fee letter dated as of April 1, 2022 and executed on May 18, 2022 by and among the Borrower, the Collateral Agent and the Depositary Agent.</w:t>
      </w:r>
    </w:p>
    <w:p>
      <w:pPr>
        <w:spacing w:after="0" w:line="150"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Rates</w:t>
      </w:r>
      <w:r>
        <w:rPr>
          <w:rFonts w:ascii="Times New Roman" w:cs="Times New Roman" w:eastAsia="Times New Roman" w:hAnsi="Times New Roman"/>
          <w:sz w:val="22"/>
          <w:szCs w:val="22"/>
          <w:color w:val="auto"/>
        </w:rPr>
        <w:t>. The Administrative Agent does not warrant or accept responsibility for, and shall not have any liability with respect to (a) the continuation of, administration of, submission of, calculation of or any other matter related to the Base Rate, any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or any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or any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Other Definitional Provisions</w:t>
      </w:r>
      <w:r>
        <w:rPr>
          <w:rFonts w:ascii="Times New Roman" w:cs="Times New Roman" w:eastAsia="Times New Roman" w:hAnsi="Times New Roman"/>
          <w:sz w:val="22"/>
          <w:szCs w:val="22"/>
          <w:color w:val="auto"/>
        </w:rPr>
        <w:t>. With reference to this Agreement and each other Loan Document, unless otherwise specified herein or in such other Loan Document:</w:t>
      </w:r>
    </w:p>
    <w:p>
      <w:pPr>
        <w:spacing w:after="0" w:line="150" w:lineRule="exact"/>
        <w:rPr>
          <w:sz w:val="20"/>
          <w:szCs w:val="20"/>
          <w:color w:val="auto"/>
        </w:rPr>
      </w:pPr>
    </w:p>
    <w:p>
      <w:pPr>
        <w:ind w:firstLine="1304"/>
        <w:spacing w:after="0" w:line="236"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herein shall apply equally to the singular and plural forms of the terms defined. Whenever the context may require, any pronoun shall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0" w:name="page51"/>
    <w:bookmarkEnd w:id="50"/>
    <w:p>
      <w:pPr>
        <w:jc w:val="both"/>
        <w:spacing w:after="0" w:line="209" w:lineRule="auto"/>
        <w:rPr>
          <w:sz w:val="20"/>
          <w:szCs w:val="20"/>
          <w:color w:val="auto"/>
        </w:rPr>
      </w:pPr>
      <w:r>
        <w:rPr>
          <w:rFonts w:ascii="Times New Roman" w:cs="Times New Roman" w:eastAsia="Times New Roman" w:hAnsi="Times New Roman"/>
          <w:sz w:val="22"/>
          <w:szCs w:val="22"/>
          <w:color w:val="auto"/>
        </w:rPr>
        <w:t>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organizational or governing documents of a Person)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51" w:lineRule="exact"/>
        <w:rPr>
          <w:sz w:val="20"/>
          <w:szCs w:val="20"/>
          <w:color w:val="auto"/>
        </w:rPr>
      </w:pPr>
    </w:p>
    <w:p>
      <w:pPr>
        <w:jc w:val="both"/>
        <w:ind w:firstLine="1304"/>
        <w:spacing w:after="0" w:line="225"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Consolidated balance sheet of Opal Fuels as at December 31, 2021, the related audited Consolidated statements of income and members’ equity and of cash flows of Opal Fuels for its fiscal year then ended,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1" w:name="page52"/>
    <w:bookmarkEnd w:id="51"/>
    <w:p>
      <w:pPr>
        <w:jc w:val="both"/>
        <w:ind w:firstLine="1304"/>
        <w:spacing w:after="0" w:line="210" w:lineRule="auto"/>
        <w:tabs>
          <w:tab w:leader="none" w:pos="19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Consolidated financial statements of Opal Fuels for its fiscal year ended December 31, 2021 for all purposes of this Agreement, notwithstanding any change in GAAP relating thereto, unless the parties hereto shall enter into a mutually acceptable amendment addressing such changes, as provided for above.</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Consolidation of Variable Interest Entities</w:t>
      </w:r>
      <w:r>
        <w:rPr>
          <w:rFonts w:ascii="Times New Roman" w:cs="Times New Roman" w:eastAsia="Times New Roman" w:hAnsi="Times New Roman"/>
          <w:sz w:val="22"/>
          <w:szCs w:val="22"/>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Unless otherwise specified, all references herein to times of day shall be references to Eastern time (daylight or standard, as applicable).</w:t>
      </w:r>
    </w:p>
    <w:p>
      <w:pPr>
        <w:spacing w:after="0" w:line="15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Interest Rates</w:t>
      </w:r>
      <w:r>
        <w:rPr>
          <w:rFonts w:ascii="Times New Roman" w:cs="Times New Roman" w:eastAsia="Times New Roman" w:hAnsi="Times New Roman"/>
          <w:sz w:val="21"/>
          <w:szCs w:val="21"/>
          <w:color w:val="auto"/>
        </w:rPr>
        <w:t>. The Administrative Agent does not warrant, nor accept responsibility, nor shall the Administrative Agent have any liability with respect to the administration, submission or any other matter with respect to SOFR (including, for the avoidance of doubt, the selection of such rate and any related spread or other adjustment) that is an alternative or replacement for or successor to any such rate or the effect of any of the foregoing, or of any Benchmark Replacement Conforming Changes.</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2</w:t>
      </w:r>
    </w:p>
    <w:p>
      <w:pPr>
        <w:ind w:left="4380"/>
        <w:spacing w:after="0"/>
        <w:rPr>
          <w:sz w:val="20"/>
          <w:szCs w:val="20"/>
          <w:color w:val="auto"/>
        </w:rPr>
      </w:pPr>
      <w:r>
        <w:rPr>
          <w:rFonts w:ascii="Times New Roman" w:cs="Times New Roman" w:eastAsia="Times New Roman" w:hAnsi="Times New Roman"/>
          <w:sz w:val="22"/>
          <w:szCs w:val="22"/>
          <w:color w:val="auto"/>
        </w:rPr>
        <w:t>THE CREDIT FACILITIES.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Loan Facilities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i w:val="1"/>
          <w:iCs w:val="1"/>
          <w:color w:val="auto"/>
        </w:rPr>
        <w:t>Term Loan Facility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in this Agreement and in reliance upon the representations and warranties of the Borrower set forth herein, each Term Lender severally, but not jointly, agrees to advance to the Borrower from time to time during the Term Loan Availability Period such loans as the Borrower may request pursuant to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in an aggregate principal amount which, when added to the aggregate principal amount of all prior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made by such Lender under this Agreement, does not exceed such Lender’s Term Loan Commitment.</w:t>
      </w:r>
    </w:p>
    <w:p>
      <w:pPr>
        <w:spacing w:after="0" w:line="179" w:lineRule="exact"/>
        <w:rPr>
          <w:sz w:val="20"/>
          <w:szCs w:val="20"/>
          <w:color w:val="auto"/>
        </w:rPr>
      </w:pPr>
    </w:p>
    <w:p>
      <w:pPr>
        <w:ind w:left="2600" w:hanging="648"/>
        <w:spacing w:after="0"/>
        <w:tabs>
          <w:tab w:leader="none" w:pos="26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prepaid or repaid in respect of Term Loans may not be reborrowed.</w:t>
      </w:r>
    </w:p>
    <w:p>
      <w:pPr>
        <w:spacing w:after="0" w:line="179"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9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the Term Loans to be funded by the Term Lenders for any Initial Project or any Additional Project shall not exceed the Allocated Term Loan Commitment for such Project as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2-A</w:t>
      </w:r>
      <w:r>
        <w:rPr>
          <w:rFonts w:ascii="Times New Roman" w:cs="Times New Roman" w:eastAsia="Times New Roman" w:hAnsi="Times New Roman"/>
          <w:sz w:val="22"/>
          <w:szCs w:val="22"/>
          <w:color w:val="auto"/>
        </w:rPr>
        <w:t xml:space="preserve"> with respect to Initial Projects, as </w:t>
      </w:r>
      <w:r>
        <w:rPr>
          <w:rFonts w:ascii="Times New Roman" w:cs="Times New Roman" w:eastAsia="Times New Roman" w:hAnsi="Times New Roman"/>
          <w:sz w:val="22"/>
          <w:szCs w:val="22"/>
          <w:u w:val="single" w:color="auto"/>
          <w:color w:val="auto"/>
        </w:rPr>
        <w:t>Schedule 2-A</w:t>
      </w:r>
      <w:r>
        <w:rPr>
          <w:rFonts w:ascii="Times New Roman" w:cs="Times New Roman" w:eastAsia="Times New Roman" w:hAnsi="Times New Roman"/>
          <w:sz w:val="22"/>
          <w:szCs w:val="22"/>
          <w:color w:val="auto"/>
        </w:rPr>
        <w:t xml:space="preserve"> shall be supplemented from time to time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to include Additional Projects hereunder as of the applicable Inclusion Date thereof, and the aggregate principal amount of the Term Loans made by each Lender allocated to any Project, which, when added to the aggregate principal amount of all prior Term Loans made by such Lender under this Agreement allocated to such Project, shall not exceed such Lender’s Proportionate Share of the Allocated Term Loan Commitment for such Project.</w:t>
      </w:r>
    </w:p>
    <w:p>
      <w:pPr>
        <w:spacing w:after="0" w:line="156" w:lineRule="exact"/>
        <w:rPr>
          <w:sz w:val="20"/>
          <w:szCs w:val="20"/>
          <w:color w:val="auto"/>
        </w:rPr>
      </w:pPr>
    </w:p>
    <w:p>
      <w:pPr>
        <w:ind w:firstLine="1304"/>
        <w:spacing w:after="0" w:line="236"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Borrower shall request Term Loans by delivering to Administrative Agent a Notice of Borrowing, which contains or specifies, among other things:</w:t>
      </w:r>
    </w:p>
    <w:p>
      <w:pPr>
        <w:sectPr>
          <w:pgSz w:w="11900" w:h="16838" w:orient="portrait"/>
          <w:cols w:equalWidth="0" w:num="1">
            <w:col w:w="11240"/>
          </w:cols>
          <w:pgMar w:left="320" w:top="1395" w:right="339" w:bottom="1440" w:gutter="0" w:footer="0" w:header="0"/>
        </w:sectPr>
      </w:pPr>
    </w:p>
    <w:p>
      <w:pPr>
        <w:spacing w:after="0" w:line="150" w:lineRule="exact"/>
        <w:rPr>
          <w:sz w:val="20"/>
          <w:szCs w:val="20"/>
          <w:color w:val="auto"/>
        </w:rPr>
      </w:pPr>
    </w:p>
    <w:p>
      <w:pPr>
        <w:ind w:firstLine="1944"/>
        <w:spacing w:after="0" w:line="236" w:lineRule="auto"/>
        <w:rPr>
          <w:sz w:val="20"/>
          <w:szCs w:val="20"/>
          <w:color w:val="auto"/>
        </w:rPr>
      </w:pPr>
      <w:r>
        <w:rPr>
          <w:rFonts w:ascii="Times New Roman" w:cs="Times New Roman" w:eastAsia="Times New Roman" w:hAnsi="Times New Roman"/>
          <w:sz w:val="22"/>
          <w:szCs w:val="22"/>
          <w:color w:val="auto"/>
        </w:rPr>
        <w:t xml:space="preserve">(i) the portion of the requested Term Loan which shall bear interest as is (A) </w:t>
      </w:r>
      <w:r>
        <w:rPr>
          <w:rFonts w:ascii="Times New Roman" w:cs="Times New Roman" w:eastAsia="Times New Roman" w:hAnsi="Times New Roman"/>
          <w:sz w:val="22"/>
          <w:szCs w:val="22"/>
          <w:u w:val="single" w:color="auto"/>
          <w:color w:val="auto"/>
        </w:rPr>
        <w:t>Section 2.1.1(c)(i)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Base Rate 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Base Rate Term</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right"/>
        <w:spacing w:after="0" w:line="236" w:lineRule="auto"/>
        <w:rPr>
          <w:sz w:val="20"/>
          <w:szCs w:val="20"/>
          <w:color w:val="auto"/>
        </w:rPr>
      </w:pPr>
      <w:r>
        <w:rPr>
          <w:rFonts w:ascii="Times New Roman" w:cs="Times New Roman" w:eastAsia="Times New Roman" w:hAnsi="Times New Roman"/>
          <w:sz w:val="22"/>
          <w:szCs w:val="22"/>
          <w:color w:val="auto"/>
        </w:rPr>
        <w:t xml:space="preserve">provided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firstLine="9"/>
        <w:spacing w:after="0" w:line="247" w:lineRule="auto"/>
        <w:rPr>
          <w:sz w:val="20"/>
          <w:szCs w:val="20"/>
          <w:color w:val="auto"/>
        </w:rPr>
      </w:pPr>
      <w:r>
        <w:rPr>
          <w:rFonts w:ascii="Times New Roman" w:cs="Times New Roman" w:eastAsia="Times New Roman" w:hAnsi="Times New Roman"/>
          <w:sz w:val="21"/>
          <w:szCs w:val="21"/>
          <w:color w:val="auto"/>
        </w:rPr>
        <w:t>in or</w:t>
      </w:r>
    </w:p>
    <w:p>
      <w:pPr>
        <w:spacing w:after="0" w:line="1" w:lineRule="exact"/>
        <w:rPr>
          <w:sz w:val="20"/>
          <w:szCs w:val="20"/>
          <w:color w:val="auto"/>
        </w:rPr>
      </w:pPr>
    </w:p>
    <w:p>
      <w:pPr>
        <w:sectPr>
          <w:pgSz w:w="11900" w:h="16838" w:orient="portrait"/>
          <w:cols w:equalWidth="0" w:num="3">
            <w:col w:w="10060" w:space="60"/>
            <w:col w:w="800" w:space="140"/>
            <w:col w:w="180"/>
          </w:cols>
          <w:pgMar w:left="320" w:top="1395" w:right="339" w:bottom="1440" w:gutter="0" w:footer="0" w:header="0"/>
          <w:type w:val="continuous"/>
        </w:sectPr>
      </w:pPr>
    </w:p>
    <w:p>
      <w:pPr>
        <w:ind w:left="360" w:hanging="352"/>
        <w:spacing w:after="0" w:line="205" w:lineRule="auto"/>
        <w:tabs>
          <w:tab w:leader="none" w:pos="3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2.1.1(c)(ii)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SOFR 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SOFR Term Loans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requested Term Loan, which shall be in the minimum amount of $2,000,000, or, if the remaining Total Term Loan Commitment is less than $2,000,000, such remaining amount;</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the requested Term Loan (which shall be a Business Day);</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requested Term Loan to be made as a SOFR Term Loan, the initial Interest Period requested therefor (which shall be an Interest Period contemplated by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allocation of the requested Term Loan among the Funded Projects (including any Project for which such Borrowing represents the initial Borrowing for such Project);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by the Borrower that, as of the date such requested Term Loan is proposed to be made, the Term Loan proposed to be made on such date, when added together with all other Term Loans made under this Agreement, does not exceed the then applicable Total Term Loan Commitment.</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Borrower shall request no more than one (1) Term Loan per calendar quarter. The Borrower shall give each Notice of Borrowing to Administrative Agent so as to provide not less than the Minimum Notice Period applicable to Term Loans of the Type requested. Any Notice of Borrowing may be modified or revoked by the Borrower through the Business Day prior to the Minimum Notice Period, and shall thereafter be irrevocable.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If any Notice of Borrowing does not specify whether the requested Term Loans will be Base Rate Term Loans or SOFR Term Loans, such Term Loans shall be Base Rate Term Loans. If no Interest Period is specified with respect to any requested SOFR Term Loans, then the Borrower will be deemed to have selected an Interest Period of one (1)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type w:val="continuous"/>
        </w:sectPr>
      </w:pPr>
    </w:p>
    <w:bookmarkStart w:id="53" w:name="page54"/>
    <w:bookmarkEnd w:id="53"/>
    <w:p>
      <w:pPr>
        <w:spacing w:after="0" w:line="236" w:lineRule="auto"/>
        <w:rPr>
          <w:sz w:val="20"/>
          <w:szCs w:val="20"/>
          <w:color w:val="auto"/>
        </w:rPr>
      </w:pPr>
      <w:r>
        <w:rPr>
          <w:rFonts w:ascii="Times New Roman" w:cs="Times New Roman" w:eastAsia="Times New Roman" w:hAnsi="Times New Roman"/>
          <w:sz w:val="22"/>
          <w:szCs w:val="22"/>
          <w:color w:val="auto"/>
        </w:rPr>
        <w:t>The proceeds of all Term Loans shall be deposited into the applicable Construction Accounts pursuant to the Depositary Agreement.</w:t>
      </w:r>
    </w:p>
    <w:p>
      <w:pPr>
        <w:spacing w:after="0" w:line="150" w:lineRule="exact"/>
        <w:rPr>
          <w:sz w:val="20"/>
          <w:szCs w:val="20"/>
          <w:color w:val="auto"/>
        </w:rPr>
      </w:pPr>
    </w:p>
    <w:p>
      <w:pPr>
        <w:jc w:val="both"/>
        <w:ind w:firstLine="1304"/>
        <w:spacing w:after="0" w:line="225"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Interest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the Borrower shall pay interest on the unpaid principal amount of each Term Loan from the date of Borrowing of such Term Loan until the maturity or prepayment thereof at the following rates per annum:</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Term Loan which is, and during such periods as such Term Loan is, a Base Rate Term Loan, at a rate per annum equal to the Base Rate (such rate to change from time to time as the Base Rate shall change)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Base Rate Loans;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Term Loan which is, and during such periods as such Term Loan is, a SOFR Term Loan, at a rate per annum, at all times during each Interest Period for such SOFR Term Loan, equal to the Adjusted Term SOFR for such Interest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SOFR Loans.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Loan—Scheduled Principal Amortization</w:t>
      </w:r>
      <w:r>
        <w:rPr>
          <w:rFonts w:ascii="Times New Roman" w:cs="Times New Roman" w:eastAsia="Times New Roman" w:hAnsi="Times New Roman"/>
          <w:sz w:val="22"/>
          <w:szCs w:val="22"/>
          <w:color w:val="auto"/>
        </w:rPr>
        <w:t>. On each Quarterly Payment Date occurring on or after the Term Conversion Date, Borrower shall repay to Administrative Agent, for the account of each Lender, the aggregate unpaid principal amount of the Term Loan made by such Lender in installments in accordance with the Amortization Schedule, with any remaining unpaid principal, interest, fees and costs due and payable on the Maturity Date.</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i w:val="1"/>
          <w:iCs w:val="1"/>
          <w:color w:val="auto"/>
        </w:rPr>
        <w:t>DSR Loan Facility.</w:t>
      </w:r>
    </w:p>
    <w:p>
      <w:pPr>
        <w:spacing w:after="0" w:line="183" w:lineRule="exact"/>
        <w:rPr>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DSR Lender agrees, severally, but not jointly, to make one or more DSR Loans to Borrower from time to time during the applicable DSR Availability Period, in an aggregate principal amount that will not exceed such DSR Lender’s Unutilized DSR Loan Commitment at such time. Each DSR Loan made hereunder shall constitute utilization of a portion of the LC Issuer Commitments and the Total DSR Loan Commitments, in each case in an amount equal to the aggregate principal amount of such DSR Loan.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prepaid or repaid in respect of DSR Loans may be reborrowed.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The Borrower shall request DSR Loans by delivering to Administrative Agent a Notice of Borrowing which contains or specifies, among other things:</w:t>
      </w:r>
    </w:p>
    <w:p>
      <w:pPr>
        <w:sectPr>
          <w:pgSz w:w="11900" w:h="16838" w:orient="portrait"/>
          <w:cols w:equalWidth="0" w:num="1">
            <w:col w:w="11240"/>
          </w:cols>
          <w:pgMar w:left="320" w:top="1395" w:right="339" w:bottom="1440" w:gutter="0" w:footer="0" w:header="0"/>
        </w:sectPr>
      </w:pPr>
    </w:p>
    <w:p>
      <w:pPr>
        <w:spacing w:after="0" w:line="150" w:lineRule="exact"/>
        <w:rPr>
          <w:sz w:val="20"/>
          <w:szCs w:val="20"/>
          <w:color w:val="auto"/>
        </w:rPr>
      </w:pPr>
    </w:p>
    <w:p>
      <w:pPr>
        <w:ind w:firstLine="1944"/>
        <w:spacing w:after="0" w:line="236" w:lineRule="auto"/>
        <w:rPr>
          <w:sz w:val="20"/>
          <w:szCs w:val="20"/>
          <w:color w:val="auto"/>
        </w:rPr>
      </w:pPr>
      <w:r>
        <w:rPr>
          <w:rFonts w:ascii="Times New Roman" w:cs="Times New Roman" w:eastAsia="Times New Roman" w:hAnsi="Times New Roman"/>
          <w:sz w:val="22"/>
          <w:szCs w:val="22"/>
          <w:color w:val="auto"/>
        </w:rPr>
        <w:t xml:space="preserve">(i) the portion of the requested DSR Loan which shall bear interest as is (A) </w:t>
      </w:r>
      <w:r>
        <w:rPr>
          <w:rFonts w:ascii="Times New Roman" w:cs="Times New Roman" w:eastAsia="Times New Roman" w:hAnsi="Times New Roman"/>
          <w:sz w:val="22"/>
          <w:szCs w:val="22"/>
          <w:u w:val="single" w:color="auto"/>
          <w:color w:val="auto"/>
        </w:rPr>
        <w:t>Section 2.1.2(c)(i)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Base Rate DSR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Base Rate DSR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21"/>
          <w:szCs w:val="21"/>
          <w:color w:val="auto"/>
        </w:rPr>
        <w:t xml:space="preserve">provided </w:t>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firstLine="14"/>
        <w:spacing w:after="0" w:line="236" w:lineRule="auto"/>
        <w:rPr>
          <w:sz w:val="20"/>
          <w:szCs w:val="20"/>
          <w:color w:val="auto"/>
        </w:rPr>
      </w:pPr>
      <w:r>
        <w:rPr>
          <w:rFonts w:ascii="Times New Roman" w:cs="Times New Roman" w:eastAsia="Times New Roman" w:hAnsi="Times New Roman"/>
          <w:sz w:val="22"/>
          <w:szCs w:val="22"/>
          <w:color w:val="auto"/>
        </w:rPr>
        <w:t>in or</w:t>
      </w:r>
    </w:p>
    <w:p>
      <w:pPr>
        <w:spacing w:after="0" w:line="1" w:lineRule="exact"/>
        <w:rPr>
          <w:sz w:val="20"/>
          <w:szCs w:val="20"/>
          <w:color w:val="auto"/>
        </w:rPr>
      </w:pPr>
    </w:p>
    <w:p>
      <w:pPr>
        <w:sectPr>
          <w:pgSz w:w="11900" w:h="16838" w:orient="portrait"/>
          <w:cols w:equalWidth="0" w:num="3">
            <w:col w:w="10060" w:space="60"/>
            <w:col w:w="780" w:space="140"/>
            <w:col w:w="200"/>
          </w:cols>
          <w:pgMar w:left="320" w:top="1395" w:right="339" w:bottom="1440" w:gutter="0" w:footer="0" w:header="0"/>
          <w:type w:val="continuous"/>
        </w:sectPr>
      </w:pPr>
    </w:p>
    <w:p>
      <w:pPr>
        <w:ind w:left="360" w:hanging="352"/>
        <w:spacing w:after="0" w:line="205" w:lineRule="auto"/>
        <w:tabs>
          <w:tab w:leader="none" w:pos="3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2.1.2(c)(ii)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SOFR DSR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SOFR DSR Loans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requested DSR Loan, which shall be in the minimum amount of $1,000,000, or, if the remaining Total DSR Loan Commitments are less than $1,000,000, such remaining amount;</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date of the requested DSR Loan (which shall be a Business Day occurring on or after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Term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type w:val="continuous"/>
        </w:sectPr>
      </w:pPr>
    </w:p>
    <w:bookmarkStart w:id="54" w:name="page55"/>
    <w:bookmarkEnd w:id="54"/>
    <w:p>
      <w:pPr>
        <w:ind w:firstLine="1952"/>
        <w:spacing w:after="0" w:line="236" w:lineRule="auto"/>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requested DSR Loan to be made as a SOFR DSR Loan, the initial Interest Period requested therefor (which shall be an Interest Period contemplated by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by the Borrower that, as of the date such requested DSR Loan is proposed to be made, the DSR Loan proposed to be made on such date, when added together with the Total DSR Exposure, does not exceed the Total DSR Loan Commitment.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The Borrower shall give each Notice of Borrowing to the Administrative Agent so as to provide not less than the Minimum Notice Period applicable to DSR Loans of the Type requested. Any Notice of Borrowing may be modified or revoked by Borrower through the Business Day prior to the Minimum Notice Period, and shall thereafter be irrevocable.</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If any Notice of Borrowing does not specify whether the requested DSR Loans will be Base Rate DSR Loans or SOFR DSR Loans, such DSR Loans shall be Base Rate DSR Loans. If no Interest Period is specified with respect to any requested SOFR DSR Loans, then the Borrower will be deemed to have selected an Interest Period of one month’s duration. If no Depositary Account is specified for the deposit of the proceeds of such DSR Loan, the proceeds of the DSR Loan shall be deposited into the Revenue Account.</w:t>
      </w:r>
    </w:p>
    <w:p>
      <w:pPr>
        <w:spacing w:after="0" w:line="152" w:lineRule="exact"/>
        <w:rPr>
          <w:sz w:val="20"/>
          <w:szCs w:val="20"/>
          <w:color w:val="auto"/>
        </w:rPr>
      </w:pPr>
    </w:p>
    <w:p>
      <w:pPr>
        <w:jc w:val="both"/>
        <w:ind w:firstLine="1304"/>
        <w:spacing w:after="0" w:line="225"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DSR Loan Interest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the Borrower shall pay interest on the unpaid principal amount of each DSR Loan from the date of Borrowing of such DSR Loan until the maturity or prepayment thereof at the following rates per annum:</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DSR Loan which is, and during such periods as such DSR Loan is, a Base Rate DSR Loan, at a rate per annum equal to the Base Rate (such rate to change from time to time as the Base Rate shall change)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Base Rate Loans;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DSR Loan which is, and during such periods as such DSR Loan is, a SOFR DSR Loan, at a rate per annum, at all times during each Interest Period for such SOFR DSR Loan, equal to the Adjusted Term SOFR for such Interest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SOFR Loans.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DSR Loan Principal Payments</w:t>
      </w:r>
      <w:r>
        <w:rPr>
          <w:rFonts w:ascii="Times New Roman" w:cs="Times New Roman" w:eastAsia="Times New Roman" w:hAnsi="Times New Roman"/>
          <w:sz w:val="22"/>
          <w:szCs w:val="22"/>
          <w:color w:val="auto"/>
        </w:rPr>
        <w:t>. The Borrower shall repay to Administrative Agent, for the account of each DSR Lender, in full on the Maturity Date, the unpaid principal amount of any DSR Loan made by such DSR Lender.</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i w:val="1"/>
          <w:iCs w:val="1"/>
          <w:color w:val="auto"/>
        </w:rPr>
        <w:t>Interest Provisions Relating to All Loans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0"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Interest Rate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the applicable basis for determining the rate of interest with respect to any Term Loan or DSR Loan shall be selected by Borrower initially at the time a Notice of Borrowing is given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as the case may be, and the applicable basis for determining the rate of interest with respect to any LC Loan shall be as set forth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The basis for determining the interest rate with respect to any Loan may be changed from time to time as specified in a Notice of Conversion of Loan Type delivered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If on any day a Term Loan or a DSR Loan is outstanding with respect to which notice has not been delivered to Administrative Agent in accordance with the terms of this Agreement specifying the applicable basis for determining the rate of interest, then for that day such Term Loan or DSR Loan, as applicable, shall bear interest determined by reference to the Base Rate. If at any time an Event of Default has occurred and is continuing, (a) Borrower shall not request, and the Lenders shall not be obligated to make, SOFR Loans; (b) no outstanding Base Rate Loan may be converted to a SOFR Loan; and (c) no outstanding SOFR Loan may be continued as a SOFR Loan and,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5" w:name="page56"/>
    <w:bookmarkEnd w:id="55"/>
    <w:p>
      <w:pPr>
        <w:spacing w:after="0" w:line="236" w:lineRule="auto"/>
        <w:rPr>
          <w:sz w:val="20"/>
          <w:szCs w:val="20"/>
          <w:color w:val="auto"/>
        </w:rPr>
      </w:pPr>
      <w:r>
        <w:rPr>
          <w:rFonts w:ascii="Times New Roman" w:cs="Times New Roman" w:eastAsia="Times New Roman" w:hAnsi="Times New Roman"/>
          <w:sz w:val="22"/>
          <w:szCs w:val="22"/>
          <w:color w:val="auto"/>
        </w:rPr>
        <w:t>repaid, each such SOFR Loan shall be converted to a Base Rate Loan at the end of the Interest Period therefor. Administrative Agent shall promptly provide to each Lender a copy of each Notice of Conversion of Loan Type.</w:t>
      </w:r>
    </w:p>
    <w:p>
      <w:pPr>
        <w:spacing w:after="0" w:line="137" w:lineRule="exact"/>
        <w:rPr>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Payment Dates</w:t>
      </w:r>
      <w:r>
        <w:rPr>
          <w:rFonts w:ascii="Times New Roman" w:cs="Times New Roman" w:eastAsia="Times New Roman" w:hAnsi="Times New Roman"/>
          <w:sz w:val="22"/>
          <w:szCs w:val="22"/>
          <w:color w:val="auto"/>
        </w:rPr>
        <w:t>. The Borrower shall pay accrued interest on the unpaid principal amount of each</w:t>
      </w:r>
    </w:p>
    <w:p>
      <w:pPr>
        <w:jc w:val="both"/>
        <w:spacing w:after="0" w:line="22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Loan: (i) in the case of each Base Rate Loan, on the last Business Day of each calendar quarter; (ii) in the case of each SOFR Loan, on the last day of each Interest Period related to such SOFR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SOFR Loan has an Interest Period longer than three (3) months, an interim interest payment shall be due and payable after each three (3) month period of such SOFR Loan; and (iii) in all cases, upon repayment or prepayment (to the extent thereof and including any Optional Prepayments or Mandatory Prepayments), upon conversion from one Type of Loan to another Type of Loan and on the Maturity Date.</w:t>
      </w:r>
    </w:p>
    <w:p>
      <w:pPr>
        <w:spacing w:after="0" w:line="150"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SOFR Loan Interest Periods</w:t>
      </w:r>
      <w:r>
        <w:rPr>
          <w:rFonts w:ascii="Times New Roman" w:cs="Times New Roman" w:eastAsia="Times New Roman" w:hAnsi="Times New Roman"/>
          <w:sz w:val="22"/>
          <w:szCs w:val="22"/>
          <w:color w:val="auto"/>
        </w:rPr>
        <w:t xml:space="preserve">. Each Interest Period selected by the Borrower in its applicable Notice of Borrowing for all SOFR Loans shall be one (other than, after the Term Conversion Date, for DSR Loans) or three (3) months or as otherwise provided in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Interest Period which would otherwise end on a day which is not a Business Day shall be extended to the next succeeding Business Day unless such next Business Day falls in another calendar month, in which case such Interest Period shall end on the immediately preceding Business Day, (B) any Interest Period which begins on the last Business Day of a calendar month (or on a day for which there is no numerically corresponding day in the calendar month at the end of such Interest Period) shall end on the last Business Day of a calendar month, (C) the Borrower may not select Interest Periods which would leave a greater principal amount of Loans subject to Interest Periods ending after a date upon which Loans are or may be required to be repaid (including the Maturity Date and each Quarterly Payment Date to occur on or after the Term Conversion Date) than the principal amount of Loans scheduled to be outstanding after such date, (D) any Interest Period for any Loan which would otherwise end after the Maturity Date shall end on the Maturity Date, (E) SOFR Loans for each Interest Period shall be in the minimum amount of $1,000,000, and (F) Borrower may not at any time have outstanding more than eight (8) different Interest Periods relating to SOFR Loans. If the Borrower fails to notify the Administrative Agent of the next Interest Period for any SOFR Loans in accordance with this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such Loan shall automatically be continued as a SOFR Loan having an Interest Period of one (1) month on the last day of the current Interest Period therefor. The Administrative Agent shall as soon as practicable notify the Borrower of each determination of the interest rate applicable to each Loan.</w:t>
      </w:r>
    </w:p>
    <w:p>
      <w:pPr>
        <w:spacing w:after="0" w:line="160"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Computations</w:t>
      </w:r>
      <w:r>
        <w:rPr>
          <w:rFonts w:ascii="Times New Roman" w:cs="Times New Roman" w:eastAsia="Times New Roman" w:hAnsi="Times New Roman"/>
          <w:sz w:val="21"/>
          <w:szCs w:val="21"/>
          <w:color w:val="auto"/>
        </w:rPr>
        <w:t>. All computations of interest on Base Rate Loans (other than Base Rate Loans where the Base Rate is determined by reference to the Adjusted Term SOFR Rate pursuant to clause (c) of the definition of Base Rate) shall be based upon a year of 365 days or, in the case of a leap year, 366 days, shall be payable for the actual days elapsed (including the first day but excluding the last day), and shall be adjusted in accordance with any changes in the Base Rate to take effect on the beginning of the day of such change in the Base Rate. All computations of interest on SOFR Loans (and Base Rate Loans where the Base Rate is determined by reference to the SOFR Rate pursuant to clause (c) of the definition of Base Rate) shall be based upon a year of 360 days and shall be payable for the actual days elapsed (including the first day but excluding the last day). All interest hereunder on any Loan shall be computed on a daily basis based upon the outstanding principal amount of such Loan as of the applicable date of determination. The Borrower agrees that all computations of interest by the Administrative Agent, including the Adjusted Term SOFR, shall be conclusive and binding in the absence of manifest error.</w:t>
      </w:r>
    </w:p>
    <w:p>
      <w:pPr>
        <w:spacing w:after="0" w:line="148"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i w:val="1"/>
          <w:iCs w:val="1"/>
          <w:color w:val="auto"/>
        </w:rPr>
        <w:t>Promissory Notes</w:t>
      </w:r>
      <w:r>
        <w:rPr>
          <w:rFonts w:ascii="Times New Roman" w:cs="Times New Roman" w:eastAsia="Times New Roman" w:hAnsi="Times New Roman"/>
          <w:sz w:val="22"/>
          <w:szCs w:val="22"/>
          <w:color w:val="auto"/>
        </w:rPr>
        <w:t>. The obligation of the Borrower to repay the Loans made by a Lender and to pay interest thereon at the rates provided herein shall, upon the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6" w:name="page57"/>
    <w:bookmarkEnd w:id="56"/>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request of such Lender, be evidenced by promissory notes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Notes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DSR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DSR Notes</w:t>
      </w:r>
      <w:r>
        <w:rPr>
          <w:rFonts w:ascii="Times New Roman" w:cs="Times New Roman" w:eastAsia="Times New Roman" w:hAnsi="Times New Roman"/>
          <w:sz w:val="22"/>
          <w:szCs w:val="22"/>
          <w:color w:val="auto"/>
        </w:rPr>
        <w:t xml:space="preserve">”), each payable to such requesting Lender or its registered assigns and in the principal amount of such Lender’s Term Loan Commitment or DSR Loan Commitment, respectively. The Borrower authorizes each such requesting Lender to record on the schedule annexed to such Lender’s Note or Notes the date and amount of each Loan made by such requesting Lender and each payment or prepayment of principal thereunder, and agrees that all such notations shall constitute prima facie evidence of the matters noted;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inconsistency between the records or books of the Administrative Agent and any Lender’s records or Notes, the records of the Administrative Agent shall be conclusive and binding in the absence of manifest error. The Borrower further authorizes each such requesting Lender to attach to, and make a part of, such requesting Lender’s Note or Notes continuations of the schedule attached thereto as necessary. No failure to make any such notations, nor any errors in making any such notations, shall affect the validity of the Borrower’s obligations to repay the full unpaid principal amount of the Loans or the duties of the Borrower hereunder or thereunder. Upon the payment in full in cash of the aggregate principal amount of, and all accrued and unpaid interest on, the Loans the Lenders holding such Notes shall promptly mark the applicable Notes cancelled and return such cancelled Notes to the Borrower.</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i w:val="1"/>
          <w:iCs w:val="1"/>
          <w:color w:val="auto"/>
        </w:rPr>
        <w:t>Loan Funding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Each Notice of Borrowing (for Term Loans), Notice of Borrowing (for DSR Loans) and Notice of Conversion of Loan Type shall be delivered to the Administrative Agent in accordance with </w:t>
      </w:r>
      <w:r>
        <w:rPr>
          <w:rFonts w:ascii="Times New Roman" w:cs="Times New Roman" w:eastAsia="Times New Roman" w:hAnsi="Times New Roman"/>
          <w:sz w:val="22"/>
          <w:szCs w:val="22"/>
          <w:u w:val="single" w:color="auto"/>
          <w:color w:val="auto"/>
        </w:rPr>
        <w:t>Sections 2.1.1(b)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respectively. The Administrative Agent shall promptly provide to each Lender a copy of each Notice of Borrowing and Notice of Conversion of Loan Type and of each Lender’s portion of a requested Borrowing, if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Funding</w:t>
      </w:r>
      <w:r>
        <w:rPr>
          <w:rFonts w:ascii="Times New Roman" w:cs="Times New Roman" w:eastAsia="Times New Roman" w:hAnsi="Times New Roman"/>
          <w:sz w:val="22"/>
          <w:szCs w:val="22"/>
          <w:color w:val="auto"/>
        </w:rPr>
        <w:t xml:space="preserve">. Subject to the satisfaction or waiver (such waiver to be in writing by the Administrative Agent with the consent of each Lender, with respect to closing conditions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or the Required Lenders, with respect to conditions set forth in </w:t>
      </w:r>
      <w:r>
        <w:rPr>
          <w:rFonts w:ascii="Times New Roman" w:cs="Times New Roman" w:eastAsia="Times New Roman" w:hAnsi="Times New Roman"/>
          <w:sz w:val="22"/>
          <w:szCs w:val="22"/>
          <w:u w:val="single" w:color="auto"/>
          <w:color w:val="auto"/>
        </w:rPr>
        <w:t>Sections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4.7</w:t>
      </w:r>
      <w:r>
        <w:rPr>
          <w:rFonts w:ascii="Times New Roman" w:cs="Times New Roman" w:eastAsia="Times New Roman" w:hAnsi="Times New Roman"/>
          <w:sz w:val="22"/>
          <w:szCs w:val="22"/>
          <w:color w:val="auto"/>
        </w:rPr>
        <w:t>, and any such waiver shall be binding on each Lender) of the conditions precedent specified herein, each Lender shall, before 11:00 a.m., New York City time, on the date of each Borrowing specified in the respective Notice of Borrowing, make available to the Administrative Agent by wire transfer of immediately available funds in Dollars to the account of the Administrative Agent, most recently designated by it for such purpose, such Lender’s Proportionate Share of the Loan to be made on such date. The failure of any Lender to make the Loan to be made by it as part of any Borrowing shall not relieve any other Lender of its obligation hereunder to make its Loan on the date of each Borrowing specified in the respective Notice of Borrowing. No Lender shall be responsible for the failure of any other Lender to make Loans as required on the date of any Borrowing.</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of Lender to Fund</w:t>
      </w:r>
      <w:r>
        <w:rPr>
          <w:rFonts w:ascii="Times New Roman" w:cs="Times New Roman" w:eastAsia="Times New Roman" w:hAnsi="Times New Roman"/>
          <w:sz w:val="22"/>
          <w:szCs w:val="22"/>
          <w:color w:val="auto"/>
        </w:rPr>
        <w:t xml:space="preserve">. Unless the Administrative Agent shall have been notified by any Lender prior to the applicable date of a Borrowing of a Loan that such Lender does not intend to make available to the Administrative Agent such Lender’s Proportionate Share of the Loan (as the case may be) requested on such date, the Administrative Agent may assume that such Lender has made such amount available to the Administrative Agent on such date in accordance with the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and the Administrative Agent may, in its sole discretion and in reliance upon such assumption (but without any obligation), make available to the Borrower a corresponding amount on such date. If such corresponding amount is not in fact made available to the Administrative Agent by such Lender, the Administrative Agent shall be entitled to recover such corresponding amount on demand (and, in any event, within two (2) Business Days from the applicable date of such Borrowing) from such Lender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7" w:name="page58"/>
    <w:bookmarkEnd w:id="57"/>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interest thereon, for each day from the applicable date of such Borrowing until the date such amount is paid to the Administrative Agent, at the Federal Funds Rate for the first two (2) Business Days after such date. If such Lender pays such amount to the Administrative Agent, then such amount (excluding any interest paid to the Administrative Agent thereon) shall constitute such Lender’s Proportionate Share of such Loan. If such Lender does not pay such corresponding amount forthwith upon the Administrative Agent’s demand therefor or within two (2) Business Days from the applicable date of such Borrowing of a Loan, the Administrative Agent may notify the Borrower and the Borrower shall immediately pay such corresponding amount to the Administrative Agent together with interest thereon, for each day from the applicable date of such Borrowing until the date such amount is paid to the Administrative Agent, at the rate then payable under this Agreement for Base Rate Loans. Nothing in this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xml:space="preserve"> shall be deemed to relieve any Lender from its obligation to fulfill its obligations hereunder or to prejudice any rights that the Borrower may have against any Lender as a result of any default by such Lender hereunder.</w:t>
      </w:r>
    </w:p>
    <w:p>
      <w:pPr>
        <w:spacing w:after="0" w:line="152" w:lineRule="exact"/>
        <w:rPr>
          <w:sz w:val="20"/>
          <w:szCs w:val="20"/>
          <w:color w:val="auto"/>
        </w:rPr>
      </w:pPr>
    </w:p>
    <w:p>
      <w:pPr>
        <w:jc w:val="both"/>
        <w:ind w:firstLine="1304"/>
        <w:spacing w:after="0" w:line="211"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xml:space="preserve">. No later than 4:00 p.m., New York City time, on the date specified in each Notice of Borrowing, if the applicable conditions precedent listed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xml:space="preserve">, have been satisfied or waived by the Required Lenders in accordance with the terms thereof, and, subject to </w:t>
      </w:r>
      <w:r>
        <w:rPr>
          <w:rFonts w:ascii="Times New Roman" w:cs="Times New Roman" w:eastAsia="Times New Roman" w:hAnsi="Times New Roman"/>
          <w:sz w:val="22"/>
          <w:szCs w:val="22"/>
          <w:u w:val="single" w:color="auto"/>
          <w:color w:val="auto"/>
        </w:rPr>
        <w:t>Section 2.1.5(c)</w:t>
      </w:r>
      <w:r>
        <w:rPr>
          <w:rFonts w:ascii="Times New Roman" w:cs="Times New Roman" w:eastAsia="Times New Roman" w:hAnsi="Times New Roman"/>
          <w:sz w:val="22"/>
          <w:szCs w:val="22"/>
          <w:color w:val="auto"/>
        </w:rPr>
        <w:t xml:space="preserve">, to the extent the Administrative Agent shall have received the appropriate funds from the Lenders, the Administrative Agent shall make available the Term Loans or DSR Loans requested in such Notice of Borrowing in Dollars and in immediately available funds, and (i) shall deposit or cause to be deposited (x) the proceeds of any such Term Loans into the applicable Construction Account pursuant to the Depositary Agreement or (y) the proceeds of any such DSR Loans into the Depositary Account specified in the applicable Notice of Borrowing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or, if no such Depositary Account is specified, into the Revenue Account; or (ii) the proceeds of any LC Loans shall be applied to repay LC Reimbursement Obligations to the applicable LC Issuers.</w:t>
      </w:r>
    </w:p>
    <w:p>
      <w:pPr>
        <w:spacing w:after="0" w:line="154"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i w:val="1"/>
          <w:iCs w:val="1"/>
          <w:color w:val="auto"/>
        </w:rPr>
        <w:t>Conversion of Loans</w:t>
      </w:r>
      <w:r>
        <w:rPr>
          <w:rFonts w:ascii="Times New Roman" w:cs="Times New Roman" w:eastAsia="Times New Roman" w:hAnsi="Times New Roman"/>
          <w:sz w:val="22"/>
          <w:szCs w:val="22"/>
          <w:color w:val="auto"/>
        </w:rPr>
        <w:t xml:space="preserve">. The Borrower may convert Loans from one Type of Loan to another Type of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conversion of SOFR Loans into Base Rate Loans shall be effective on, and only on, the first (1st) Business Day after expiration of an Interest Period for such SOFR Loans, (b) Loans shall be converted only in amounts of $250,000 and increments of $100,000 in excess thereof and (c) no Base Rate Loan may be converted into a SOFR Loan (i) when any Event of Default has occurred and is continuing or (ii) after the date that is one (1) month prior to the Maturity Date. The Borrower shall request such a conversion by delivering to the Administrative Agent a Notice of Conversion of Loan Type, which contains or specifies, among other things:</w:t>
      </w:r>
    </w:p>
    <w:p>
      <w:pPr>
        <w:spacing w:after="0" w:line="153" w:lineRule="exact"/>
        <w:rPr>
          <w:sz w:val="20"/>
          <w:szCs w:val="20"/>
          <w:color w:val="auto"/>
        </w:rPr>
      </w:pPr>
    </w:p>
    <w:p>
      <w:pPr>
        <w:ind w:left="2580" w:hanging="628"/>
        <w:spacing w:after="0"/>
        <w:tabs>
          <w:tab w:leader="none" w:pos="2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or portion thereof, which are to be converted;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Loans into which such Loans, or portion thereof, are to be converted;</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Loans are to be converted into SOFR Loans, the initial Interest Period selected by the Borrower for such Loans (which Interest Period shall be selected in accordance with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date of the requested conversion (which shall be a Business Day and otherwise in accordance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Base Rate Loans are to be converted to SOFR Loans, a certification by the Borrower that no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The Borrower shall so deliver each Notice of Conversion of Loan Type so as to provide at least the applicable Minimum Notice Period. Any Notice of Borrowing may be modified or revoked by the Borrower through the Business Day prior to the Minimum Notice Period, and shall thereafter be irrevocable. Each Notice of Conversion of Loan Type shall be delivered to the Administrative Agent in the manner provided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The Administrative Agent shall promptly notify each Lender of the contents of each Notice of Conversion of Loan Type.</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i w:val="1"/>
          <w:iCs w:val="1"/>
          <w:color w:val="auto"/>
        </w:rPr>
        <w:t>Prepayments; Term Conversion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All Prepayments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prepayment of any Loan (whether such prepayment is an Optional Prepayment or a Mandatory Prepayment), the Borrower shall pay to the Administrative Agent for the account of the Lender which made such Loan (A) all accrued interest to the date of such prepayment on the amount of such Loan prepaid, and (B) all accrued fees to the date of such prepayment relating to the amount of such Loan being prepaid.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prepayment of Term Loans is made pursuant to 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and such prepayment would result in the aggregate notional amounts under the Secured Hedge Agreements exceeding the amounts permitted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then the Borrower (x) shall terminate, or to the extent permitted by the applicable Secured Hedge Agreement, transfer or novate, a portion of one or more Secured Hedge Agreements such that, after giving pro forma effect to any such prepayment, the aggregate notional amount of the Secured Hedge Agreements satisfies the maximum hedging requirements of the Borrower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and (y) may apply a portion of the proceeds to be prepaid to terminate or, to the extent permitted by the applicable Secured Hedge Agreements, transfer or novate a portion of the Secured Hedge Agreements, such that, after giving pro forma effect to such prepayment of Term Loans, the aggregate notional amount of the Secured Hedge Agreements is not less than the minimum hedging requirements of the Borrower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Any such early termination of Secured Hedge Agreements shall be on a pro rata basis among all of the Secured Hedge Agreements, according to the notional amounts then outstanding under each such Secured Hedge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clause shall require the Borrower to terminate any Secured Hedge Agreements except to the extent required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(iv)</w:t>
      </w:r>
    </w:p>
    <w:p>
      <w:pPr>
        <w:spacing w:after="0" w:line="179" w:lineRule="exact"/>
        <w:rPr>
          <w:sz w:val="20"/>
          <w:szCs w:val="20"/>
          <w:color w:val="auto"/>
        </w:rPr>
      </w:pPr>
    </w:p>
    <w:p>
      <w:pPr>
        <w:ind w:right="20" w:firstLine="2600"/>
        <w:spacing w:after="0" w:line="236" w:lineRule="auto"/>
        <w:tabs>
          <w:tab w:leader="none" w:pos="322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Optional Prepayments shall be applied as directed by Borrower (or, if no direction is given, in the order of the maturity of the scheduled principal payments);</w:t>
      </w:r>
    </w:p>
    <w:p>
      <w:pPr>
        <w:spacing w:after="0" w:line="150" w:lineRule="exact"/>
        <w:rPr>
          <w:rFonts w:ascii="Times New Roman" w:cs="Times New Roman" w:eastAsia="Times New Roman" w:hAnsi="Times New Roman"/>
          <w:sz w:val="22"/>
          <w:szCs w:val="22"/>
          <w:color w:val="auto"/>
        </w:rPr>
      </w:pPr>
    </w:p>
    <w:p>
      <w:pPr>
        <w:jc w:val="both"/>
        <w:ind w:firstLine="2600"/>
        <w:spacing w:after="0" w:line="216" w:lineRule="auto"/>
        <w:tabs>
          <w:tab w:leader="none" w:pos="323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Mandatory Prepayment other than Mandatory Prepayments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2.1.7(c)(i)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which shall be applied as set forth herein and in the Depositary Agreement (as applicable), shall be applied,</w:t>
      </w:r>
    </w:p>
    <w:p>
      <w:pPr>
        <w:jc w:val="both"/>
        <w:ind w:firstLine="8"/>
        <w:spacing w:after="0" w:line="220" w:lineRule="auto"/>
        <w:tabs>
          <w:tab w:leader="none" w:pos="30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prepay outstanding Term Loans or to reduce the remaining payments of Term Loans required under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xml:space="preserve"> pro rata to the scheduled principal payments, together with (x) accrued but unpaid interest and fees payable in connection with such prepayment, (y) amounts payable pursuant to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and (z) any Hedge Termination Payments payable to any Permitted Hedge Counterparty pursuant to </w:t>
      </w:r>
      <w:r>
        <w:rPr>
          <w:rFonts w:ascii="Times New Roman" w:cs="Times New Roman" w:eastAsia="Times New Roman" w:hAnsi="Times New Roman"/>
          <w:sz w:val="21"/>
          <w:szCs w:val="21"/>
          <w:u w:val="single" w:color="auto"/>
          <w:color w:val="auto"/>
        </w:rPr>
        <w:t>Section 2.1.7(a)(iii)</w:t>
      </w:r>
      <w:r>
        <w:rPr>
          <w:rFonts w:ascii="Times New Roman" w:cs="Times New Roman" w:eastAsia="Times New Roman" w:hAnsi="Times New Roman"/>
          <w:sz w:val="21"/>
          <w:szCs w:val="21"/>
          <w:color w:val="auto"/>
        </w:rPr>
        <w:t xml:space="preserve"> in connection with such prepayment or, if not payable on the date of such Mandatory Prepayment, reservation in the Prepayment Account (as defined in the Depositary Agreement) of an amount equal to 100% of the Hedge Termination Payments reasonably projected as of the date of such Mandatory Prepayment to be payable by the Borrower to any Permitted Hedge Counterparty in connection with any such prepayment with respect to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59" w:name="page60"/>
    <w:bookmarkEnd w:id="59"/>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Hedge Agreements terminated in accordance with </w:t>
      </w:r>
      <w:r>
        <w:rPr>
          <w:rFonts w:ascii="Times New Roman" w:cs="Times New Roman" w:eastAsia="Times New Roman" w:hAnsi="Times New Roman"/>
          <w:sz w:val="21"/>
          <w:szCs w:val="21"/>
          <w:u w:val="single" w:color="auto"/>
          <w:color w:val="auto"/>
        </w:rPr>
        <w:t>Section 2.1.7(a)(iii)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amounts not actually applied to the repayment of Secured Hedge Agreements in accordance with this clause (z) shall be applied in the order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2.1.7(a)(iv)(B)</w:t>
      </w:r>
      <w:r>
        <w:rPr>
          <w:rFonts w:ascii="Times New Roman" w:cs="Times New Roman" w:eastAsia="Times New Roman" w:hAnsi="Times New Roman"/>
          <w:sz w:val="21"/>
          <w:szCs w:val="21"/>
          <w:color w:val="auto"/>
        </w:rPr>
        <w:t xml:space="preserve">, without regard to this clause (z); (2)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after no payments required under clause (B)(1) above remain outstanding, to prepay outstanding DSR Loans, LC Loans, and LC Reimbursement Obligations then outstanding, on a pro rata basis, with a corresponding reduction of DSR Loan Commitments and LC Issuer Commitments in the same amount of such prepayment together with (x) accrued but unpaid interest payable in connection with such prepayment and (y) amounts payable pursuant to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and (3)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after no payments required under clause (B)(2) above remain outstanding, ratably to Cash Collateralize any outstanding Letters of Credit in an amount equal to 102.5% of the Stated Amount of such Letters of Credit; and</w:t>
      </w:r>
    </w:p>
    <w:p>
      <w:pPr>
        <w:spacing w:after="0" w:line="157" w:lineRule="exact"/>
        <w:rPr>
          <w:sz w:val="20"/>
          <w:szCs w:val="20"/>
          <w:color w:val="auto"/>
        </w:rPr>
      </w:pPr>
    </w:p>
    <w:p>
      <w:pPr>
        <w:jc w:val="both"/>
        <w:ind w:firstLine="2600"/>
        <w:spacing w:after="0" w:line="225" w:lineRule="auto"/>
        <w:tabs>
          <w:tab w:leader="none" w:pos="3231"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prepayment of Loans of any Class may be applied to prepay outstanding Base Rate Loans of such Type before any other Loans of such Type so long as such application does not affect the right any Lender would otherwise have to receive pro rata prepayments of the Loans or a Type of Loans, as applicable, held by such Lender.</w:t>
      </w:r>
    </w:p>
    <w:p>
      <w:pPr>
        <w:spacing w:after="0" w:line="152" w:lineRule="exact"/>
        <w:rPr>
          <w:rFonts w:ascii="Times New Roman" w:cs="Times New Roman" w:eastAsia="Times New Roman" w:hAnsi="Times New Roman"/>
          <w:sz w:val="22"/>
          <w:szCs w:val="22"/>
          <w:color w:val="auto"/>
        </w:rPr>
      </w:pPr>
    </w:p>
    <w:p>
      <w:pPr>
        <w:jc w:val="both"/>
        <w:ind w:firstLine="1952"/>
        <w:spacing w:after="0" w:line="210" w:lineRule="auto"/>
        <w:tabs>
          <w:tab w:leader="none" w:pos="25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Mandatory Prepayment made pursuant to </w:t>
      </w:r>
      <w:r>
        <w:rPr>
          <w:rFonts w:ascii="Times New Roman" w:cs="Times New Roman" w:eastAsia="Times New Roman" w:hAnsi="Times New Roman"/>
          <w:sz w:val="22"/>
          <w:szCs w:val="22"/>
          <w:u w:val="single" w:color="auto"/>
          <w:color w:val="auto"/>
        </w:rPr>
        <w:t>Section 2.1.7(c)(iii)</w:t>
      </w:r>
      <w:r>
        <w:rPr>
          <w:rFonts w:ascii="Times New Roman" w:cs="Times New Roman" w:eastAsia="Times New Roman" w:hAnsi="Times New Roman"/>
          <w:sz w:val="22"/>
          <w:szCs w:val="22"/>
          <w:color w:val="auto"/>
        </w:rPr>
        <w:t xml:space="preserve">, the Target Debt Balance set forth in the table in the definition thereof, for each Quarterly Payment Date occurring on or after the date of such Mandatory Prepayment, shall be reduced by the percentage that represents the ratio of (x) the amount prepaid pursuant to </w:t>
      </w:r>
      <w:r>
        <w:rPr>
          <w:rFonts w:ascii="Times New Roman" w:cs="Times New Roman" w:eastAsia="Times New Roman" w:hAnsi="Times New Roman"/>
          <w:sz w:val="22"/>
          <w:szCs w:val="22"/>
          <w:u w:val="single" w:color="auto"/>
          <w:color w:val="auto"/>
        </w:rPr>
        <w:t>Section 2.1.7(c)(iii)</w:t>
      </w:r>
      <w:r>
        <w:rPr>
          <w:rFonts w:ascii="Times New Roman" w:cs="Times New Roman" w:eastAsia="Times New Roman" w:hAnsi="Times New Roman"/>
          <w:sz w:val="22"/>
          <w:szCs w:val="22"/>
          <w:color w:val="auto"/>
        </w:rPr>
        <w:t xml:space="preserve"> being made on the date of such Mandatory Prepayment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aggregate principal amount of, (i) for Mandatory Prepayments prior to the Term Conversion Date, the Total Term Loan Commitment or (ii) for Mandatory Prepayments after the Term Conversion Date, the outstanding principal amount of Term Loans immediately prior to giving effect to such Mandatory Prepayment. Within five (5) Business Days after any Mandatory Prepayment made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2.1.7(c)(iii)</w:t>
      </w:r>
      <w:r>
        <w:rPr>
          <w:rFonts w:ascii="Times New Roman" w:cs="Times New Roman" w:eastAsia="Times New Roman" w:hAnsi="Times New Roman"/>
          <w:sz w:val="22"/>
          <w:szCs w:val="22"/>
          <w:color w:val="auto"/>
        </w:rPr>
        <w:t>, the Borrower shall deliver to the Administrative Agent a proposed revised Target Debt Balance table implementing the applicable adjustments described by this Section, together with reasonably detailed supporting calculations therefor, which revised table, once approved by the Administrative Agent (such approval not to be unreasonably withheld), shall be deemed to replace the Target Debt Balance table for all purposes under this Agreement.</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its option and without premium or penalty but subject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upon five (5) Business Days’ notice to the Administrative Agent (which notice may state that it is conditioned upon the effectiveness of another credit facility or facilities or other agreement(s) providing the source of funds for such Optional Prepayment, in which case such notice may be revoked by the Borrower by providing written notice to the Administrative Agent at least the Minimum Notice Period prior to the proposed date of the Optional Prepayment if one or more of such conditions is not satisfied), prepay any Loans in whole or from time to time in part in minimum amounts of $1,000,000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outstanding Loans of a particular Class) (each, an “</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firstLine="1952"/>
        <w:spacing w:after="0" w:line="236" w:lineRule="auto"/>
        <w:tabs>
          <w:tab w:leader="none" w:pos="2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Optional Prepayments of the Term Facility may not be re-borrowed. Optional Prepayments of the DSR Loan Facility may be re-borrowed in accordance with the terms and conditions described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0" w:name="page61"/>
    <w:bookmarkEnd w:id="60"/>
    <w:p>
      <w:pPr>
        <w:ind w:firstLine="1304"/>
        <w:spacing w:after="0" w:line="236" w:lineRule="auto"/>
        <w:tabs>
          <w:tab w:leader="none" w:pos="19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The Borrower shall make the following mandatory prepayments (each, a “</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952"/>
        <w:spacing w:after="0" w:line="221" w:lineRule="auto"/>
        <w:tabs>
          <w:tab w:leader="none" w:pos="258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any termination of all of the DSR Loan Commitments in accordance with this Agreement (including pursuant to </w:t>
      </w:r>
      <w:r>
        <w:rPr>
          <w:rFonts w:ascii="Times New Roman" w:cs="Times New Roman" w:eastAsia="Times New Roman" w:hAnsi="Times New Roman"/>
          <w:sz w:val="21"/>
          <w:szCs w:val="21"/>
          <w:u w:val="single" w:color="auto"/>
          <w:color w:val="auto"/>
        </w:rPr>
        <w:t>Section 2.5.3(b)</w:t>
      </w:r>
      <w:r>
        <w:rPr>
          <w:rFonts w:ascii="Times New Roman" w:cs="Times New Roman" w:eastAsia="Times New Roman" w:hAnsi="Times New Roman"/>
          <w:sz w:val="21"/>
          <w:szCs w:val="21"/>
          <w:color w:val="auto"/>
        </w:rPr>
        <w:t xml:space="preserve">), the Borrower shall, on the date of such termination, repay or prepay all its outstanding DSR Loans and LC Loans and terminate any outstanding Letter of Credit and/or Cash Collateralize any outstanding Letter of Credit in the amount equal to 102.5% of the LC Exposure thereunder. If as a result of any partial reduction of the DSR Loan Commitments, the Total DSR Exposure would exceed the Total DSR Loan Commitments, or the total aggregate DSR LC Exposure of the LC Issuers would exceed the Total LC Issuer Commitment, after giving effect thereto, then the Borrower shall, on the date of such reduction, repay or prepay DSR Loans and/or LC Loans and/or Cash Collateralize the Letters of Credit in an amount equal to 102.5% of the amount of such excess;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amount provided to Cash Collateralize the Letters of Credit under this clause (i) shall be returned to the Borrower as and to the extent that, after giving effect to such return, the Borrower would remain in compliance with this clause (i), and no Event of Default shall have occurred and be continuing;</w:t>
      </w:r>
    </w:p>
    <w:p>
      <w:pPr>
        <w:spacing w:after="0" w:line="152" w:lineRule="exact"/>
        <w:rPr>
          <w:rFonts w:ascii="Times New Roman" w:cs="Times New Roman" w:eastAsia="Times New Roman" w:hAnsi="Times New Roman"/>
          <w:sz w:val="21"/>
          <w:szCs w:val="21"/>
          <w:color w:val="auto"/>
        </w:rPr>
      </w:pPr>
    </w:p>
    <w:p>
      <w:pPr>
        <w:ind w:firstLine="1952"/>
        <w:spacing w:after="0" w:line="236" w:lineRule="auto"/>
        <w:tabs>
          <w:tab w:leader="none" w:pos="258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Principal Repayment Date (as defined in the Depositary Agreement) in accordance with Section 3.3(b)(v) and 3.3(b)(vii) of the Depositary Agreement;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when, and to the extent contemplated in accordance with Section 3.9(b)(ii), 3.9(b)(iv), 3.9(c) (ii), 3.11(b)(i) and 3.12(b)(ii) of the Depositary Agreement;</w:t>
      </w:r>
    </w:p>
    <w:p>
      <w:pPr>
        <w:spacing w:after="0" w:line="13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 Conversion Date, in accordance with Section 3.1(b)(ii)(F) of the Depositary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receipt of any proceeds from the issuance of any Indebtedness by the Borrower that is not permitted hereunder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in the amount of any such proceeds;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upon at least one (1) Business Day’s prior written notice to the Administrative Agent, to the extent the Base Case Model Re-run performed after the occurrence of the applicable Default or comparable triggering event results in the maximum aggregate amount of Term Loans that meets the Debt Service Sizing Parameters being less than the then outstanding Term Loans, in an amount necessary so as to achieve compliance with the Debt Service Sizing Parameters, to be applied to the outstanding principal balance of the Loans pro rata based on remaining scheduled principal payments.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Conversion</w:t>
      </w:r>
      <w:r>
        <w:rPr>
          <w:rFonts w:ascii="Times New Roman" w:cs="Times New Roman" w:eastAsia="Times New Roman" w:hAnsi="Times New Roman"/>
          <w:sz w:val="22"/>
          <w:szCs w:val="22"/>
          <w:color w:val="auto"/>
        </w:rPr>
        <w:t xml:space="preserve">. In the event of the Term Conversion, the Target Debt Balance set forth in the table in the definition thereof, for each Quarterly Payment Date occurring on or after the Term Conversion Date, shall be reduced by the percentage that represents the ratio of (x) an amount equal to (A) the aggregate Term Loan Commitments on the Closing Date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(B) the aggregate principal amount of the Term Loan Borrowings hereunder through and including Term Conversion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the Final Drawing</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aggregate Term Loan Commitments on the Closing Date. At least three (3) Business Days prior to the Term Conversion Date (or such later date as the Administrative Agent may reasonably approve), the Borrower shall deliver to the Administrative Agent a proposed revised Target Debt Balance table implementing the applicable adjustments described by this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 together with reasonably detailed supporting calculations therefor, which revised table, once approved by the Administrative Agent (such approval not to be unreasonably withheld), shall be deemed to replace the Target Debt Balance table for all purposes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1" w:name="page62"/>
    <w:bookmarkEnd w:id="61"/>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xml:space="preserve">. The Administrative Agent, acting solely for this purpose as a non-fiduciary agent of the Borrower, shall maintain, at its address referred to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a register for the recordation of the names and addresses of the Lenders (including any Person that becomes a Lender in accordance with </w:t>
      </w:r>
      <w:r>
        <w:rPr>
          <w:rFonts w:ascii="Times New Roman" w:cs="Times New Roman" w:eastAsia="Times New Roman" w:hAnsi="Times New Roman"/>
          <w:sz w:val="21"/>
          <w:szCs w:val="21"/>
          <w:u w:val="single" w:color="auto"/>
          <w:color w:val="auto"/>
        </w:rPr>
        <w:t>Section 2.2.12</w:t>
      </w:r>
      <w:r>
        <w:rPr>
          <w:rFonts w:ascii="Times New Roman" w:cs="Times New Roman" w:eastAsia="Times New Roman" w:hAnsi="Times New Roman"/>
          <w:sz w:val="21"/>
          <w:szCs w:val="21"/>
          <w:color w:val="auto"/>
        </w:rPr>
        <w:t xml:space="preserve"> of this Agreement), the Commitments and Loans of each Lender from time to time and the name of each Lender which holds a Note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Register shall be available for inspection by the Borrower, the Administrative Agent or any Lender at any reasonable time and from time to time upon reasonable prior notice. The Administrative Agent shall record in the Register (a) the Commitments and the Loans from time to time of each Lender, (b) the interest rates applicable to all Loans and the effective dates of all changes thereto,</w:t>
      </w:r>
    </w:p>
    <w:p>
      <w:pPr>
        <w:spacing w:after="0" w:line="5" w:lineRule="exact"/>
        <w:rPr>
          <w:sz w:val="20"/>
          <w:szCs w:val="20"/>
          <w:color w:val="auto"/>
        </w:rPr>
      </w:pPr>
    </w:p>
    <w:p>
      <w:pPr>
        <w:jc w:val="both"/>
        <w:ind w:firstLine="8"/>
        <w:spacing w:after="0" w:line="209" w:lineRule="auto"/>
        <w:tabs>
          <w:tab w:leader="none" w:pos="3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Interest Period for each SOFR Loan, (d) the date and amount of any principal or interest due and payable or to become due and payable from Borrower to each Lender hereunder, (e) each repayment or prepayment in respect of the principal amount of the Loans of each Lender, (f) the amount of any sum received by Administrative Agent hereunder for the account of the Lenders and each Lender’s share thereof, and (g) such other information as the Administrative Agent may determine is necessary for the administering of the Loans and this Agreement. Any such recording shall be conclusive and binding in the absence of manifest error;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failure to make any such recordation, nor any error in such recordation, shall affect the Borrower’s Obligations in respect of any applicable Loans or otherwise;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of any inconsistency between the Register and any Lender’s records, the Register shall govern absent manifest error.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LC Facility</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i w:val="1"/>
          <w:iCs w:val="1"/>
          <w:color w:val="auto"/>
        </w:rPr>
        <w:t>Letter of Credit Facility Issuer Commitments</w:t>
      </w:r>
      <w:r>
        <w:rPr>
          <w:rFonts w:ascii="Times New Roman" w:cs="Times New Roman" w:eastAsia="Times New Roman" w:hAnsi="Times New Roman"/>
          <w:sz w:val="22"/>
          <w:szCs w:val="22"/>
          <w:color w:val="auto"/>
        </w:rPr>
        <w:t xml:space="preserve">. The initial Dollar amount of each LC Issuer’s LC Issuer Commitment on the Closing Date is as set forth under the caption “LC Issuer Commitments”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The aggregate amount of the LC Issuer Commitments of all LC Issuers on the Closing Date is $5,000,000 (the “</w:t>
      </w:r>
      <w:r>
        <w:rPr>
          <w:rFonts w:ascii="Times New Roman" w:cs="Times New Roman" w:eastAsia="Times New Roman" w:hAnsi="Times New Roman"/>
          <w:sz w:val="22"/>
          <w:szCs w:val="22"/>
          <w:u w:val="single" w:color="auto"/>
          <w:color w:val="auto"/>
        </w:rPr>
        <w:t>Closing Date Total LC Issuer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Each Letter of Credit issued hereunder shall constitute utilization of a portion of the LC Issuer Commitments and the Total DSR Loan Commitment, as applicable, in an amount equal to the Stated Amount of such Letter of Credit.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i w:val="1"/>
          <w:iCs w:val="1"/>
          <w:color w:val="auto"/>
        </w:rPr>
        <w:t>Issuance of DSR Letters of Credit</w:t>
      </w:r>
      <w:r>
        <w:rPr>
          <w:rFonts w:ascii="Times New Roman" w:cs="Times New Roman" w:eastAsia="Times New Roman" w:hAnsi="Times New Roman"/>
          <w:sz w:val="22"/>
          <w:szCs w:val="22"/>
          <w:color w:val="auto"/>
        </w:rPr>
        <w:t xml:space="preserve">. Subject to the terms and conditions set forth herein, the Borrower may request the issuance of one or more Letters of Credit for its own account, in each case substantially in the form of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xml:space="preserve"> or such other form reasonably acceptable to the applicable LC Issuer(s) and the Borrower (each, a “</w:t>
      </w:r>
      <w:r>
        <w:rPr>
          <w:rFonts w:ascii="Times New Roman" w:cs="Times New Roman" w:eastAsia="Times New Roman" w:hAnsi="Times New Roman"/>
          <w:sz w:val="22"/>
          <w:szCs w:val="22"/>
          <w:u w:val="single" w:color="auto"/>
          <w:color w:val="auto"/>
        </w:rPr>
        <w:t>DSR Letter of Credit</w:t>
      </w:r>
      <w:r>
        <w:rPr>
          <w:rFonts w:ascii="Times New Roman" w:cs="Times New Roman" w:eastAsia="Times New Roman" w:hAnsi="Times New Roman"/>
          <w:sz w:val="22"/>
          <w:szCs w:val="22"/>
          <w:color w:val="auto"/>
        </w:rPr>
        <w:t xml:space="preserve">”), commencing on the Term Conversion Date and from time to time during the applicable DSR Availability Period. DSR Letters of Credit shall be issued solely for the purposes set forth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The Borrower shall, pursuant to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be entitled to reinstatement of the amounts drawn under each DSR Letter of Credit upon reimbursement of any such drawing or, in the event that such drawing is financed by an LC Loan, upon repayment of such LC Loan.</w:t>
      </w:r>
    </w:p>
    <w:p>
      <w:pPr>
        <w:spacing w:after="0" w:line="149" w:lineRule="exact"/>
        <w:rPr>
          <w:sz w:val="20"/>
          <w:szCs w:val="20"/>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i w:val="1"/>
          <w:iCs w:val="1"/>
          <w:color w:val="auto"/>
        </w:rPr>
        <w:t>Notice of Issuance of Letters of Credit, Amendment, Renewal, Extension; Certain Conditions.</w:t>
      </w:r>
    </w:p>
    <w:p>
      <w:pPr>
        <w:spacing w:after="0" w:line="183" w:lineRule="exact"/>
        <w:rPr>
          <w:sz w:val="20"/>
          <w:szCs w:val="20"/>
          <w:color w:val="auto"/>
        </w:rPr>
      </w:pPr>
    </w:p>
    <w:p>
      <w:pPr>
        <w:jc w:val="both"/>
        <w:ind w:firstLine="1304"/>
        <w:spacing w:after="0" w:line="215"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request the Issuance of a Letter of Credit, Borrower shall transmit by facsimile or transmit by electronic communication to the applicable LC Issuer and Administrative Agent (three (3) Business Days in advance of the requested date of Issuance) a Notice of LC Activity requesting the Issuance of a Letter of Credit and specifying the date of Issuance, the date on which such Letter of Credit is to expire, the amount of such Letter of Credit, the name and address of the beneficiary thereof and such other information as shall be necessary to Issue such Letter of Credit. The Administrative Agent shall promptly notify each DSR Lender of each Notice of LC Activity and of each DSR Lender’s Proportionate Share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1" w:right="339" w:bottom="1440" w:gutter="0" w:footer="0" w:header="0"/>
        </w:sectPr>
      </w:pPr>
    </w:p>
    <w:bookmarkStart w:id="62" w:name="page63"/>
    <w:bookmarkEnd w:id="62"/>
    <w:p>
      <w:pPr>
        <w:jc w:val="both"/>
        <w:spacing w:after="0" w:line="217" w:lineRule="auto"/>
        <w:rPr>
          <w:sz w:val="20"/>
          <w:szCs w:val="20"/>
          <w:color w:val="auto"/>
        </w:rPr>
      </w:pPr>
      <w:r>
        <w:rPr>
          <w:rFonts w:ascii="Times New Roman" w:cs="Times New Roman" w:eastAsia="Times New Roman" w:hAnsi="Times New Roman"/>
          <w:sz w:val="22"/>
          <w:szCs w:val="22"/>
          <w:color w:val="auto"/>
        </w:rPr>
        <w:t>aggregate amount available to be drawn under such Letter of Credit. If requested by the applicable LC Issuer, the Borrower also shall submit a Letter of Credit application on such LC Issuer’s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 LC Issuer relating to any Letter of Credit, the terms and conditions of this Agreement shall control.</w:t>
      </w:r>
    </w:p>
    <w:p>
      <w:pPr>
        <w:spacing w:after="0" w:line="152" w:lineRule="exact"/>
        <w:rPr>
          <w:sz w:val="20"/>
          <w:szCs w:val="20"/>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of Credit shall be Issued by an LC Issuer only if (and, upon Issuance of each Letter of Credit, Borrower shall be deemed to represent and warrant that), after giving effect to such Issuance and/or any cancellations or the expiration of, or permanent reduction of the Stated Amount of, any Letter of Credit previously Issued hereunder,</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LC Issuer’s DSR LC Exposure shall not exceed its LC Issuer Commitment;</w:t>
      </w:r>
    </w:p>
    <w:p>
      <w:pPr>
        <w:spacing w:after="0" w:line="175" w:lineRule="exact"/>
        <w:rPr>
          <w:rFonts w:ascii="Times New Roman" w:cs="Times New Roman" w:eastAsia="Times New Roman" w:hAnsi="Times New Roman"/>
          <w:sz w:val="22"/>
          <w:szCs w:val="22"/>
          <w:color w:val="auto"/>
        </w:rPr>
      </w:pPr>
    </w:p>
    <w:p>
      <w:pPr>
        <w:ind w:firstLine="1952"/>
        <w:spacing w:after="0" w:line="238" w:lineRule="auto"/>
        <w:tabs>
          <w:tab w:leader="none" w:pos="258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the Proportionate Share of the LC Exposure of any DSR Lender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its DSR Loans shall not exceed its DSR Loan Commitment;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DSR LC Exposure of all LC Issuers shall not exceed the Total LC Issuer Commitment and the aggregate LC Exposure of all DSR Lenders shall not exceed the Total DSR Loan Commitments;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is a DSR Letter of Credit, or, after issuing such Letter of Credit, an amount of the DSR Loan Commitment equal to the DSR Required Balance shall be available for DSR Letters of Credit (taken together with the Stated Amount of any existing DSR Letters of Credit).</w:t>
      </w:r>
    </w:p>
    <w:p>
      <w:pPr>
        <w:spacing w:after="0" w:line="153" w:lineRule="exact"/>
        <w:rPr>
          <w:sz w:val="20"/>
          <w:szCs w:val="20"/>
          <w:color w:val="auto"/>
        </w:rPr>
      </w:pPr>
    </w:p>
    <w:p>
      <w:pPr>
        <w:jc w:val="both"/>
        <w:ind w:firstLine="1304"/>
        <w:spacing w:after="0" w:line="211"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Letter of Credit shall expire on or prior to the close of business on the expiration date stated therein, which shall be a date the earlier of (i) the date one year after the date of the issuance of such Letter of Credit (or, in the case of any renewal or extension thereof, one year after such renewal or extension) and (ii) the date that is five (5) Business Days prior to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Letter of Credit shall provide for automatic renewal thereof through a date no later than five (5) Business Days prior to the Maturity Date unless the applicable LC Issuer has notified the beneficiary (with a copy to the Borrower and the Administrative Agent) no later than the 30th day prior to the expiration thereof, that such Letter of Credit will not be extended;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 LC Issuer may only provide such a notice of non-renewal if the conditions to the issuance of a Letter of Credit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will not be satisfied on the applicable renewal date, an Event of Default has occurred and is continuing, or as required by such LC Issuer’s internal policies consistently applied or any Requirement of Law applicable to such LC Issuer.</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i w:val="1"/>
          <w:iCs w:val="1"/>
          <w:color w:val="auto"/>
        </w:rPr>
        <w:t>Reimbursement of Drawing Payments; LC Loans</w:t>
      </w:r>
      <w:r>
        <w:rPr>
          <w:rFonts w:ascii="Times New Roman" w:cs="Times New Roman" w:eastAsia="Times New Roman" w:hAnsi="Times New Roman"/>
          <w:sz w:val="22"/>
          <w:szCs w:val="22"/>
          <w:color w:val="auto"/>
        </w:rPr>
        <w:t>. If any LC Issuer shall make a Drawing Payment under a Letter of Credit, the Borrower shall reimburse such Drawing Payment by paying to Administrative Agent an amount equal to such Drawing Payment, in Dollars, not later than 11:00 a.m., New York City time, on the Business Day immediately following the date (the “</w:t>
      </w:r>
      <w:r>
        <w:rPr>
          <w:rFonts w:ascii="Times New Roman" w:cs="Times New Roman" w:eastAsia="Times New Roman" w:hAnsi="Times New Roman"/>
          <w:sz w:val="22"/>
          <w:szCs w:val="22"/>
          <w:u w:val="single" w:color="auto"/>
          <w:color w:val="auto"/>
        </w:rPr>
        <w:t>Reimbursement Date</w:t>
      </w:r>
      <w:r>
        <w:rPr>
          <w:rFonts w:ascii="Times New Roman" w:cs="Times New Roman" w:eastAsia="Times New Roman" w:hAnsi="Times New Roman"/>
          <w:sz w:val="22"/>
          <w:szCs w:val="22"/>
          <w:color w:val="auto"/>
        </w:rPr>
        <w:t xml:space="preserve">”) such Drawing Payment is made by the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or Event of Default with respect to Opal Fuels, the Parent or the Borrower pursuant to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has occurred and is continuing, any Drawing Payment shall be deemed to be a request by the Borrower for a Borrowing in an aggregate amount equal to the amount of the Borrower’s LC Reimbursement Obligation with respect to such Drawing Payment (a “</w:t>
      </w:r>
      <w:r>
        <w:rPr>
          <w:rFonts w:ascii="Times New Roman" w:cs="Times New Roman" w:eastAsia="Times New Roman" w:hAnsi="Times New Roman"/>
          <w:sz w:val="22"/>
          <w:szCs w:val="22"/>
          <w:u w:val="single" w:color="auto"/>
          <w:color w:val="auto"/>
        </w:rPr>
        <w:t>LC Loan</w:t>
      </w:r>
      <w:r>
        <w:rPr>
          <w:rFonts w:ascii="Times New Roman" w:cs="Times New Roman" w:eastAsia="Times New Roman" w:hAnsi="Times New Roman"/>
          <w:sz w:val="22"/>
          <w:szCs w:val="22"/>
          <w:color w:val="auto"/>
        </w:rPr>
        <w:t>”), and the DSR Lenders shall make LC Loans in the amount of the Drawing Payment and the Borrower’s LC Reimbursement Obligation shall be discharged and replaced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3" w:name="page64"/>
    <w:bookmarkEnd w:id="63"/>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the resulting LC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if for any reason proceeds of LC Loans are not received by such LC Issuer on the Reimbursement Date in an amount equal to the amount of such Drawing Payment, the Borrower shall reimburse such LC Issuer, on demand, in an amount in same day funds equal to the excess of the amount of such Drawing Payment over the aggregate amount of such LC Loans, if any, which are so received. With respect to any LC Reimbursement Obligation that is not financed with an LC Loan because a Specified Event of Default has occurred and is continuing, such LC Reimbursement Obligation shall be due and payable on demand (together with interest) and shall bear interest as provided in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The LC Loans made pursuant to this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shall initially be Base Rate Loans. The Borrower shall pay to the Administrative Agent, for the account of each applicable Lender, the then unpaid principal amount of such Lender’s LC Loans (if any) no later than the Maturity Date. If the Borrower shall fail to reimburse such Drawing Payment under a Letter of Credit (whether as a result of a Specified Event of Default or otherwise) in an amount sufficient to repay each LC Issuer in full for the amount of the Borrower’s LC Reimbursement Obligation related to such Letter of Credit or to the extent the Borrower’s LC Reimbursement Obligation is discharged and replaced by a LC Loan resulting from a Drawing Payment, in each case, by 3:00 p.m., New York City time, on the date of such Drawing Payment, then Administrative Agent shall notify the applicable LC Issuer and each DSR Lender no later than 5:00 p.m., New York City time on such date (or the next Business Day if such date is not a Business Day) (unless such DSR Lender is also the LC Issuer) of the payment then due from the Borrower or the amount of LC Loan resulting from a Drawing Payment and such DSR Lender’s Proportionate Share thereof. Not later than 2:00 p.m., New York City time, on the Business Day following the date of receipt of such notice, each DSR Lender (unless such DSR Lender is also the LC Issuer) shall in accordance with its obligation under </w:t>
      </w:r>
      <w:r>
        <w:rPr>
          <w:rFonts w:ascii="Times New Roman" w:cs="Times New Roman" w:eastAsia="Times New Roman" w:hAnsi="Times New Roman"/>
          <w:sz w:val="22"/>
          <w:szCs w:val="22"/>
          <w:u w:val="single" w:color="auto"/>
          <w:color w:val="auto"/>
        </w:rPr>
        <w:t>Section 2.2.13(a)</w:t>
      </w:r>
      <w:r>
        <w:rPr>
          <w:rFonts w:ascii="Times New Roman" w:cs="Times New Roman" w:eastAsia="Times New Roman" w:hAnsi="Times New Roman"/>
          <w:sz w:val="22"/>
          <w:szCs w:val="22"/>
          <w:color w:val="auto"/>
        </w:rPr>
        <w:t xml:space="preserve"> pay to the Administrative Agent in Dollars its Proportionate Share of the payment then due from the Borrower or the LC Loan resulting from the applicable Drawing Payment, in the same manner as provided above, and the Administrative Agent shall promptly pay to the applicable LC Issuer in Dollars, the amounts so received by it from such DSR Lenders. Promptly following receipt by the Administrative Agent of any payment from the Borrower pursuant to this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the Administrative Agent shall distribute such payment to the applicable LC Issuer or, to the extent such DSR Lenders have made payments pursuant to this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to reimburse such LC Issuer, then to such DSR Lenders and such LC Issuer as their interests may appear.</w:t>
      </w:r>
    </w:p>
    <w:p>
      <w:pPr>
        <w:spacing w:after="0" w:line="159"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i w:val="1"/>
          <w:iCs w:val="1"/>
          <w:color w:val="auto"/>
        </w:rPr>
        <w:t>Reimbursement Obligations Absolute</w:t>
      </w:r>
      <w:r>
        <w:rPr>
          <w:rFonts w:ascii="Times New Roman" w:cs="Times New Roman" w:eastAsia="Times New Roman" w:hAnsi="Times New Roman"/>
          <w:sz w:val="22"/>
          <w:szCs w:val="22"/>
          <w:color w:val="auto"/>
        </w:rPr>
        <w:t xml:space="preserve">. The obligation of the Borrower to reimburse any Drawing Payment as provided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shall be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 (b) any draft or other document presented under a Letter of Credit proving to be forged, fraudulent or invalid in any respect or any statement therein being untrue or inaccurate in any respect, (c) payment by an LC Issuer under a Letter of Credit against presentation of a draft or other document that does not comply with the terms of such Letter of Credit, (d) any amendment or waiver of or any consent to departure from all or any terms of any of the Operative Documents, (e) the existence of any claim, setoff, defense or other right which the Borrower may have at any time against the beneficiary of such Letter of Credit (or any Persons for whom such beneficiary may be acting), the applicable LC Issuer, the Administrative Agent, any Lender or any other Person, whether in connection with this Agreement, the transactions contemplated hereby, by any other Operative Document or by any unrelated transaction, (f) any breach of contract or dispute among or between the Borrower, an LC Issuer, the Administrative Agent, any Lender or any other Person, (g) any non-application or misapplication by the beneficiary of a Letter of Credit of the proceeds of any Drawing Payment or any other act or omission of such beneficiary in connection with such Letter of Credit, (h) any failure to preserve or protect any Collateral, any failure to perfect or preserve the perfection of any Lien thereon, or the release of any of the Collateral securing the performance or observance of the terms of this Agreement 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4" w:name="page65"/>
    <w:bookmarkEnd w:id="64"/>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other Loan Documents, (i) the failure of any Lender to make an LC Loan as contemplated by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(j) an adverse change in the business, operations, properties, assets, condition (financial or otherwise) or prospects of the Borrower, (k) a Default or Event of Default under this Agreement, or (l) any other event or circumstance whatsoever, whether or not similar to any of the foregoing, that might, but for the provisions of this </w:t>
      </w:r>
      <w:r>
        <w:rPr>
          <w:rFonts w:ascii="Times New Roman" w:cs="Times New Roman" w:eastAsia="Times New Roman" w:hAnsi="Times New Roman"/>
          <w:sz w:val="22"/>
          <w:szCs w:val="22"/>
          <w:u w:val="single" w:color="auto"/>
          <w:color w:val="auto"/>
        </w:rPr>
        <w:t>Section 2.2.6</w:t>
      </w:r>
      <w:r>
        <w:rPr>
          <w:rFonts w:ascii="Times New Roman" w:cs="Times New Roman" w:eastAsia="Times New Roman" w:hAnsi="Times New Roman"/>
          <w:sz w:val="22"/>
          <w:szCs w:val="22"/>
          <w:color w:val="auto"/>
        </w:rPr>
        <w:t xml:space="preserve">, constitute a legal or equitable discharge of, or provide a right of setoff against, the Borrower’s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payment by an LC Issuer shall not have constituted gross negligence or willful misconduct by such LC Issuer as determined by a court of competent jurisdiction in a final and non-appealable judgment. Neither the Administrative Agent, the Lenders nor the applicable LC Issuer,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herein shall be construed to excuse an LC Issuer from liability to the Borrower to the extent of any direct damages (as opposed to consequential damages, claims in respect of which are hereby waived by the Borrower to the extent permitted by applicable law) suffered by the Borrower that are determined by a court of competent jurisdiction in a final and non-appealable judgment to have been caused by (i) such LC Issuer’s gross negligence or willful misconduct when determining whether drafts and other documents presented under a Letter of Credit substantially comply with the terms thereof or (ii) such LC Issuer’s refusal to issue, renew or reinstate a Letter of Credit in accordance with the terms of this Agreement. In furtherance of the foregoing and without limiting the generality thereof, the parties agree that, with respect to documents presented which appear on their face to be in substantial compliance with the terms of a Letter of Credit, an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xml:space="preserve">. Each LC Issuer shall, promptly following its receipt thereof, examine all documents purporting to represent a demand for payment under a Letter of Credit. Each LC Issuer shall promptly notify Administrative Agent and Borrower by facsimile or other means in accordance with this Agreement of such demand for payment and whether such LC Issuer has made or will make a Drawing Payment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LC Issuer and the applicable Lenders with respect to any such Drawing Payment.</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xml:space="preserve">. If an LC Issuer shall make any Drawing Payment, then, unless the Borrower shall reimburse such Drawing Payment in full on the date such Drawing Payment is made, the unpaid amount thereof shall bear interest, for each day from and including the date such Drawing Payment is made to but excluding the date that the Borrower reimburses such Drawing Payment (including in the case of a Drawing Payment under any Letter of Credit by discharging or financing such Drawing Payment by an LC Loan), at the rate per annum then applicable to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Drawing Payment is not reimbursed by the Borrower when due or discharged pursuant to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it shall bear interest as provided in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Interest accrued pursuant to this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 xml:space="preserve"> shall be for the account of the applicable LC Issuer and/or applicable DSR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5" w:name="page66"/>
    <w:bookmarkEnd w:id="65"/>
    <w:p>
      <w:pPr>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i w:val="1"/>
          <w:iCs w:val="1"/>
          <w:color w:val="auto"/>
        </w:rPr>
        <w:t>LC Loan Interest</w:t>
      </w:r>
      <w:r>
        <w:rPr>
          <w:rFonts w:ascii="Times New Roman" w:cs="Times New Roman" w:eastAsia="Times New Roman" w:hAnsi="Times New Roman"/>
          <w:sz w:val="22"/>
          <w:szCs w:val="22"/>
          <w:color w:val="auto"/>
        </w:rPr>
        <w:t>. The Borrower shall pay interest on the unpaid principal amount of each LC Loan from the date such LC Loan is made until the maturity or repayment thereof at the following rates per annum:</w:t>
      </w:r>
    </w:p>
    <w:p>
      <w:pPr>
        <w:spacing w:after="0" w:line="150" w:lineRule="exact"/>
        <w:rPr>
          <w:sz w:val="20"/>
          <w:szCs w:val="20"/>
          <w:color w:val="auto"/>
        </w:rPr>
      </w:pPr>
    </w:p>
    <w:p>
      <w:pPr>
        <w:jc w:val="both"/>
        <w:ind w:firstLine="1304"/>
        <w:spacing w:after="0" w:line="225"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LC Loan which is, and during such periods as such LC Loan is, a Base Rate LC Loan, at a rate per annum equal to the Base Rate (such rate to change from time to time as the Base Rate shall change)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Base Rate Loans;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LC Loan which is, and during such periods as such LC Loan is, a SOFR LC Loan, at a rate per annum during each Interest Period for such SOFR LC Loan equal to the Adjusted Term SOFR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the Applicable Margin in respect of SOFR Loans.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304"/>
        <w:spacing w:after="0" w:line="226" w:lineRule="auto"/>
        <w:tabs>
          <w:tab w:leader="none" w:pos="194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Prepayments; Event of Default</w:t>
      </w:r>
      <w:r>
        <w:rPr>
          <w:rFonts w:ascii="Times New Roman" w:cs="Times New Roman" w:eastAsia="Times New Roman" w:hAnsi="Times New Roman"/>
          <w:sz w:val="21"/>
          <w:szCs w:val="21"/>
          <w:color w:val="auto"/>
        </w:rPr>
        <w:t xml:space="preserve">. If (i) the Borrower is required to Cash Collateralize outstanding Letters of Credit pursuant to </w:t>
      </w:r>
      <w:r>
        <w:rPr>
          <w:rFonts w:ascii="Times New Roman" w:cs="Times New Roman" w:eastAsia="Times New Roman" w:hAnsi="Times New Roman"/>
          <w:sz w:val="21"/>
          <w:szCs w:val="21"/>
          <w:u w:val="single" w:color="auto"/>
          <w:color w:val="auto"/>
        </w:rPr>
        <w:t>Section 2.1.7(a)(iv)(B)(3)</w:t>
      </w:r>
      <w:r>
        <w:rPr>
          <w:rFonts w:ascii="Times New Roman" w:cs="Times New Roman" w:eastAsia="Times New Roman" w:hAnsi="Times New Roman"/>
          <w:sz w:val="21"/>
          <w:szCs w:val="21"/>
          <w:color w:val="auto"/>
        </w:rPr>
        <w:t xml:space="preserve"> in connection with a Mandatory Prepayment or (ii) any Event of Default shall occur and be continuing, (x) in the case of an Event of Default described in </w:t>
      </w:r>
      <w:r>
        <w:rPr>
          <w:rFonts w:ascii="Times New Roman" w:cs="Times New Roman" w:eastAsia="Times New Roman" w:hAnsi="Times New Roman"/>
          <w:sz w:val="21"/>
          <w:szCs w:val="21"/>
          <w:u w:val="single" w:color="auto"/>
          <w:color w:val="auto"/>
        </w:rPr>
        <w:t>Section 7.1(g)</w:t>
      </w:r>
      <w:r>
        <w:rPr>
          <w:rFonts w:ascii="Times New Roman" w:cs="Times New Roman" w:eastAsia="Times New Roman" w:hAnsi="Times New Roman"/>
          <w:sz w:val="21"/>
          <w:szCs w:val="21"/>
          <w:color w:val="auto"/>
        </w:rPr>
        <w:t xml:space="preserve">, on the first (1st) Business Day, or (y) in the case of any other Event of Default, on the third (3rd) Business Day, in each case under this clause (ii), following the date on which Borrower receives notice from the Administrative Agent in accordance with </w:t>
      </w:r>
      <w:r>
        <w:rPr>
          <w:rFonts w:ascii="Times New Roman" w:cs="Times New Roman" w:eastAsia="Times New Roman" w:hAnsi="Times New Roman"/>
          <w:sz w:val="21"/>
          <w:szCs w:val="21"/>
          <w:u w:val="single" w:color="auto"/>
          <w:color w:val="auto"/>
        </w:rPr>
        <w:t>Section 7.4(d)</w:t>
      </w:r>
      <w:r>
        <w:rPr>
          <w:rFonts w:ascii="Times New Roman" w:cs="Times New Roman" w:eastAsia="Times New Roman" w:hAnsi="Times New Roman"/>
          <w:sz w:val="21"/>
          <w:szCs w:val="21"/>
          <w:color w:val="auto"/>
        </w:rPr>
        <w:t xml:space="preserve"> demanding the deposit of Cash Collateral pursuant to this paragraph, the Borrower shall deposit in an account with Administrative Agent for the benefit of the LC Issuers, an amount in Dollars in cash equal to 102.5% of the aggregate LC Exposure as of such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accrued and unpaid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occurrence and continuance of any Event of Default under </w:t>
      </w:r>
      <w:r>
        <w:rPr>
          <w:rFonts w:ascii="Times New Roman" w:cs="Times New Roman" w:eastAsia="Times New Roman" w:hAnsi="Times New Roman"/>
          <w:sz w:val="21"/>
          <w:szCs w:val="21"/>
          <w:u w:val="single" w:color="auto"/>
          <w:color w:val="auto"/>
        </w:rPr>
        <w:t>Section 7.1(g)</w:t>
      </w:r>
      <w:r>
        <w:rPr>
          <w:rFonts w:ascii="Times New Roman" w:cs="Times New Roman" w:eastAsia="Times New Roman" w:hAnsi="Times New Roman"/>
          <w:sz w:val="21"/>
          <w:szCs w:val="21"/>
          <w:color w:val="auto"/>
        </w:rPr>
        <w:t xml:space="preserve"> applicable to the Borrower, the obligation to deposit such Cash Collateral shall become effective immediately, and such deposit shall become immediately due and payable in Dollars, without demand or other notice of any kind. Each such deposit pursuant to this paragraph shall be held by the Administrative Agent for the benefit of the LC Issuers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(A) for so long as an Event of Default shall be continuing, the Administrative Agent and (B) at any other time, the Borrower, in each case, in Permitted Investments and at the risk and expense of the Borrower, such deposits shall not bear interest. Interest or profits, if any, on such investments shall accumulate in such account. Moneys in such account shall be applied by the Administrative Agent (upon the written request of each applicable LC Issuer) to reimburse the LC Issuers for Drawing Payments for which any such LC Issuer has not been reimbursed and, to the extent not so applied, shall be held for the satisfaction of the Borrower’s obligation to repay any LC Loans at such time or, if the maturity of the Term Loans has been accelerated (but subject to the consent of the Administrative Agent in accordance with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be applied to satisfy other obligations of the Borrower under this Agreement. If the Borrower is required to provide an amount of Cash Collateral hereunder as a result of the occurrence and continuance of an Event of Default, such amount (to the extent not applied as aforesaid) shall be returned to the Borrower within three (3) Business Days after all Events of Default have been cured or waived.</w:t>
      </w:r>
    </w:p>
    <w:p>
      <w:pPr>
        <w:spacing w:after="0" w:line="169"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At any time that there shall exist a Defaulting Lender, on the first (1st) Business Day following the date on which Borrower receives notice from the Administrative Agent or any LC Issuer demanding the deposit of Cash Collateral pursuant to this paragraph, the Borrower shall deposit in an account with the Administrative Agent for the benefit of the applicable LC Issuer, an amount in Dollars in cash equal to 100% of the total Fronting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1" w:right="339" w:bottom="1440" w:gutter="0" w:footer="0" w:header="0"/>
        </w:sectPr>
      </w:pPr>
    </w:p>
    <w:bookmarkStart w:id="66" w:name="page67"/>
    <w:bookmarkEnd w:id="66"/>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Exposure of such LC Issuer as of such date. Each such deposit pursuant to this </w:t>
      </w:r>
      <w:r>
        <w:rPr>
          <w:rFonts w:ascii="Times New Roman" w:cs="Times New Roman" w:eastAsia="Times New Roman" w:hAnsi="Times New Roman"/>
          <w:sz w:val="22"/>
          <w:szCs w:val="22"/>
          <w:u w:val="single" w:color="auto"/>
          <w:color w:val="auto"/>
        </w:rPr>
        <w:t>Section 2.2.10(b)</w:t>
      </w:r>
      <w:r>
        <w:rPr>
          <w:rFonts w:ascii="Times New Roman" w:cs="Times New Roman" w:eastAsia="Times New Roman" w:hAnsi="Times New Roman"/>
          <w:sz w:val="22"/>
          <w:szCs w:val="22"/>
          <w:color w:val="auto"/>
        </w:rPr>
        <w:t xml:space="preserve"> shall be held by the Administrative Agent for the benefit of the applicable LC Issuer as collateral for the Defaulting Lender’s obligation to fund participations in respect of the Letters of Credit issued by such LC Issuer. The Administrative Agent shall have exclusive dominion and control, including the exclusive right of withdrawal, over such account. Other than any interest earned on the investment of such deposits, which investments shall be made at the option and sole discretion of the Borrower in Permitted Investments and at the risk and expense of the Borrower, such deposits shall not bear interest. Interest or profits, if any, on such investments shall accumulate in such accounts. Moneys in such account shall be applied by the Administrative Agent (upon the direction of the Administrative Agent)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 Cash Collateral (or the appropriate portion thereof) provided to reduce any LC Issuer’s Fronting Exposure shall no longer be required to be held as Cash Collateral following (i) the elimination of the applicable Fronting Exposure (including by the termination of Defaulting Lender status of the applicable DSR Lender or the provision by or on behalf of such Defaulting Lender of Cash Collateral pursuant to </w:t>
      </w:r>
      <w:r>
        <w:rPr>
          <w:rFonts w:ascii="Times New Roman" w:cs="Times New Roman" w:eastAsia="Times New Roman" w:hAnsi="Times New Roman"/>
          <w:sz w:val="22"/>
          <w:szCs w:val="22"/>
          <w:u w:val="single" w:color="auto"/>
          <w:color w:val="auto"/>
        </w:rPr>
        <w:t>Section 2.6.6(d)</w:t>
      </w:r>
      <w:r>
        <w:rPr>
          <w:rFonts w:ascii="Times New Roman" w:cs="Times New Roman" w:eastAsia="Times New Roman" w:hAnsi="Times New Roman"/>
          <w:sz w:val="22"/>
          <w:szCs w:val="22"/>
          <w:color w:val="auto"/>
        </w:rPr>
        <w:t>), or (ii) the determination by the Administrative Agent and each LC Issuer that there exists excess Cash Collateral for such purpose.</w:t>
      </w:r>
    </w:p>
    <w:p>
      <w:pPr>
        <w:spacing w:after="0" w:line="147"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 xml:space="preserve">1.1.12 </w:t>
      </w:r>
      <w:r>
        <w:rPr>
          <w:rFonts w:ascii="Times New Roman" w:cs="Times New Roman" w:eastAsia="Times New Roman" w:hAnsi="Times New Roman"/>
          <w:sz w:val="21"/>
          <w:szCs w:val="21"/>
          <w:i w:val="1"/>
          <w:iCs w:val="1"/>
          <w:color w:val="auto"/>
        </w:rPr>
        <w:t>Reporting</w:t>
      </w:r>
      <w:r>
        <w:rPr>
          <w:rFonts w:ascii="Times New Roman" w:cs="Times New Roman" w:eastAsia="Times New Roman" w:hAnsi="Times New Roman"/>
          <w:sz w:val="21"/>
          <w:szCs w:val="21"/>
          <w:color w:val="auto"/>
        </w:rPr>
        <w:t xml:space="preserve">. Unless otherwise requested by the Administrative Agent, each LC Issuer shall (a) provide to the Administrative Agent copies of any notice received from the Borrower pursuant to </w:t>
      </w:r>
      <w:r>
        <w:rPr>
          <w:rFonts w:ascii="Times New Roman" w:cs="Times New Roman" w:eastAsia="Times New Roman" w:hAnsi="Times New Roman"/>
          <w:sz w:val="21"/>
          <w:szCs w:val="21"/>
          <w:u w:val="single" w:color="auto"/>
          <w:color w:val="auto"/>
        </w:rPr>
        <w:t>Section 2.2.4</w:t>
      </w:r>
      <w:r>
        <w:rPr>
          <w:rFonts w:ascii="Times New Roman" w:cs="Times New Roman" w:eastAsia="Times New Roman" w:hAnsi="Times New Roman"/>
          <w:sz w:val="21"/>
          <w:szCs w:val="21"/>
          <w:color w:val="auto"/>
        </w:rPr>
        <w:t xml:space="preserve"> no later than the next Business Day after receipt thereof and (b) report in writing to the Administrative Agent (who shall in turn promptly provide notice of same to all Lenders) (i) on or prior to each Business Day on which such LC Issuer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and such LC Issuer shall be permitted to issue, amend, renew or extend such Letter of Credit if the Administrative Agent shall not have advised such LC Issuer that such issuance, amendment renewal or extension would not be in conformity with the requirements of this Agreement, (ii) on each Business Day on which such LC Issuer makes any Drawing Payment, the date of such Drawing Payment and the amount of such Drawing Payment and</w:t>
      </w:r>
    </w:p>
    <w:p>
      <w:pPr>
        <w:spacing w:after="0" w:line="5" w:lineRule="exact"/>
        <w:rPr>
          <w:sz w:val="20"/>
          <w:szCs w:val="20"/>
          <w:color w:val="auto"/>
        </w:rPr>
      </w:pPr>
    </w:p>
    <w:p>
      <w:pPr>
        <w:jc w:val="both"/>
        <w:ind w:firstLine="8"/>
        <w:spacing w:after="0" w:line="212" w:lineRule="auto"/>
        <w:tabs>
          <w:tab w:leader="none" w:pos="39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any other Business Day, such other information as the Administrative Agent shall reasonably request, including but not limited to prompt verification of such information as may be requested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by an LC Issuer to comply with the reporting requirements of this </w:t>
      </w:r>
      <w:r>
        <w:rPr>
          <w:rFonts w:ascii="Times New Roman" w:cs="Times New Roman" w:eastAsia="Times New Roman" w:hAnsi="Times New Roman"/>
          <w:sz w:val="22"/>
          <w:szCs w:val="22"/>
          <w:u w:val="single" w:color="auto"/>
          <w:color w:val="auto"/>
        </w:rPr>
        <w:t>Section 2.2.11</w:t>
      </w:r>
      <w:r>
        <w:rPr>
          <w:rFonts w:ascii="Times New Roman" w:cs="Times New Roman" w:eastAsia="Times New Roman" w:hAnsi="Times New Roman"/>
          <w:sz w:val="22"/>
          <w:szCs w:val="22"/>
          <w:color w:val="auto"/>
        </w:rPr>
        <w:t xml:space="preserve"> shall not affect any rights of such LC Issuer under the Loan Documents so long as such failure does not increase any cost or liability of the Borrower under the Loan Documents (and then only to the extent of such increased cost or liability of the Borrower under the Loan Documents).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i w:val="1"/>
          <w:iCs w:val="1"/>
          <w:color w:val="auto"/>
        </w:rPr>
        <w:t>Replacement, Resignation and Addition of an LC Issuer.</w:t>
      </w:r>
    </w:p>
    <w:p>
      <w:pPr>
        <w:spacing w:after="0" w:line="183" w:lineRule="exact"/>
        <w:rPr>
          <w:sz w:val="20"/>
          <w:szCs w:val="20"/>
          <w:color w:val="auto"/>
        </w:rPr>
      </w:pPr>
    </w:p>
    <w:p>
      <w:pPr>
        <w:jc w:val="both"/>
        <w:ind w:firstLine="1304"/>
        <w:spacing w:after="0" w:line="213"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an LC Issuer</w:t>
      </w:r>
      <w:r>
        <w:rPr>
          <w:rFonts w:ascii="Times New Roman" w:cs="Times New Roman" w:eastAsia="Times New Roman" w:hAnsi="Times New Roman"/>
          <w:sz w:val="22"/>
          <w:szCs w:val="22"/>
          <w:color w:val="auto"/>
        </w:rPr>
        <w:t>. An LC Issuer may resign as an LC Issuer upon forty-five (45) days’ prior written notice to the Administrative Agent, the Lenders and the Borrower. An LC Issuer may be replaced at any time only (i) by written agreement among the Borrower, the Administrative Agent, the replaced LC Issuer and the successor LC Issuer or (ii) by written agreement among the Borrower, the Administrative Agent and the successor LC Issuer following a default by such LC Issuer in respect of its obligations under this Agreement or failure of such LC Issuer to satisfy the definition of an Acceptable Credit Provider. The Administrative Agent shall notify the Lenders of any such replacement of an LC Issuer. At the time any such replacement shall become effective, the Borrower shall pay all unpaid fees and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7" w:name="page68"/>
    <w:bookmarkEnd w:id="67"/>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Reimbursement Obligations, if any, accrued for the account of the replaced LC Issuer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From and after the effective date of any such replacement, (a) the successor LC Issuer shall have all the rights and obligations of the replaced LC Issuer under this Agreement with respect to Letters of Credit to be issued thereafter and (b) references herein to the term “LC Issuer”, as applicable, shall be deemed to refer to such successor or to any previous LC Issuer, or to such successor and all previous LC Issuers, as the context shall require. After the replacement of any LC Issuer hereunder, the replaced LC Issuer shall remain a party hereto and shall continue to have all the rights and obligations of such LC Issuer under this Agreement with respect to any Letter of Credit issued by it prior to such replacement (and any LC Reimbursement Obligation or LC Loan with respect thereto) but shall not be required to issue any additional Letter of Credit, as applicable.</w:t>
      </w:r>
    </w:p>
    <w:p>
      <w:pPr>
        <w:spacing w:after="0" w:line="156" w:lineRule="exact"/>
        <w:rPr>
          <w:sz w:val="20"/>
          <w:szCs w:val="20"/>
          <w:color w:val="auto"/>
        </w:rPr>
      </w:pPr>
    </w:p>
    <w:p>
      <w:pPr>
        <w:jc w:val="both"/>
        <w:ind w:firstLine="1304"/>
        <w:spacing w:after="0" w:line="211"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and from time to time with the consent of the Administrative Agent (which consent shall not be unreasonably withheld) and such Lender being so designated, designate one or more additional Lenders, each of which shall be an Acceptable Credit Provider, to act as an LC Issuer under the terms of this Agreement, subject to reporting requirements reasonably satisfactory to the Administrative Agent and such additional LC Issuer with respect to issuances, amendments, extensions and terminations of Letters of Credit by such additional LC Issuer. Any Lender designated as an LC Issuer pursuant to this </w:t>
      </w:r>
      <w:r>
        <w:rPr>
          <w:rFonts w:ascii="Times New Roman" w:cs="Times New Roman" w:eastAsia="Times New Roman" w:hAnsi="Times New Roman"/>
          <w:sz w:val="22"/>
          <w:szCs w:val="22"/>
          <w:u w:val="single" w:color="auto"/>
          <w:color w:val="auto"/>
        </w:rPr>
        <w:t>Section 2.2.12(b)</w:t>
      </w:r>
      <w:r>
        <w:rPr>
          <w:rFonts w:ascii="Times New Roman" w:cs="Times New Roman" w:eastAsia="Times New Roman" w:hAnsi="Times New Roman"/>
          <w:sz w:val="22"/>
          <w:szCs w:val="22"/>
          <w:color w:val="auto"/>
        </w:rPr>
        <w:t xml:space="preserve"> shall be deemed to be an “LC Issuer” (in addition to being a Lender) in respect of Letters of Credit issued or to be issued by such Lender, and, with respect to such Letters of Credit, such term shall thereafter apply to such Lender, and the Borrower shall deliver to the Administrative Agent an updated version of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reflecting the LC Issuer Commitments of such new LC Issuer(s).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i w:val="1"/>
          <w:iCs w:val="1"/>
          <w:color w:val="auto"/>
        </w:rPr>
        <w:t>LC Participations.</w:t>
      </w:r>
    </w:p>
    <w:p>
      <w:pPr>
        <w:spacing w:after="0" w:line="183" w:lineRule="exact"/>
        <w:rPr>
          <w:sz w:val="20"/>
          <w:szCs w:val="20"/>
          <w:color w:val="auto"/>
        </w:rPr>
      </w:pPr>
    </w:p>
    <w:p>
      <w:pPr>
        <w:jc w:val="both"/>
        <w:ind w:firstLine="1304"/>
        <w:spacing w:after="0" w:line="218" w:lineRule="auto"/>
        <w:tabs>
          <w:tab w:leader="none" w:pos="194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issuance of a Letter of Credit (or an amendment to a Letter of Credit increasing the amount thereof) by any LC Issuer and without any further action on the part of such LC Issuer and the DSR Lenders, each LC Issuer hereby grants to each DSR Lender, and each such DSR Lender hereby acquires from such LC Issuer, a participation in such Letter of Credit equal to such DSR Lender’s Proportionate Share of the aggregate amount available to be drawn under such Letter of Credit. In consideration and in furtherance of the foregoing, each DSR Lender hereby absolutely and unconditionally agrees to pay to the Administrative Agent, in Dollars, for the account of the applicable LC Issuer, such DSR Lender’s Proportionate Share of each Drawing Payment in respect of any Letter of Credit not reimbursed by Borrower on the date due as provided in </w:t>
      </w:r>
      <w:r>
        <w:rPr>
          <w:rFonts w:ascii="Times New Roman" w:cs="Times New Roman" w:eastAsia="Times New Roman" w:hAnsi="Times New Roman"/>
          <w:sz w:val="21"/>
          <w:szCs w:val="21"/>
          <w:u w:val="single" w:color="auto"/>
          <w:color w:val="auto"/>
        </w:rPr>
        <w:t>Section 2.2.5</w:t>
      </w:r>
      <w:r>
        <w:rPr>
          <w:rFonts w:ascii="Times New Roman" w:cs="Times New Roman" w:eastAsia="Times New Roman" w:hAnsi="Times New Roman"/>
          <w:sz w:val="21"/>
          <w:szCs w:val="21"/>
          <w:color w:val="auto"/>
        </w:rPr>
        <w:t xml:space="preserve">, or of any reimbursement payment required to be refunded to the Borrower for any reason. Each DSR Lender acknowledges and agrees that its obligation to acquire participations pursuant to this </w:t>
      </w:r>
      <w:r>
        <w:rPr>
          <w:rFonts w:ascii="Times New Roman" w:cs="Times New Roman" w:eastAsia="Times New Roman" w:hAnsi="Times New Roman"/>
          <w:sz w:val="21"/>
          <w:szCs w:val="21"/>
          <w:u w:val="single" w:color="auto"/>
          <w:color w:val="auto"/>
        </w:rPr>
        <w:t>Section 2.2.13</w:t>
      </w:r>
      <w:r>
        <w:rPr>
          <w:rFonts w:ascii="Times New Roman" w:cs="Times New Roman" w:eastAsia="Times New Roman" w:hAnsi="Times New Roman"/>
          <w:sz w:val="21"/>
          <w:szCs w:val="21"/>
          <w:color w:val="auto"/>
        </w:rPr>
        <w:t xml:space="preserve"> in respect of each such Letter of Credit pursuant to the terms of this Agreement is absolute and unconditional and shall not be affected by any circumstance whatsoever (other than circumstances arising from the gross negligence or willful misconduct of an LC Issuer as determined by a court of competent jurisdiction in a final and non-appealable judgment), including any amendment, renewal or extension of a Letter of Credit or the occurrence and continuation of a Default or reduction or termination of the DSR Loan Commitments or the LC Issuer Commitments in accordance with the terms of this Agreement, and that each such payment shall be made without any offset, abatement, withholding or reduction whatsoever. If any DSR Lender defaults or fails to fulfill any of its obligations herein, no Default or Event of Default shall arise solely as a result of such default or failure and the default or failure of such DSR Lender shall give rise to a claim for damages as between the applicable LC Issuer and the applicable DSR Lender.</w:t>
      </w:r>
    </w:p>
    <w:p>
      <w:pPr>
        <w:spacing w:after="0" w:line="159"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so long as any DSR Lender is a Defaulting Lender, no LC Issuer shall be required to issue any Letter of Credit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such LC Issuer has entered into arrangements satisfactory to it and Borrower to eliminate any Fronting Exposure.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i w:val="1"/>
          <w:iCs w:val="1"/>
          <w:color w:val="auto"/>
        </w:rPr>
        <w:t>Agents’ Fees</w:t>
      </w:r>
      <w:r>
        <w:rPr>
          <w:rFonts w:ascii="Times New Roman" w:cs="Times New Roman" w:eastAsia="Times New Roman" w:hAnsi="Times New Roman"/>
          <w:sz w:val="22"/>
          <w:szCs w:val="22"/>
          <w:color w:val="auto"/>
        </w:rPr>
        <w:t>. The Borrower shall pay to each applicable Agent and the applicable LC Issuers for the account of such Agent or such LC Issuer, as applicable, the fees payable to such Agent or such LC Issuer, as applicable, set forth in the Agency Fee Letter and the WTNA Fee Letter.</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i w:val="1"/>
          <w:iCs w:val="1"/>
          <w:color w:val="auto"/>
        </w:rPr>
        <w:t>Commitment Fees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the benefit of each Term Lender (other than any Defaulting Lender), a commitment fee (a “</w:t>
      </w:r>
      <w:r>
        <w:rPr>
          <w:rFonts w:ascii="Times New Roman" w:cs="Times New Roman" w:eastAsia="Times New Roman" w:hAnsi="Times New Roman"/>
          <w:sz w:val="22"/>
          <w:szCs w:val="22"/>
          <w:u w:val="single" w:color="auto"/>
          <w:color w:val="auto"/>
        </w:rPr>
        <w:t>Term Loan Commitment Fee</w:t>
      </w:r>
      <w:r>
        <w:rPr>
          <w:rFonts w:ascii="Times New Roman" w:cs="Times New Roman" w:eastAsia="Times New Roman" w:hAnsi="Times New Roman"/>
          <w:sz w:val="22"/>
          <w:szCs w:val="22"/>
          <w:color w:val="auto"/>
        </w:rPr>
        <w:t>”) which shall accrue at a rate per annum equal to one-half of one percent (0.50%) on the average daily Unutilized Term Loan Commitment of each such Term Lender during the period from and including the Closing Date until the Term Conversion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the benefit of each DSR Lender (other than any Defaulting Lender), a commitment fee (a “</w:t>
      </w:r>
      <w:r>
        <w:rPr>
          <w:rFonts w:ascii="Times New Roman" w:cs="Times New Roman" w:eastAsia="Times New Roman" w:hAnsi="Times New Roman"/>
          <w:sz w:val="22"/>
          <w:szCs w:val="22"/>
          <w:u w:val="single" w:color="auto"/>
          <w:color w:val="auto"/>
        </w:rPr>
        <w:t>DSR Commitment Fee</w:t>
      </w:r>
      <w:r>
        <w:rPr>
          <w:rFonts w:ascii="Times New Roman" w:cs="Times New Roman" w:eastAsia="Times New Roman" w:hAnsi="Times New Roman"/>
          <w:sz w:val="22"/>
          <w:szCs w:val="22"/>
          <w:color w:val="auto"/>
        </w:rPr>
        <w:t>” and together with the Term Loan Commitment Fee, the “</w:t>
      </w:r>
      <w:r>
        <w:rPr>
          <w:rFonts w:ascii="Times New Roman" w:cs="Times New Roman" w:eastAsia="Times New Roman" w:hAnsi="Times New Roman"/>
          <w:sz w:val="22"/>
          <w:szCs w:val="22"/>
          <w:u w:val="single" w:color="auto"/>
          <w:color w:val="auto"/>
        </w:rPr>
        <w:t>Commitment Fees</w:t>
      </w:r>
      <w:r>
        <w:rPr>
          <w:rFonts w:ascii="Times New Roman" w:cs="Times New Roman" w:eastAsia="Times New Roman" w:hAnsi="Times New Roman"/>
          <w:sz w:val="22"/>
          <w:szCs w:val="22"/>
          <w:color w:val="auto"/>
        </w:rPr>
        <w:t>”) which shall accrue at a rate per annum equal to one-half of one percent (0.50%) on the average daily Unutilized DSR Loan Commitment of each such DSR Lender during the period from and including the Term Conversion Date until the Maturity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Commitment Fees shall be computed on the basis of a year of 360 days and shall be payable for the actual number of days elapsed (including the first day but excluding the last day). Accrued Commitment Fees shall be due and payable in arrears on each Quarterly Payment Date after the Closing Date and on the Maturity Date. Commitment Fees in respect of each of the Term Facility or DSR Loan Facility, as applicable, shall cease to accrue for a Lender on the date on which the last of the Commitments of such Lender under such facility shall terminate or be terminated.</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LC Fees</w:t>
      </w:r>
      <w:r>
        <w:rPr>
          <w:rFonts w:ascii="Times New Roman" w:cs="Times New Roman" w:eastAsia="Times New Roman" w:hAnsi="Times New Roman"/>
          <w:sz w:val="22"/>
          <w:szCs w:val="22"/>
          <w:color w:val="auto"/>
        </w:rPr>
        <w:t>. The Borrower shall pay to the Administrative Agent, for the benefit of the DSR Lenders, a letter of credit participation fee (the “</w:t>
      </w:r>
      <w:r>
        <w:rPr>
          <w:rFonts w:ascii="Times New Roman" w:cs="Times New Roman" w:eastAsia="Times New Roman" w:hAnsi="Times New Roman"/>
          <w:sz w:val="22"/>
          <w:szCs w:val="22"/>
          <w:u w:val="single" w:color="auto"/>
          <w:color w:val="auto"/>
        </w:rPr>
        <w:t>LC Fee</w:t>
      </w:r>
      <w:r>
        <w:rPr>
          <w:rFonts w:ascii="Times New Roman" w:cs="Times New Roman" w:eastAsia="Times New Roman" w:hAnsi="Times New Roman"/>
          <w:sz w:val="22"/>
          <w:szCs w:val="22"/>
          <w:color w:val="auto"/>
        </w:rPr>
        <w:t>”) which shall accrue at a rate per annum equal to the Applicable Margin applicable to interest on SOFR Loans on the average daily amount of such DSR Lender’s participation in LC Exposure (excluding any portion thereof attributable to LC Reimbursement Obligations or LC Loans) during the period from and including the Closing Date to but excluding the later of the date on which such DSR Lender’s DSR Loan Commitment terminates and the date on which such DSR Lender ceases to have any participation in LC Exposure (excluding any portion thereof attributable to LC Reimbursement Obligations or LC Loans). All LC Fees shall be computed on the basis of a year of 360 days and shall be payable for the actual number of days elapsed (including the first day but excluding the last day). Accrued LC Fees shall be due and payable in arrears on each Quarterly Payment Date after the Closing Date and on the Maturity Date.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Total Commitments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i w:val="1"/>
          <w:iCs w:val="1"/>
          <w:color w:val="auto"/>
        </w:rPr>
        <w:t>Loan Commitment Amounts.</w:t>
      </w:r>
    </w:p>
    <w:p>
      <w:pPr>
        <w:spacing w:after="0" w:line="183" w:lineRule="exact"/>
        <w:rPr>
          <w:sz w:val="20"/>
          <w:szCs w:val="20"/>
          <w:color w:val="auto"/>
        </w:rPr>
      </w:pPr>
    </w:p>
    <w:p>
      <w:pPr>
        <w:jc w:val="both"/>
        <w:ind w:firstLine="1304"/>
        <w:spacing w:after="0" w:line="225"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xml:space="preserve">. Notwithstanding anything that may be construed to the contrary in this Agreement, the aggregate principal amount of all Term Loans made by the Lenders shall not exceed $100,000,000, as such amount may be reduced by the Borrower pursuant to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(such amount, as it may be reduced from time to time,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xml:space="preserve">”), in each case, as such amount may be reduced by the Borrower pursuant to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0"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DSR Loan Commitment</w:t>
      </w:r>
      <w:r>
        <w:rPr>
          <w:rFonts w:ascii="Times New Roman" w:cs="Times New Roman" w:eastAsia="Times New Roman" w:hAnsi="Times New Roman"/>
          <w:sz w:val="22"/>
          <w:szCs w:val="22"/>
          <w:color w:val="auto"/>
        </w:rPr>
        <w:t xml:space="preserve">. Notwithstanding anything that may be construed to the contrary in this Agreement, the aggregate principal amount of the DSR Loans and LC Loans made by the DSR Lenders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outstanding DSR LC Exposure at any time shall not exceed $5,000,000, as such amount may be reduced by the Borrower pursuant to S</w:t>
      </w:r>
      <w:r>
        <w:rPr>
          <w:rFonts w:ascii="Times New Roman" w:cs="Times New Roman" w:eastAsia="Times New Roman" w:hAnsi="Times New Roman"/>
          <w:sz w:val="22"/>
          <w:szCs w:val="22"/>
          <w:u w:val="single" w:color="auto"/>
          <w:color w:val="auto"/>
        </w:rPr>
        <w:t>ection 2.5.3</w:t>
      </w:r>
      <w:r>
        <w:rPr>
          <w:rFonts w:ascii="Times New Roman" w:cs="Times New Roman" w:eastAsia="Times New Roman" w:hAnsi="Times New Roman"/>
          <w:sz w:val="22"/>
          <w:szCs w:val="22"/>
          <w:color w:val="auto"/>
        </w:rPr>
        <w:t xml:space="preserve"> (such amount, as it may be reduced from time to time, the “</w:t>
      </w:r>
      <w:r>
        <w:rPr>
          <w:rFonts w:ascii="Times New Roman" w:cs="Times New Roman" w:eastAsia="Times New Roman" w:hAnsi="Times New Roman"/>
          <w:sz w:val="22"/>
          <w:szCs w:val="22"/>
          <w:u w:val="single" w:color="auto"/>
          <w:color w:val="auto"/>
        </w:rPr>
        <w:t>Total DSR Loan Commitment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i w:val="1"/>
          <w:iCs w:val="1"/>
          <w:color w:val="auto"/>
        </w:rPr>
        <w:t>LC Issuer Commitment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The Stated Amount of the Letters of Credit shall not exceed the Closing Date Total LC Issuer Commitment, as such amount may be reduced by the Borrower pursuant to </w:t>
      </w:r>
      <w:r>
        <w:rPr>
          <w:rFonts w:ascii="Times New Roman" w:cs="Times New Roman" w:eastAsia="Times New Roman" w:hAnsi="Times New Roman"/>
          <w:sz w:val="22"/>
          <w:szCs w:val="22"/>
          <w:u w:val="single" w:color="auto"/>
          <w:color w:val="auto"/>
        </w:rPr>
        <w:t>Section 2.5.3(b)</w:t>
      </w:r>
      <w:r>
        <w:rPr>
          <w:rFonts w:ascii="Times New Roman" w:cs="Times New Roman" w:eastAsia="Times New Roman" w:hAnsi="Times New Roman"/>
          <w:sz w:val="22"/>
          <w:szCs w:val="22"/>
          <w:color w:val="auto"/>
        </w:rPr>
        <w:t xml:space="preserve"> (such amount, as it may be reduced from time to time, the “</w:t>
      </w:r>
      <w:r>
        <w:rPr>
          <w:rFonts w:ascii="Times New Roman" w:cs="Times New Roman" w:eastAsia="Times New Roman" w:hAnsi="Times New Roman"/>
          <w:sz w:val="22"/>
          <w:szCs w:val="22"/>
          <w:u w:val="single" w:color="auto"/>
          <w:color w:val="auto"/>
        </w:rPr>
        <w:t>Total LC Issuer Commitment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i w:val="1"/>
          <w:iCs w:val="1"/>
          <w:color w:val="auto"/>
        </w:rPr>
        <w:t>Reductions and Cancellations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1"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and from time to time by providing notice to the Administrative Agent not less than the Minimum Notice Period permanently reduce (without premium or penalty) the Total Term Loan Commitment by a minimum amount of $1,000,000 or an integral multiple of $500,000 in excess thereof (or, if less, the remaining Total Term Loan Commitment) or cancel (without premium or penalty) in its entirety the Total Term Loan Commitment, subject to the provisions of </w:t>
      </w:r>
      <w:r>
        <w:rPr>
          <w:rFonts w:ascii="Times New Roman" w:cs="Times New Roman" w:eastAsia="Times New Roman" w:hAnsi="Times New Roman"/>
          <w:sz w:val="22"/>
          <w:szCs w:val="22"/>
          <w:u w:val="single" w:color="auto"/>
          <w:color w:val="auto"/>
        </w:rPr>
        <w:t>Section 2.5.3(c)</w:t>
      </w:r>
      <w:r>
        <w:rPr>
          <w:rFonts w:ascii="Times New Roman" w:cs="Times New Roman" w:eastAsia="Times New Roman" w:hAnsi="Times New Roman"/>
          <w:sz w:val="22"/>
          <w:szCs w:val="22"/>
          <w:color w:val="auto"/>
        </w:rPr>
        <w:t xml:space="preserve">. The Borrower may, with the consent of the Required Lenders of the applicable Class, permanently reduce (without premium or penalty) the Commitments of any Class, by a minimum amount of $1,000,000 or an integral multiple of $500,000 in excess thereof (or, if less, the remaining DSR Loan Commitment) or cancel (without premium or penalty), subject to the provisions of </w:t>
      </w:r>
      <w:r>
        <w:rPr>
          <w:rFonts w:ascii="Times New Roman" w:cs="Times New Roman" w:eastAsia="Times New Roman" w:hAnsi="Times New Roman"/>
          <w:sz w:val="22"/>
          <w:szCs w:val="22"/>
          <w:u w:val="single" w:color="auto"/>
          <w:color w:val="auto"/>
        </w:rPr>
        <w:t>Section 2.5.3(c)</w:t>
      </w:r>
      <w:r>
        <w:rPr>
          <w:rFonts w:ascii="Times New Roman" w:cs="Times New Roman" w:eastAsia="Times New Roman" w:hAnsi="Times New Roman"/>
          <w:sz w:val="22"/>
          <w:szCs w:val="22"/>
          <w:color w:val="auto"/>
        </w:rPr>
        <w:t>. Borrower may not reduce or cancel any Term Loan Commitments, LC Issuer Commitments or any DSR Loan Commitments if:</w:t>
      </w:r>
    </w:p>
    <w:p>
      <w:pPr>
        <w:spacing w:after="0" w:line="158"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Term Loan Commitments, after giving effect to such reduction or cancellation, the aggregate principal amount of all Term Loans then outstanding would exceed the Total Term Loan Commitment;</w:t>
      </w:r>
    </w:p>
    <w:p>
      <w:pPr>
        <w:spacing w:after="0" w:line="150"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DSR Loan Commitments, after giving effect to such reduction or cancellation and any concurrent prepayment of DSR Loans and LC Loans and/or termination and cancellation of any Letters of Credit, (x) the aggregate principal amount of the DSR Loans and LC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outstanding DSR LC Exposure would exceed the Total DSR Loan Commitment, (y) the outstanding DSR LC Exposure would exceed the Total LC Issuer Commitment or (z) the aggregate amount of Unutilized DSR Loan Commitments would be insufficient to provide DSR Letters of Credit in an amount equal to the DSR Required Balance;</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9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Term Loan Commitments, after giving effect to such reduction or cancellation, the Available Construction Funds would not equal or exceed the aggregate unpaid amount required to cause the Substantial Completion Date for each Initial Project and each other Funded Project to occur and for Term Conversion to occur by the Date Certain and to pay (x) the Remaining Costs and (y) any anticipated Liquidation Costs and anticipated Hedge Breaking Fees arising from any prepayment related to such reduction or cancellation, as certified by a Responsible Officer of the Borrower in a certificate delivered to the Administrative Agent and verified by the Independent Engineer;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0" w:name="page71"/>
    <w:bookmarkEnd w:id="70"/>
    <w:p>
      <w:pPr>
        <w:ind w:firstLine="1952"/>
        <w:spacing w:after="0" w:line="236" w:lineRule="auto"/>
        <w:tabs>
          <w:tab w:leader="none" w:pos="25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DSR Loan Commitments, it has not obtained the prior written consent of the Required DSR Lenders, which shall not be unreasonably withheld; 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reduction or cancellation could reasonably be expected to cause a Default or Event of Default.</w:t>
      </w:r>
    </w:p>
    <w:p>
      <w:pPr>
        <w:spacing w:after="0" w:line="191"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2"/>
          <w:szCs w:val="22"/>
          <w:color w:val="auto"/>
        </w:rPr>
        <w:t>Once reduced or canceled, the Total Term Loan Commitment, the DSR Loan Commitment or the LC Issuer Commitment, as applicable, may not be increased or reinstated.</w:t>
      </w:r>
    </w:p>
    <w:p>
      <w:pPr>
        <w:spacing w:after="0" w:line="150" w:lineRule="exact"/>
        <w:rPr>
          <w:sz w:val="20"/>
          <w:szCs w:val="20"/>
          <w:color w:val="auto"/>
        </w:rPr>
      </w:pPr>
    </w:p>
    <w:p>
      <w:pPr>
        <w:jc w:val="both"/>
        <w:ind w:firstLine="1304"/>
        <w:spacing w:after="0" w:line="225"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Borrower permanently reduces or cancels all or a part of the DSR Loan Commitments, there shall be a permanent reduction or cancellation of the LC Issuer Commitment, on a dollar-for-dollar basis corresponding to such reduction or cancellation.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in writing of any election to terminate or reduce Commitments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clause (c)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of Commitments pursuant to this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xml:space="preserve"> shall be made ratably among the Commitments of the Lenders participating in the applicable Loan facility in accordance with their respective Proportionate Shares.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Other Payment Terms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i w:val="1"/>
          <w:iCs w:val="1"/>
          <w:color w:val="auto"/>
        </w:rPr>
        <w:t>Place and Manner</w:t>
      </w:r>
      <w:r>
        <w:rPr>
          <w:rFonts w:ascii="Times New Roman" w:cs="Times New Roman" w:eastAsia="Times New Roman" w:hAnsi="Times New Roman"/>
          <w:sz w:val="22"/>
          <w:szCs w:val="22"/>
          <w:color w:val="auto"/>
        </w:rPr>
        <w:t>. Except as otherwise provided in the Fee Letters or any other provision contained in any of the Loan Documents, the Borrower shall make all payments due to any Lender, any LC Issuer, the Administrative Agent hereunder free and clear without setoff or counterclaim of any kind to the Administrative Agent, for the account of such Lender, such LC Issuer or the Administrative Agent (as the case may be), to the account denominated.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Bank Name: Bank Of Montreal, Chicago Branch</w:t>
      </w:r>
    </w:p>
    <w:p>
      <w:pPr>
        <w:ind w:left="1300"/>
        <w:spacing w:after="0" w:line="204" w:lineRule="auto"/>
        <w:rPr>
          <w:sz w:val="20"/>
          <w:szCs w:val="20"/>
          <w:color w:val="auto"/>
        </w:rPr>
      </w:pPr>
      <w:r>
        <w:rPr>
          <w:rFonts w:ascii="Times New Roman" w:cs="Times New Roman" w:eastAsia="Times New Roman" w:hAnsi="Times New Roman"/>
          <w:sz w:val="22"/>
          <w:szCs w:val="22"/>
          <w:color w:val="auto"/>
        </w:rPr>
        <w:t>ABA/Swift/Routing No.: 071000288</w:t>
      </w:r>
    </w:p>
    <w:p>
      <w:pPr>
        <w:ind w:left="1300"/>
        <w:spacing w:after="0" w:line="205" w:lineRule="auto"/>
        <w:rPr>
          <w:sz w:val="20"/>
          <w:szCs w:val="20"/>
          <w:color w:val="auto"/>
        </w:rPr>
      </w:pPr>
      <w:r>
        <w:rPr>
          <w:rFonts w:ascii="Times New Roman" w:cs="Times New Roman" w:eastAsia="Times New Roman" w:hAnsi="Times New Roman"/>
          <w:sz w:val="22"/>
          <w:szCs w:val="22"/>
          <w:color w:val="auto"/>
        </w:rPr>
        <w:t>Account No.: 1833201</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N/A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Reference: Opal Fuels Intermediate Holdco 2 LLC</w:t>
      </w:r>
    </w:p>
    <w:p>
      <w:pPr>
        <w:spacing w:after="0" w:line="15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or such other account as the Administrative Agent shall notify Borrower from time to time, in Dollars and in immediately available funds not later than 1:00 p.m., New York City time, on the date on which such payment is due. Any payment made after such time on any day shall be deemed received on the Business Day after such payment is received. The Administrative Agent shall disburse to each Lender or each LC Issuer (as the case may be) each such payment received by the Administrative Agent for such Lender or such LC Issuer (as the case may be), such disbursement to occur on the day such payment is received if received by 1:00 p.m., New York City time, or if otherwise reasonably possible, or otherwise on the next Business Day.</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Whenever any payment due hereunder shall fall due on a day other than a Business Day, such payment shall be made on the next succeeding Business Day (unless such Business Day falls in the next succeeding calendar month, in which case such payment shall be made on the immediately preceding Business Day) (other than the Maturity Date,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1" w:name="page72"/>
    <w:bookmarkEnd w:id="71"/>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date all outstanding Obligations shall be due and payable) and, in the case of any payment accruing interest, interest thereon shall be payable for the period of such extension.</w:t>
      </w:r>
    </w:p>
    <w:p>
      <w:pPr>
        <w:spacing w:after="0" w:line="146"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i w:val="1"/>
          <w:iCs w:val="1"/>
          <w:color w:val="auto"/>
        </w:rPr>
        <w:t>Default Interest</w:t>
      </w:r>
      <w:r>
        <w:rPr>
          <w:rFonts w:ascii="Times New Roman" w:cs="Times New Roman" w:eastAsia="Times New Roman" w:hAnsi="Times New Roman"/>
          <w:sz w:val="21"/>
          <w:szCs w:val="21"/>
          <w:color w:val="auto"/>
        </w:rPr>
        <w:t>. Notwithstanding anything to the contrary herein, upon the occurrence and during the continuation of any Event of Default, the overdue outstanding principal amount of all Loans and LC Reimbursement Obligations (without duplication) and any accrued and unpaid interest payments thereon and any accrued and overdue but unpaid fees, and other overdue amounts hereunder, shall thereafter bear interest (including post-petition interest in any proceeding under applicable bankruptcy laws) payable upon demand, and the LC Fees shall be increased, at a rate that is (a) two percent (2.00%) per annum in excess of the interest rate or LC Fees, as applicable, then otherwise payable under this Agreement with respect to the applicable Loans and Letters of Credit, or (b) in the case of any such fees and other amounts, at a rate that is two percent (2.00%) per annum in excess of the interest rate then otherwise payable under this Agreement for Base Rate Loans (the “</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SOFR Loans, upon the expiration of the Interest Period in effect at the time any such increase in interest rate is effective, such SOFR Loans shall thereupon become Base Rate Loans and shall thereafter bear interest payable upon demand at a rate that is two percent (2.00%) per annum in excess of the interest rate then otherwise payable under this Agreement for Base Rate Loans (it being understood that from and after the date on which all continuing Events of Default have been cured or waived pursuant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the Default Rate shall no longer apply). Payment or acceptance of the increased rates of interest provided for in this </w:t>
      </w:r>
      <w:r>
        <w:rPr>
          <w:rFonts w:ascii="Times New Roman" w:cs="Times New Roman" w:eastAsia="Times New Roman" w:hAnsi="Times New Roman"/>
          <w:sz w:val="21"/>
          <w:szCs w:val="21"/>
          <w:u w:val="single" w:color="auto"/>
          <w:color w:val="auto"/>
        </w:rPr>
        <w:t>Section 2.6.3</w:t>
      </w:r>
      <w:r>
        <w:rPr>
          <w:rFonts w:ascii="Times New Roman" w:cs="Times New Roman" w:eastAsia="Times New Roman" w:hAnsi="Times New Roman"/>
          <w:sz w:val="21"/>
          <w:szCs w:val="21"/>
          <w:color w:val="auto"/>
        </w:rPr>
        <w:t xml:space="preserve"> is not a permitted alternative to timely payment and shall not constitute a waiver of any Event of Default or otherwise prejudice or limit any rights or remedies of the Administrative Agent or any Lender.</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i w:val="1"/>
          <w:iCs w:val="1"/>
          <w:color w:val="auto"/>
        </w:rPr>
        <w:t>Net of Taxes, Etc.</w:t>
      </w:r>
    </w:p>
    <w:p>
      <w:pPr>
        <w:spacing w:after="0" w:line="183" w:lineRule="exact"/>
        <w:rPr>
          <w:sz w:val="20"/>
          <w:szCs w:val="20"/>
          <w:color w:val="auto"/>
        </w:rPr>
      </w:pPr>
    </w:p>
    <w:p>
      <w:pPr>
        <w:jc w:val="both"/>
        <w:ind w:firstLine="1304"/>
        <w:spacing w:after="0" w:line="209"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Any and all payments to or for the benefit of a Credit Party by or on behalf of any Obligor hereunder or under any other Loan Document shall be made free and clear of and without deduction or withholding, setoff or counterclaim of any kind whatsoever of any Taxes unless required by applicable law. If any Taxes are required to be deducted or withheld from or in respect of any sum payable by or on behalf of any Obligor hereunder or under any other Loan Document to any Credit Party, under applicable Requirements of Law, (i) if such Taxes are Indemnified Taxes, the sum payable shall be increased as may be necessary so that after all required deductions or withholdings (including deductions or withholdings applicable to additional sums payable under this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such Credit Party receives an amount equal to the sum it would have received had no such deductions or withholdings been made, (ii) the Borrower shall make (or cause to be made) such deductions or withholdings, and (iii) the Borrower shall pay (or cause to be paid) the full amount deducted or withheld to the relevant taxation authority or other authority in accordance with applicable Requirements of Law. In addition, the Borrower shall timely pay to the relevant Governmental Authority in accordance with applicable Requirements of Law, or at the option of the Administrative Agent timely reimburse it for the payment of, any Other Taxes. The Borrower shall deliver to the Administrative Agent official receipts or other evidence of such payments reasonably satisfactory to the Lenders in respect of any Taxes or Other Taxes payable hereunder promptly after the payment of such Taxes or Other Taxes.</w:t>
      </w:r>
    </w:p>
    <w:p>
      <w:pPr>
        <w:spacing w:after="0" w:line="15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Indemnity</w:t>
      </w:r>
      <w:r>
        <w:rPr>
          <w:rFonts w:ascii="Times New Roman" w:cs="Times New Roman" w:eastAsia="Times New Roman" w:hAnsi="Times New Roman"/>
          <w:sz w:val="22"/>
          <w:szCs w:val="22"/>
          <w:color w:val="auto"/>
        </w:rPr>
        <w:t xml:space="preserve">. The Borrower shall indemnify each Credit Party for and hold it harmless against the full amount of Indemnified Taxes (including any Indemnified Taxes imposed by any jurisdiction on amounts payable under this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paid by any Credit Party or its Affiliate, or any liability (including penalties, interest and expenses) arising therefrom or with respect thereto, whether or not such Indemnified Taxes were correctly or legally asserted. A certificate as to the amount of such payment or liability delivered to the Borrower by a Lender (with a copy to the Administrative Agent), or by the Administrative Agent on its own behalf or on behalf of a Lender, shall be conclusive absent manifest error.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by the Borrower pursuant to this indemnification shall be made within thirty (30) days from the date such Credit Party makes written demand therefor (submitted through the Administrative Agent). Depositary Agent shall be an express third party beneficiary of this </w:t>
      </w:r>
      <w:r>
        <w:rPr>
          <w:rFonts w:ascii="Times New Roman" w:cs="Times New Roman" w:eastAsia="Times New Roman" w:hAnsi="Times New Roman"/>
          <w:sz w:val="22"/>
          <w:szCs w:val="22"/>
          <w:u w:val="single" w:color="auto"/>
          <w:color w:val="auto"/>
        </w:rPr>
        <w:t>Section 2.6.4(b)</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304"/>
        <w:spacing w:after="0" w:line="215"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Within thirty (30) days after the date of any payment of Indemnified Taxes by or on behalf of Borrower, the Borrower shall furnish to the Administrative Agent, in each case at its address referred to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the original or a certified copy of a receipt evidencing payment thereof or, if such receipt is not obtainable, other evidence of such payment reasonably satisfactory to the Administrative Agent. The Borrower shall compensate each Credit Party for all reasonable losses and expenses sustained by such Credit Party as a result of any failure by the Borrower to so furnish such copy of such receipt.</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Credit Parties</w:t>
      </w:r>
      <w:r>
        <w:rPr>
          <w:rFonts w:ascii="Times New Roman" w:cs="Times New Roman" w:eastAsia="Times New Roman" w:hAnsi="Times New Roman"/>
          <w:sz w:val="22"/>
          <w:szCs w:val="22"/>
          <w:color w:val="auto"/>
        </w:rPr>
        <w:t xml:space="preserve">. If any Credit Party receives an indemnification payment pursuant to </w:t>
      </w:r>
      <w:r>
        <w:rPr>
          <w:rFonts w:ascii="Times New Roman" w:cs="Times New Roman" w:eastAsia="Times New Roman" w:hAnsi="Times New Roman"/>
          <w:sz w:val="22"/>
          <w:szCs w:val="22"/>
          <w:u w:val="single" w:color="auto"/>
          <w:color w:val="auto"/>
        </w:rPr>
        <w:t>Section 2.6.4(b)</w:t>
      </w:r>
      <w:r>
        <w:rPr>
          <w:rFonts w:ascii="Times New Roman" w:cs="Times New Roman" w:eastAsia="Times New Roman" w:hAnsi="Times New Roman"/>
          <w:sz w:val="22"/>
          <w:szCs w:val="22"/>
          <w:color w:val="auto"/>
        </w:rPr>
        <w:t xml:space="preserve"> (or if the Borrower pays any additional amount under </w:t>
      </w:r>
      <w:r>
        <w:rPr>
          <w:rFonts w:ascii="Times New Roman" w:cs="Times New Roman" w:eastAsia="Times New Roman" w:hAnsi="Times New Roman"/>
          <w:sz w:val="22"/>
          <w:szCs w:val="22"/>
          <w:u w:val="single" w:color="auto"/>
          <w:color w:val="auto"/>
        </w:rPr>
        <w:t>Section 2.6.4(a)</w:t>
      </w:r>
      <w:r>
        <w:rPr>
          <w:rFonts w:ascii="Times New Roman" w:cs="Times New Roman" w:eastAsia="Times New Roman" w:hAnsi="Times New Roman"/>
          <w:sz w:val="22"/>
          <w:szCs w:val="22"/>
          <w:color w:val="auto"/>
        </w:rPr>
        <w:t xml:space="preserve">) and if such Credit Party, in its sole opinion, applies or otherwise takes advantage of any refund arising out of or in conjunction with any Indemnified Taxes which give rise to such additional amount or indemnification, such Credit Party shall, to the extent that in its sole opinion it can do so without prejudice to the retention of the amount of such refund and without any other adverse tax consequences for such Credit Party, reimburse to the Borrower such amount as the Credit Party shall, in its sole opinion, have determined to be attributable to the relevant Indemnified Taxes, net of all out-of-pocket expenses (including Taxes) of such Credit Party and without interest (other than any interest paid by the relevant Governmental Authority with respect to such refund), and as will leave such Credit Party in no better or worse position than it would have been in if the payment of such Indemnified Taxes subject to indemnification and giving rise to such refund had not been deducted, withheld or otherwise imposed and the indemnification payments or additional amounts with respect to such Tax had never been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Credit Party is required to repay all or any portion of any refund or any interest thereon to such Governmental Authority, then, upon the request of such Credit Party, the Borrower agrees to repay such Credit Party, as soon as reasonably practicable, the amount of the refund required to be paid to such Governmental Authority by such Credit Party that is required to be forfeited, in each case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penalties, interest or other charges imposed by such Governmental Authority with respect to such refund, as the case may be. Nothing in this </w:t>
      </w:r>
      <w:r>
        <w:rPr>
          <w:rFonts w:ascii="Times New Roman" w:cs="Times New Roman" w:eastAsia="Times New Roman" w:hAnsi="Times New Roman"/>
          <w:sz w:val="22"/>
          <w:szCs w:val="22"/>
          <w:u w:val="single" w:color="auto"/>
          <w:color w:val="auto"/>
        </w:rPr>
        <w:t>Section 2.6.4(d)</w:t>
      </w:r>
      <w:r>
        <w:rPr>
          <w:rFonts w:ascii="Times New Roman" w:cs="Times New Roman" w:eastAsia="Times New Roman" w:hAnsi="Times New Roman"/>
          <w:sz w:val="22"/>
          <w:szCs w:val="22"/>
          <w:color w:val="auto"/>
        </w:rPr>
        <w:t xml:space="preserve"> shall oblige any Credit Party to disclose to the Borrower or any other Person any information regarding its tax affairs or tax computations, or shall interfere with Credit Party’s absolute discretion to arrange its tax affairs in whatever manner it thinks fit. In particular, no Credit Party shall be under any obligation to claim relief from its corporate profits or similar tax liability in deductions available to it and, if it does claim, the extent, order and manner in which it does so shall be at its absolute discretion.</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xml:space="preserve">. The obligations of the Borrower and each Credit Party under this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xml:space="preserve"> shall survive the termination of this Agreement and the repayment of Borrower’s Obligations.</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3" w:name="page74"/>
    <w:bookmarkEnd w:id="7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payment. Solely for purposes of this </w:t>
      </w:r>
      <w:r>
        <w:rPr>
          <w:rFonts w:ascii="Times New Roman" w:cs="Times New Roman" w:eastAsia="Times New Roman" w:hAnsi="Times New Roman"/>
          <w:sz w:val="22"/>
          <w:szCs w:val="22"/>
          <w:u w:val="single" w:color="auto"/>
          <w:color w:val="auto"/>
        </w:rPr>
        <w:t>Section 2.6.4(f)</w:t>
      </w:r>
      <w:r>
        <w:rPr>
          <w:rFonts w:ascii="Times New Roman" w:cs="Times New Roman" w:eastAsia="Times New Roman" w:hAnsi="Times New Roman"/>
          <w:sz w:val="22"/>
          <w:szCs w:val="22"/>
          <w:color w:val="auto"/>
        </w:rPr>
        <w:t>, “FATCA” shall include any amendments made to FATCA after the date of this Agreement.</w:t>
      </w:r>
    </w:p>
    <w:p>
      <w:pPr>
        <w:spacing w:after="0" w:line="146"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i w:val="1"/>
          <w:iCs w:val="1"/>
          <w:color w:val="auto"/>
        </w:rPr>
        <w:t>Withholding Exemption Certificates</w:t>
      </w:r>
      <w:r>
        <w:rPr>
          <w:rFonts w:ascii="Times New Roman" w:cs="Times New Roman" w:eastAsia="Times New Roman" w:hAnsi="Times New Roman"/>
          <w:sz w:val="21"/>
          <w:szCs w:val="21"/>
          <w:color w:val="auto"/>
        </w:rPr>
        <w:t xml:space="preserve">. Each Lender upon becoming a Lender and each LC Issuer upon becoming an LC Issuer agree that they will deliver to the Administrative Agent and the Borrower either (a) if such Lender is a United States person (as such term is defined in Section 7701(a)(30) of the Code), an executed copy of a United States Internal Revenue Service Form W-9, or (b) if such Lender is not a United States person (as such term is defined in Section 7701(a)(30) of the Code), two duly completed copies of United States Internal Revenue Service Form W-8BEN or W-8BEN-E, W-8ECI, W-8EXP or W-8IMY or successor applicable form, as the case may be (certifying therein an entitlement to an exemption from or reduction in, United States withholding taxes)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in the case of a Lender using the so-called “portfolio interest exemption,” a duly completed and executed non-bank certificate in the form of </w:t>
      </w:r>
      <w:r>
        <w:rPr>
          <w:rFonts w:ascii="Times New Roman" w:cs="Times New Roman" w:eastAsia="Times New Roman" w:hAnsi="Times New Roman"/>
          <w:sz w:val="21"/>
          <w:szCs w:val="21"/>
          <w:u w:val="single" w:color="auto"/>
          <w:color w:val="auto"/>
        </w:rPr>
        <w:t>Exhibits E-1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E-4</w:t>
      </w:r>
      <w:r>
        <w:rPr>
          <w:rFonts w:ascii="Times New Roman" w:cs="Times New Roman" w:eastAsia="Times New Roman" w:hAnsi="Times New Roman"/>
          <w:sz w:val="21"/>
          <w:szCs w:val="21"/>
          <w:color w:val="auto"/>
        </w:rPr>
        <w:t>, as applicable to such Lender (each a “</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xml:space="preserve">”). Each Lender or LC Issuer which delivers to the Borrower and the Administrative Agent a Form W-9, W-8BEN or W-8BEN-E, W-8ECI, W-8EXP or W-8IMY and/or a U.S. Tax Compliance Certificate, as the case may be, pursuant to the preceding sentence further undertakes to deliver to the Borrower and the Administrative Agent further copies of the Form W-9, W-8BEN or W-8BEN-E, W-8ECI, W-8EXP or W-8IMY, or successor applicable forms, or other manner of certification or procedure, and a U.S. Tax Compliance Certificate, as the case may be, on or before the date that any such form or certificate expires or becomes obsolete or within a reasonable time after gaining knowledge of the occurrence of any event requiring a change in the most recent forms previously delivered by it, and such extensions or renewals thereof as may reasonably be requested by the Borrower or the Administrative Agent, certifying in the case of a Form W-9, W-8BEN or W-8BEN-E, W-8ECI, W-8EXP or W-8IMY and/or a U.S. Tax Compliance Certificate, as the case may be, that such Lender or LC Issuer is entitled to receive payments under this Agreement without deduction or withholding of any United States federal income taxes, or at a reduced rate, unless in any such cases any change in treaty, law, regulation or the circumstance of any Obligor or Affiliate of any Obligor (other than an Affiliate that is a Credit Party) or any designation of a new lending office or assignment described in the exception contained in clause (B) of </w:t>
      </w:r>
      <w:r>
        <w:rPr>
          <w:rFonts w:ascii="Times New Roman" w:cs="Times New Roman" w:eastAsia="Times New Roman" w:hAnsi="Times New Roman"/>
          <w:sz w:val="21"/>
          <w:szCs w:val="21"/>
          <w:u w:val="single" w:color="auto"/>
          <w:color w:val="auto"/>
        </w:rPr>
        <w:t>Section 2.6.4(a)</w:t>
      </w:r>
      <w:r>
        <w:rPr>
          <w:rFonts w:ascii="Times New Roman" w:cs="Times New Roman" w:eastAsia="Times New Roman" w:hAnsi="Times New Roman"/>
          <w:sz w:val="21"/>
          <w:szCs w:val="21"/>
          <w:color w:val="auto"/>
        </w:rPr>
        <w:t xml:space="preserve"> has occurred prior to the date on which any such delivery would otherwise be required which renders all such forms or certificates inapplicable or which would prevent a Lender or LC Issuer from duly completing and delivering any such form or certificate with respect to it and such Lender or LC Issuer advises the Borrower that it is not capable of receiving payments without any deduction or withholding of United States federal income tax or at a reduced rate. Notwithstanding any other provision of this </w:t>
      </w:r>
      <w:r>
        <w:rPr>
          <w:rFonts w:ascii="Times New Roman" w:cs="Times New Roman" w:eastAsia="Times New Roman" w:hAnsi="Times New Roman"/>
          <w:sz w:val="21"/>
          <w:szCs w:val="21"/>
          <w:u w:val="single" w:color="auto"/>
          <w:color w:val="auto"/>
        </w:rPr>
        <w:t>Section 2.6.5</w:t>
      </w:r>
      <w:r>
        <w:rPr>
          <w:rFonts w:ascii="Times New Roman" w:cs="Times New Roman" w:eastAsia="Times New Roman" w:hAnsi="Times New Roman"/>
          <w:sz w:val="21"/>
          <w:szCs w:val="21"/>
          <w:color w:val="auto"/>
        </w:rPr>
        <w:t xml:space="preserve">, no Person shall be required to deliver any form pursuant to this </w:t>
      </w:r>
      <w:r>
        <w:rPr>
          <w:rFonts w:ascii="Times New Roman" w:cs="Times New Roman" w:eastAsia="Times New Roman" w:hAnsi="Times New Roman"/>
          <w:sz w:val="21"/>
          <w:szCs w:val="21"/>
          <w:u w:val="single" w:color="auto"/>
          <w:color w:val="auto"/>
        </w:rPr>
        <w:t>Section 2.6.5</w:t>
      </w:r>
      <w:r>
        <w:rPr>
          <w:rFonts w:ascii="Times New Roman" w:cs="Times New Roman" w:eastAsia="Times New Roman" w:hAnsi="Times New Roman"/>
          <w:sz w:val="21"/>
          <w:szCs w:val="21"/>
          <w:color w:val="auto"/>
        </w:rPr>
        <w:t xml:space="preserve"> that such Person is not legally able to deliver.</w:t>
      </w:r>
    </w:p>
    <w:p>
      <w:pPr>
        <w:spacing w:after="0" w:line="14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i w:val="1"/>
          <w:iCs w:val="1"/>
          <w:color w:val="auto"/>
        </w:rPr>
        <w:t>Defaulting Lender Provisions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to the extent permitted by applicable law for so long as such Lender is a Defaulting Lender:</w:t>
      </w:r>
    </w:p>
    <w:p>
      <w:pPr>
        <w:spacing w:after="0" w:line="150" w:lineRule="exact"/>
        <w:rPr>
          <w:sz w:val="20"/>
          <w:szCs w:val="20"/>
          <w:color w:val="auto"/>
        </w:rPr>
      </w:pPr>
    </w:p>
    <w:p>
      <w:pPr>
        <w:jc w:val="both"/>
        <w:ind w:firstLine="1304"/>
        <w:spacing w:after="0" w:line="217" w:lineRule="auto"/>
        <w:tabs>
          <w:tab w:leader="none" w:pos="193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Fees shall cease to accrue on the unused portion of the Commitment of such Defaulting Lender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for any period during which such Lender is a Defaulting Lender (without prejudice to the rights of the Lenders other than Defaulting Lenders in respect of such fees);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Defaulting Lender shall be entitled to receive LC Fees for any period during which such Lender is a Defaulting Lender only to the extent allocable to its Proportionate Share of the Drawing Amounts of the Letters of Credit for which it has provided Cash Collateral.</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Commitment Fee or LC Fee not required to be paid to any Defaulting Lender pursuant to clause (a) above, the Borrower shall (x) pay to each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4" w:name="page75"/>
    <w:bookmarkEnd w:id="7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Defaulting Lender that portion of any such fee otherwise payable to such Defaulting Lender with respect to such Defaulting Lender’s participation in LC Exposure that has been reallocated to such Non-Defaulting Lender pursuant to </w:t>
      </w:r>
      <w:r>
        <w:rPr>
          <w:rFonts w:ascii="Times New Roman" w:cs="Times New Roman" w:eastAsia="Times New Roman" w:hAnsi="Times New Roman"/>
          <w:sz w:val="22"/>
          <w:szCs w:val="22"/>
          <w:u w:val="single" w:color="auto"/>
          <w:color w:val="auto"/>
        </w:rPr>
        <w:t>Section 2.6.6(e)</w:t>
      </w:r>
      <w:r>
        <w:rPr>
          <w:rFonts w:ascii="Times New Roman" w:cs="Times New Roman" w:eastAsia="Times New Roman" w:hAnsi="Times New Roman"/>
          <w:sz w:val="22"/>
          <w:szCs w:val="22"/>
          <w:color w:val="auto"/>
        </w:rPr>
        <w:t xml:space="preserve"> below, (y) pay to each LC Issuer the amount of any such fee otherwise payable to such Defaulting Lender to the extent allocable to such LC Issuer’s Fronting Exposure to such Defaulting Lender, and (z) not be required to pay the remaining amount of any such fee.</w:t>
      </w:r>
    </w:p>
    <w:p>
      <w:pPr>
        <w:spacing w:after="0" w:line="152" w:lineRule="exact"/>
        <w:rPr>
          <w:sz w:val="20"/>
          <w:szCs w:val="20"/>
          <w:color w:val="auto"/>
        </w:rPr>
      </w:pPr>
    </w:p>
    <w:p>
      <w:pPr>
        <w:ind w:right="20" w:firstLine="1304"/>
        <w:spacing w:after="0" w:line="236" w:lineRule="auto"/>
        <w:tabs>
          <w:tab w:leader="none" w:pos="19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the definition of “</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otherwise) or received by the Administrative Agent from a Defaulting Lender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be applied at such time or times as may be determined by the Administrative Agent as follows: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the Agents under the Loan Documents;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payment on a pro rata basis of any amounts owing by such Defaulting Lender to the applicable LC Issuer;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the LC Issuers’ Fronting Exposure with respect to such Defaulting Lender in accordance with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 xml:space="preserve"> (and any Cash Collateral provided by Borrower for this purpose pursuant to </w:t>
      </w:r>
      <w:r>
        <w:rPr>
          <w:rFonts w:ascii="Times New Roman" w:cs="Times New Roman" w:eastAsia="Times New Roman" w:hAnsi="Times New Roman"/>
          <w:sz w:val="22"/>
          <w:szCs w:val="22"/>
          <w:u w:val="single" w:color="auto"/>
          <w:color w:val="auto"/>
        </w:rPr>
        <w:t>Section 2.2.10(b)</w:t>
      </w:r>
      <w:r>
        <w:rPr>
          <w:rFonts w:ascii="Times New Roman" w:cs="Times New Roman" w:eastAsia="Times New Roman" w:hAnsi="Times New Roman"/>
          <w:sz w:val="22"/>
          <w:szCs w:val="22"/>
          <w:color w:val="auto"/>
        </w:rPr>
        <w:t xml:space="preserve"> shall be refunded to Borrower on a dollar for dollar basis); (iv)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(v)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 xml:space="preserve">; (vi)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the payment of any amounts owing to the Lenders or the LC Issuers as a result of any judgment of a court of competent jurisdiction obtained by any Lender or an applicable LC Issuer against such Defaulting Lender as a result of such Defaulting Lender’s breach of its obligations under this Agreement; (vii)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then final and non-appealable judgment of a court of competent jurisdiction obtained by the Borrower against such Defaulting Lender as a result of such Defaulting Lender’s breach of its obligations under this Agreement; and (viii)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this clause (viii), if such payment is a prepayment of the principal amount of any Loans in respect of which a Defaulting Lender has funded its participation obligations, such payment shall be applied solely to prepay the Loans of all Non-Defaulting Lenders pro rata prior to being applied to the prepayment of any Loans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2.6.6</w:t>
      </w:r>
      <w:r>
        <w:rPr>
          <w:rFonts w:ascii="Times New Roman" w:cs="Times New Roman" w:eastAsia="Times New Roman" w:hAnsi="Times New Roman"/>
          <w:sz w:val="22"/>
          <w:szCs w:val="22"/>
          <w:color w:val="auto"/>
        </w:rPr>
        <w:t xml:space="preserve"> shall be deemed paid to and redirected by such Defaulting Lender, and each Lender irrevocably consents hereto.</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such Defaulting Lender’s participation in LC Exposure shall be reallocated among the Non-Defaulting Lenders of the same Class as such Defaulting Lender in accordance with their respective Proportionate Shares (calculated without regard to such Defaulting Lender’s Commitment) but only to the extent that such reallocation does not cause the aggregate LC Exposure of any Non-Defaulting Lender to exceed such Non-Defaulting Lender’s DSR Loan Commitment. No reallocation hereunder shall constitute a waiver or release of any claim of any party hereunder against a Defaulting Lender arising from that Lender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5" w:name="page76"/>
    <w:bookmarkEnd w:id="75"/>
    <w:p>
      <w:pPr>
        <w:spacing w:after="0" w:line="236" w:lineRule="auto"/>
        <w:rPr>
          <w:sz w:val="20"/>
          <w:szCs w:val="20"/>
          <w:color w:val="auto"/>
        </w:rPr>
      </w:pPr>
      <w:r>
        <w:rPr>
          <w:rFonts w:ascii="Times New Roman" w:cs="Times New Roman" w:eastAsia="Times New Roman" w:hAnsi="Times New Roman"/>
          <w:sz w:val="22"/>
          <w:szCs w:val="22"/>
          <w:color w:val="auto"/>
        </w:rPr>
        <w:t>become a Defaulting Lender, including any claim of a Non-Defaulting Lender as a result of such Non-Defaulting Lender’s increased exposure following such reallocation.</w:t>
      </w:r>
    </w:p>
    <w:p>
      <w:pPr>
        <w:spacing w:after="0" w:line="150" w:lineRule="exact"/>
        <w:rPr>
          <w:sz w:val="20"/>
          <w:szCs w:val="20"/>
          <w:color w:val="auto"/>
        </w:rPr>
      </w:pPr>
    </w:p>
    <w:p>
      <w:pPr>
        <w:jc w:val="both"/>
        <w:ind w:firstLine="1304"/>
        <w:spacing w:after="0" w:line="220" w:lineRule="auto"/>
        <w:tabs>
          <w:tab w:leader="none" w:pos="193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and each applicable LC Issuer agree in writing, based on the cure of the applicable basis of default,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Loans and funded and unfunded participations in Letters of Credit to be held pro rata by the Lenders in accordance with the Commitments under the applicable Class (without giving effect to </w:t>
      </w:r>
      <w:r>
        <w:rPr>
          <w:rFonts w:ascii="Times New Roman" w:cs="Times New Roman" w:eastAsia="Times New Roman" w:hAnsi="Times New Roman"/>
          <w:sz w:val="21"/>
          <w:szCs w:val="21"/>
          <w:u w:val="single" w:color="auto"/>
          <w:color w:val="auto"/>
        </w:rPr>
        <w:t>Section 2.6.6(e)</w:t>
      </w:r>
      <w:r>
        <w:rPr>
          <w:rFonts w:ascii="Times New Roman" w:cs="Times New Roman" w:eastAsia="Times New Roman" w:hAnsi="Times New Roman"/>
          <w:sz w:val="21"/>
          <w:szCs w:val="21"/>
          <w:color w:val="auto"/>
        </w:rPr>
        <w:t xml:space="preserve">),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Borrower while that Lender was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Pro Rata Treatment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i w:val="1"/>
          <w:iCs w:val="1"/>
          <w:color w:val="auto"/>
        </w:rPr>
        <w:t>Borrowings, Commitment Reductions, Etc</w:t>
      </w:r>
      <w:r>
        <w:rPr>
          <w:rFonts w:ascii="Times New Roman" w:cs="Times New Roman" w:eastAsia="Times New Roman" w:hAnsi="Times New Roman"/>
          <w:sz w:val="21"/>
          <w:szCs w:val="21"/>
          <w:color w:val="auto"/>
        </w:rPr>
        <w:t>. Except as otherwise provided herein, (a) each Borrowing of a particular Class and each reduction of the Commitments of a particular Class shall be made or allocated among the relevant Lenders pro rata according to their respective Proportionate Shares of such Loans or Commitments, as the case may be, (b) each payment of principal of and interest on Loans of a particular Class shall be made or shared among the relevant Lenders holding such Loans pro rata according to their respective unpaid principal amounts of such Loans held by such Lenders, (c) each payment of Commitment Fees in respect of Commitments of a particular Class shall be shared among the relevant Lenders pro rata according to (i) their respective Proportionate Shares of the Commitments of such Class held by such Lenders to which such fees apply and (ii) in respect of each Lender which becomes a party to this Agreement hereunder after the Closing Date, the date upon which such Lender so became a party hereunder and (d) each payment of LC Fees in respect of Commitments of a particular Class shall be made or shared among the relevant Lenders holding DSR Loan Commitments, pro rata according to their respective Proportionate Shares of the DSR Loan Commitments, held by such Lenders to which such fees apply.</w:t>
      </w:r>
    </w:p>
    <w:p>
      <w:pPr>
        <w:spacing w:after="0" w:line="14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i w:val="1"/>
          <w:iCs w:val="1"/>
          <w:color w:val="auto"/>
        </w:rPr>
        <w:t>Sharing of Payments, Etc</w:t>
      </w:r>
      <w:r>
        <w:rPr>
          <w:rFonts w:ascii="Times New Roman" w:cs="Times New Roman" w:eastAsia="Times New Roman" w:hAnsi="Times New Roman"/>
          <w:sz w:val="22"/>
          <w:szCs w:val="22"/>
          <w:color w:val="auto"/>
        </w:rPr>
        <w:t xml:space="preserve">. If any Lender or LC Issuer shall obtain any payment (whether voluntary, involuntary, through the exercise of any right of setoff, or otherwise) on account of its Loans or participations in Drawing Payments resulting in such Lender or LC Issuer receiving payment in excess of its pro rata share of the aggregate payments obtained by the Lenders and the LC Issuers in respect of the Loans, Letters of Credit or participations in Drawing Payments, then such Lender or LC Issuer, as applicable, shall forthwith purchase from the other Lenders or LC Issuer such participations in the Loans or Drawing Payments, as the case may be, as shall be necessary to cause such purchasing Lender or LC Issuers to share the excess payment ratably with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all or any portion of such excess payment is thereafter recovered from such purchasing Lender or LC Issuer, such purchase from such Lender or LC Issuer shall be rescinded and each other Lender or LC Issuer shall repay to the purchasing Lender or LC Issuer the purchase price to the extent of such recovery together with an amount equal to such other Lender’s or LC Issuer’s Proportionate Share of the applicable Facility (according to the proportion of (i) the amount of such other Lender’s or LC Issuer’s required repayment to (ii) the total amount so recovered from the purchasing Lender or LC Issuer) of any interest or other amount paid or payable by the purchasing Lender or LC Issuer in respect of the total amount so recovered and (b)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6" w:name="page77"/>
    <w:bookmarkEnd w:id="76"/>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2.7.2</w:t>
      </w:r>
      <w:r>
        <w:rPr>
          <w:rFonts w:ascii="Times New Roman" w:cs="Times New Roman" w:eastAsia="Times New Roman" w:hAnsi="Times New Roman"/>
          <w:sz w:val="22"/>
          <w:szCs w:val="22"/>
          <w:color w:val="auto"/>
        </w:rPr>
        <w:t xml:space="preserve"> shall not be construed to apply to (i) any payment made by Borrower pursuant to and in accordance with the express terms of this Agreement (including the application of funds arising from the existence of a Defaulting Lender) or (ii) any payment obtained by a Lender as consideration for the assignment of or sale of a participation in any of its Loans or participations in Drawing Payments to any assignee or participant, other than to the Borrower or any Affiliate thereof (as to which the provisions of this paragraph shall apply). The Borrower agrees that any Lender or LC Issuer so purchasing a participation from another Lender or LC Issuer pursuant to this </w:t>
      </w:r>
      <w:r>
        <w:rPr>
          <w:rFonts w:ascii="Times New Roman" w:cs="Times New Roman" w:eastAsia="Times New Roman" w:hAnsi="Times New Roman"/>
          <w:sz w:val="22"/>
          <w:szCs w:val="22"/>
          <w:u w:val="single" w:color="auto"/>
          <w:color w:val="auto"/>
        </w:rPr>
        <w:t>Section 2.7.2</w:t>
      </w:r>
      <w:r>
        <w:rPr>
          <w:rFonts w:ascii="Times New Roman" w:cs="Times New Roman" w:eastAsia="Times New Roman" w:hAnsi="Times New Roman"/>
          <w:sz w:val="22"/>
          <w:szCs w:val="22"/>
          <w:color w:val="auto"/>
        </w:rPr>
        <w:t xml:space="preserve"> may, to the fullest extent permitted by law, exercise all its rights of payment (including the right of setoff) with respect to such participation as fully as if such Lender or LC Issuer was the direct creditor of the Borrower in the amount of such participation.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Change of Circumstances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i w:val="1"/>
          <w:iCs w:val="1"/>
          <w:color w:val="auto"/>
        </w:rPr>
        <w:t>Inability to Determine Rates</w:t>
      </w:r>
      <w:r>
        <w:rPr>
          <w:rFonts w:ascii="Times New Roman" w:cs="Times New Roman" w:eastAsia="Times New Roman" w:hAnsi="Times New Roman"/>
          <w:sz w:val="21"/>
          <w:szCs w:val="21"/>
          <w:color w:val="auto"/>
        </w:rPr>
        <w:t>. If, in connection with any request for a SOFR Loan or a conversion to or continuation thereof, (a) the Administrative Agent determines (or is advised by the Required Lenders) that adequate and reasonable means do not exist for determining the SOFR Rate for any requested Interest Period with respect to a proposed SOFR Loan or in connection with an existing or proposed Base Rate Loan (in each case, “</w:t>
      </w:r>
      <w:r>
        <w:rPr>
          <w:rFonts w:ascii="Times New Roman" w:cs="Times New Roman" w:eastAsia="Times New Roman" w:hAnsi="Times New Roman"/>
          <w:sz w:val="21"/>
          <w:szCs w:val="21"/>
          <w:u w:val="single" w:color="auto"/>
          <w:color w:val="auto"/>
        </w:rPr>
        <w:t>Impacted Loans</w:t>
      </w:r>
      <w:r>
        <w:rPr>
          <w:rFonts w:ascii="Times New Roman" w:cs="Times New Roman" w:eastAsia="Times New Roman" w:hAnsi="Times New Roman"/>
          <w:sz w:val="21"/>
          <w:szCs w:val="21"/>
          <w:color w:val="auto"/>
        </w:rPr>
        <w:t>”), or (b) the Administrative Agent determines that for any reason the SOFR Rate for any requested Interest Period with respect to a proposed SOFR Loan does not adequately and fairly reflect the cost to such Lenders of funding such SOFR Loan, the Administrative Agent will promptly so notify the Borrower and each Lender. Thereafter, (x) the obligation of the Lenders to make or maintain SOFR Loans shall be suspended (to the extent of the affected SOFR Loans or Interest Periods) and (y) in the event of a determination described in the preceding sentence with respect to the SOFR Rate component of the Base Rate, the utilization of the SOFR Rate component in determining the Base Rate shall be suspended, in each case until the Administrative Agent upon the instruction of the Affected Lenders revokes such notice. Upon receipt of such notice, Borrower may revoke any pending request for a borrowing of, conversion to or continuation of SOFR Loans (to the extent of the affected SOFR Loans or Interest Periods) or, failing that, will be deemed to have converted such request into a request for Base Rate Loans in the amount specified therein.</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Notwithstanding the foregoing, if the Administrative Agent has made the determination described in clause (a) above,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above, (2) the Administrative Agent notifies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53"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i w:val="1"/>
          <w:iCs w:val="1"/>
          <w:color w:val="auto"/>
        </w:rPr>
        <w:t>Illegality</w:t>
      </w:r>
      <w:r>
        <w:rPr>
          <w:rFonts w:ascii="Times New Roman" w:cs="Times New Roman" w:eastAsia="Times New Roman" w:hAnsi="Times New Roman"/>
          <w:sz w:val="22"/>
          <w:szCs w:val="22"/>
          <w:color w:val="auto"/>
        </w:rPr>
        <w:t>. If any Lender reasonably determines that any law has made it unlawful, or that any Governmental Authority has asserted that it is unlawful, for any Lender or its applicable Lending Office to perform any of its obligations hereunder or to make, maintain or fund or charge interest with respect to any Loan or Letter of Credit or to determine or charge interest rates based upon the Term SOFR Reference Rate, then, on notice thereof by such Lender to the Borrower through the Administrative Agent, (i) any obligation of such Lender to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18" w:lineRule="auto"/>
        <w:rPr>
          <w:sz w:val="20"/>
          <w:szCs w:val="20"/>
          <w:color w:val="auto"/>
        </w:rPr>
      </w:pPr>
      <w:r>
        <w:rPr>
          <w:rFonts w:ascii="Times New Roman" w:cs="Times New Roman" w:eastAsia="Times New Roman" w:hAnsi="Times New Roman"/>
          <w:sz w:val="21"/>
          <w:szCs w:val="21"/>
          <w:color w:val="auto"/>
        </w:rPr>
        <w:t>make, maintain, fund or charge interest with respect to any such Loan or Letter of Credit or continue SOFR Loans or to convert Base Rate Loans to SOFR Loans shall be suspended and (ii) if such notice asserts the illegality of such Lender making or maintaining Base Rate Loans the interest rate on which is determined by reference to the SOFR Rate component of the Base Rate, the interest rate on such Base Rate Loans of such Lender shall, if necessary to avoid such illegality, be determined by the Administrative Agent without reference to the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SOFR Loans 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the SOFR Rate, the Administrative Agent shall during the period of such suspension compute the Base Rate applicable to such Lender without reference to the SOFR Rate component thereof until the Administrative Agent is advised in writing by such Lender that it is no longer illegal for such Lender to determine or charge interest rates based upon the SOFR Rate. Upon any such prepayment or conversion, the Borrower shall also pay accrued interest on the amount so prepaid or converted.</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i w:val="1"/>
          <w:iCs w:val="1"/>
          <w:color w:val="auto"/>
        </w:rPr>
        <w:t>Increased Costs</w:t>
      </w:r>
      <w:r>
        <w:rPr>
          <w:rFonts w:ascii="Times New Roman" w:cs="Times New Roman" w:eastAsia="Times New Roman" w:hAnsi="Times New Roman"/>
          <w:sz w:val="21"/>
          <w:szCs w:val="21"/>
          <w:color w:val="auto"/>
        </w:rPr>
        <w:t>. If any Change in Law occurring after the date of this Agreement:</w:t>
      </w:r>
    </w:p>
    <w:p>
      <w:pPr>
        <w:spacing w:after="0" w:line="183" w:lineRule="exact"/>
        <w:rPr>
          <w:sz w:val="20"/>
          <w:szCs w:val="20"/>
          <w:color w:val="auto"/>
        </w:rPr>
      </w:pPr>
    </w:p>
    <w:p>
      <w:pPr>
        <w:jc w:val="both"/>
        <w:ind w:firstLine="1304"/>
        <w:spacing w:after="0" w:line="220"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modify or hold applicable any reserve, special deposit, compulsory loan, insurance charge or similar requirement (except any such reserve requirement reflected in the Adjusted Term SOFR) against assets held by, deposits or other liabilities in or for the account of, advances or loans by, or any other acquisition of funds by any Lender or any LC Issuer;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on any Lender or any LC Issuer any other condition, cost or expense (other than Taxes) affecting this Agreement or any Loan, Commitment or participation in any Letter of Credit made by such Lender;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subject any Lender or LC Issuer to any Taxes on its capital reserves, deposit or other similar requirement reasonably attributable to or directly related to this Agreement or any Loan made by it, but excluding any (i) Indemnified Taxes, (ii) Taxes described in clauses (b) through (d) of the definition of Excluded Taxes and (iii) Connection Income Taxes;</w:t>
      </w:r>
    </w:p>
    <w:p>
      <w:pPr>
        <w:spacing w:after="0" w:line="15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and the effect of any of the foregoing is to increase the cost to such Lender or LC Issuer of making, issuing, creating, renewing, participating in (subject to the limitations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 or maintaining any such Loan, Commitment or Letter of Credit in respect thereof or to reduce any amount receivable by such Lender or LC Issuer hereunder, then the Borrower shall from time to time, within thirty (30) days after demand by such Lender or LC Issuer, pay to such Lender or LC Issuer additional amounts sufficient to reimburse such Lender or LC Issuer for such increased costs or to compensate such Lender for such reduced amounts. A certificate of a Lender or LC Issuer setting forth in reasonable detail the amount of such increased costs or reduced amounts and the basis for determination of such amount, submitted by such Lender or LC Issuer to the Borrower, shall, in the absence of manifest error, be conclusive and binding on the Borrower as to the amount of such increased costs or reduced amounts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78" w:name="page79"/>
    <w:bookmarkEnd w:id="78"/>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i w:val="1"/>
          <w:iCs w:val="1"/>
          <w:color w:val="auto"/>
        </w:rPr>
        <w:t>Capital Requirements</w:t>
      </w:r>
      <w:r>
        <w:rPr>
          <w:rFonts w:ascii="Times New Roman" w:cs="Times New Roman" w:eastAsia="Times New Roman" w:hAnsi="Times New Roman"/>
          <w:sz w:val="21"/>
          <w:szCs w:val="21"/>
          <w:color w:val="auto"/>
        </w:rPr>
        <w:t>. If any Lender determines that any Change in Law occurring after the date of this Agreement regarding capital or liquidity requirements has or would have the effect of reducing the rate of return on the capital or liquidity of such Lender, or the Lending Office of such Lender or such Lender’s parent company, if any, as a consequence of the Loans, the Commitments, participation in Letters of Credit to a level below that which such Lender or LC Issuer or such Lender’s or LC Issuer’s parent company could have achieved but for such Change in Law (taking into account such Lender’s or such Person’s policies with respect to capital or liquidity adequacy), then Borrower shall pay to such Lender or such Person, within ten</w:t>
      </w:r>
    </w:p>
    <w:p>
      <w:pPr>
        <w:spacing w:after="0" w:line="2" w:lineRule="exact"/>
        <w:rPr>
          <w:sz w:val="20"/>
          <w:szCs w:val="20"/>
          <w:color w:val="auto"/>
        </w:rPr>
      </w:pPr>
    </w:p>
    <w:p>
      <w:pPr>
        <w:jc w:val="both"/>
        <w:ind w:firstLine="8"/>
        <w:spacing w:after="0" w:line="211" w:lineRule="auto"/>
        <w:tabs>
          <w:tab w:leader="none" w:pos="42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delivery of demand by such Lender or such Person, such amounts as such Lender or such Person shall reasonably determine are necessary to compensate such Lender or such Person for the increased costs to such Lender or such Person of such increased capital or liquidity. A certificate of such Lender or such Person, setting forth in reasonable detail the computation of any such increased costs, delivered to the Borrower by such Lender or such Person shall, in the absence of manifest error, be conclusive and binding on the Borrower as to the amount of such increased costs or reduced amounts for purposes of this Agreement.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i w:val="1"/>
          <w:iCs w:val="1"/>
          <w:color w:val="auto"/>
        </w:rPr>
        <w:t>Notice; Participating Lenders’ Rights</w:t>
      </w:r>
      <w:r>
        <w:rPr>
          <w:rFonts w:ascii="Times New Roman" w:cs="Times New Roman" w:eastAsia="Times New Roman" w:hAnsi="Times New Roman"/>
          <w:sz w:val="21"/>
          <w:szCs w:val="21"/>
          <w:color w:val="auto"/>
        </w:rPr>
        <w:t xml:space="preserve">. Each Lender shall notify the Borrower of any event occurring after the date of this Agreement that will entitle such Lender to compensation pursuant to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promptly, and in no event later than 180 days after the principal officer of such Lender responsible for administering this Agreement obtains knowledge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Lender’s failure to notify the Borrower within such 180 day period shall not relieve the Borrower of its obligation under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with respect to claims arising prior to the end of such period, but shall relieve the Borrower of its obligations under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with respect to the time between the end of such period and such time as the Borrower receives notice from the indemnitee 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herein;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Change in Law giving rise to such increased costs or reductions is retroactive, then the 180 day period referred to above shall be extended to include the period of retroactive effect thereof. No Person purchasing from a Lender a participation in any Commitment (as opposed to an assignment) shall be entitled to any payment from or on behalf of the Borrower pursuant to </w:t>
      </w:r>
      <w:r>
        <w:rPr>
          <w:rFonts w:ascii="Times New Roman" w:cs="Times New Roman" w:eastAsia="Times New Roman" w:hAnsi="Times New Roman"/>
          <w:sz w:val="21"/>
          <w:szCs w:val="21"/>
          <w:u w:val="single" w:color="auto"/>
          <w:color w:val="auto"/>
        </w:rPr>
        <w:t>Section 2.8.3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2.8.4</w:t>
      </w:r>
      <w:r>
        <w:rPr>
          <w:rFonts w:ascii="Times New Roman" w:cs="Times New Roman" w:eastAsia="Times New Roman" w:hAnsi="Times New Roman"/>
          <w:sz w:val="21"/>
          <w:szCs w:val="21"/>
          <w:color w:val="auto"/>
        </w:rPr>
        <w:t xml:space="preserve"> which would be in excess of the applicable proportionate amount (based on the portion of the Commitment in which such Person is participating) which would then be payable to such Lender if such Lender had not sold a participation in that portion of the Commitment.</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05"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after the Administrative Agent has posted such proposed amendment to all Lenders, LC Issuers and the Borrower so long as the Administrative Agent has not received, by such time, written notice of objection to such amendment from Lenders and LC Issuers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2.8.6(a)</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1" w:right="339" w:bottom="1440" w:gutter="0" w:footer="0" w:header="0"/>
        </w:sectPr>
      </w:pPr>
    </w:p>
    <w:bookmarkStart w:id="79" w:name="page80"/>
    <w:bookmarkEnd w:id="79"/>
    <w:p>
      <w:pPr>
        <w:spacing w:after="0" w:line="236" w:lineRule="auto"/>
        <w:rPr>
          <w:sz w:val="20"/>
          <w:szCs w:val="20"/>
          <w:color w:val="auto"/>
        </w:rPr>
      </w:pPr>
      <w:r>
        <w:rPr>
          <w:rFonts w:ascii="Times New Roman" w:cs="Times New Roman" w:eastAsia="Times New Roman" w:hAnsi="Times New Roman"/>
          <w:sz w:val="22"/>
          <w:szCs w:val="22"/>
          <w:color w:val="auto"/>
        </w:rPr>
        <w:t>such Benchmark Replacement Conforming Changes will become effective without any further action or consent of any other party to this Agreement or any other Loan Document.</w:t>
      </w:r>
    </w:p>
    <w:p>
      <w:pPr>
        <w:spacing w:after="0" w:line="150" w:lineRule="exact"/>
        <w:rPr>
          <w:sz w:val="20"/>
          <w:szCs w:val="20"/>
          <w:color w:val="auto"/>
        </w:rPr>
      </w:pPr>
    </w:p>
    <w:p>
      <w:pPr>
        <w:jc w:val="both"/>
        <w:ind w:firstLine="1304"/>
        <w:spacing w:after="0" w:line="222" w:lineRule="auto"/>
        <w:tabs>
          <w:tab w:leader="none" w:pos="194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xml:space="preserve">. The Administrative Agent will promptly notify the Borrower, the Lenders and the LC Issuers of (i) the implementation of any Benchmark Replacement and (ii) the effectiveness of any Benchmark Replacement Conforming Changes. The Administrative Agent will promptly notify the Borrower of the removal or reinstatement of any tenor of a Benchmark pursuant to </w:t>
      </w:r>
      <w:r>
        <w:rPr>
          <w:rFonts w:ascii="Times New Roman" w:cs="Times New Roman" w:eastAsia="Times New Roman" w:hAnsi="Times New Roman"/>
          <w:sz w:val="21"/>
          <w:szCs w:val="21"/>
          <w:u w:val="single" w:color="auto"/>
          <w:color w:val="auto"/>
        </w:rPr>
        <w:t>Section 2.8.6(d)</w:t>
      </w:r>
      <w:r>
        <w:rPr>
          <w:rFonts w:ascii="Times New Roman" w:cs="Times New Roman" w:eastAsia="Times New Roman" w:hAnsi="Times New Roman"/>
          <w:sz w:val="21"/>
          <w:szCs w:val="21"/>
          <w:color w:val="auto"/>
        </w:rPr>
        <w:t xml:space="preserve">. Any determination, decision or election that may be made by the Administrative Agent or, if applicable, any Lender or LC Issuer (or group of Lenders or LC Issuers) pursuant to this </w:t>
      </w:r>
      <w:r>
        <w:rPr>
          <w:rFonts w:ascii="Times New Roman" w:cs="Times New Roman" w:eastAsia="Times New Roman" w:hAnsi="Times New Roman"/>
          <w:sz w:val="21"/>
          <w:szCs w:val="21"/>
          <w:u w:val="single" w:color="auto"/>
          <w:color w:val="auto"/>
        </w:rPr>
        <w:t>Section 2.8.6</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1"/>
          <w:szCs w:val="21"/>
          <w:u w:val="single" w:color="auto"/>
          <w:color w:val="auto"/>
        </w:rPr>
        <w:t>Section 2.8.6</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w:t>
      </w:r>
    </w:p>
    <w:p>
      <w:pPr>
        <w:spacing w:after="0" w:line="1" w:lineRule="exact"/>
        <w:rPr>
          <w:rFonts w:ascii="Times New Roman" w:cs="Times New Roman" w:eastAsia="Times New Roman" w:hAnsi="Times New Roman"/>
          <w:sz w:val="22"/>
          <w:szCs w:val="22"/>
          <w:color w:val="auto"/>
        </w:rPr>
      </w:pPr>
    </w:p>
    <w:p>
      <w:pPr>
        <w:jc w:val="both"/>
        <w:ind w:firstLine="8"/>
        <w:spacing w:after="0" w:line="212" w:lineRule="auto"/>
        <w:tabs>
          <w:tab w:leader="none" w:pos="26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be deemed to have converted any such request into a request for a Borrowing of or conversion to Base Rate Loans and (ii) any outstanding affected SOFR Loans will be deemed to have been converted into Base Rate Loans immediately.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If the Borrower shall (a) fail to make any prepayment in accordance with any notice of prepayment delivered to the Administrative Agent or (b) fail to achieve Term Conversion upon the date specified in any Notice of Term Conversion that is not revoked prior to the Minimum Notice Period for such Notice of Term Conversion, then the Borrower shall, within thirty (30) days after demand by any Lender, reimburse such Lender for all costs, losses and expenses incurred by such Lender as a result of such prepayment or failure (“</w:t>
      </w:r>
      <w:r>
        <w:rPr>
          <w:rFonts w:ascii="Times New Roman" w:cs="Times New Roman" w:eastAsia="Times New Roman" w:hAnsi="Times New Roman"/>
          <w:sz w:val="22"/>
          <w:szCs w:val="22"/>
          <w:u w:val="single" w:color="auto"/>
          <w:color w:val="auto"/>
        </w:rPr>
        <w:t>Liquidation Costs</w:t>
      </w:r>
      <w:r>
        <w:rPr>
          <w:rFonts w:ascii="Times New Roman" w:cs="Times New Roman" w:eastAsia="Times New Roman" w:hAnsi="Times New Roman"/>
          <w:sz w:val="22"/>
          <w:szCs w:val="22"/>
          <w:color w:val="auto"/>
        </w:rPr>
        <w:t xml:space="preserve">”). Each Lender demanding payment under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deliver to the Borrower a certificate setting forth in reasonable detail the basis for and the amount of costs and losses for which demand is made. Such a certificate so delivered to the Borrower shall, in the absence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manifest error, be conclusive and binding as to the amount of such loss for purposes of this Agreement.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Alternate Office; Minimization of Costs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1.1.2 If any Lender requests compensation under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to the extent reasonably possible upon the request of the Borrower, each Lender shall designate an alternative Lending Office with respect to its SOFR Loans and otherwise take any reasonable actions to reduce any liability of the Borrower to any Lender under </w:t>
      </w:r>
      <w:r>
        <w:rPr>
          <w:rFonts w:ascii="Times New Roman" w:cs="Times New Roman" w:eastAsia="Times New Roman" w:hAnsi="Times New Roman"/>
          <w:sz w:val="22"/>
          <w:szCs w:val="22"/>
          <w:u w:val="single" w:color="auto"/>
          <w:color w:val="auto"/>
        </w:rPr>
        <w:t>Sections 2.6.4(a)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xml:space="preserve">, and to avoid the unavailability of any Type of Loans under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 xml:space="preserve"> so long as (in the case of the designation of an alternative Lending Office) such Lender, in the reasonable judgment of such Lender, determines that (a) such designation is not disadvantageous to such Lender in any material respect and (b) such actions would eliminate or reduce liability to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designate an alternative Lending Office if such designation requires internal credit approval until such time as such Lender receives such internal credit approval. The Borrower hereby agrees to pay all reasonable costs and expenses incurred by any Lender in connection with any such designation or actions within thirty (30) days of demand thereof to the Borrower.</w:t>
      </w:r>
    </w:p>
    <w:p>
      <w:pPr>
        <w:spacing w:after="0" w:line="152" w:lineRule="exact"/>
        <w:rPr>
          <w:sz w:val="20"/>
          <w:szCs w:val="20"/>
          <w:color w:val="auto"/>
        </w:rPr>
      </w:pPr>
    </w:p>
    <w:p>
      <w:pPr>
        <w:jc w:val="both"/>
        <w:ind w:firstLine="1296"/>
        <w:spacing w:after="0" w:line="205" w:lineRule="auto"/>
        <w:rPr>
          <w:sz w:val="20"/>
          <w:szCs w:val="20"/>
          <w:color w:val="auto"/>
        </w:rPr>
      </w:pPr>
      <w:r>
        <w:rPr>
          <w:rFonts w:ascii="Times New Roman" w:cs="Times New Roman" w:eastAsia="Times New Roman" w:hAnsi="Times New Roman"/>
          <w:sz w:val="22"/>
          <w:szCs w:val="22"/>
          <w:color w:val="auto"/>
        </w:rPr>
        <w:t xml:space="preserve">1.1.3 If and with respect to each occasion that (a) any Lender has failed to consent to a proposed amendment, waiver, discharge or termination which pursuant to the terms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requires the consent of all of the Lenders affected and with respect to which the Required Lenders shall have granted their consent, (b) a Lender either makes a demand for compensation pursuant to </w:t>
      </w:r>
      <w:r>
        <w:rPr>
          <w:rFonts w:ascii="Times New Roman" w:cs="Times New Roman" w:eastAsia="Times New Roman" w:hAnsi="Times New Roman"/>
          <w:sz w:val="22"/>
          <w:szCs w:val="22"/>
          <w:u w:val="single" w:color="auto"/>
          <w:color w:val="auto"/>
        </w:rPr>
        <w:t>Sections 2.6.4(a)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2.8.4</w:t>
      </w:r>
      <w:r>
        <w:rPr>
          <w:rFonts w:ascii="Times New Roman" w:cs="Times New Roman" w:eastAsia="Times New Roman" w:hAnsi="Times New Roman"/>
          <w:sz w:val="22"/>
          <w:szCs w:val="22"/>
          <w:color w:val="auto"/>
        </w:rPr>
        <w:t xml:space="preserve"> or is unable to fund SOFR Loans pursuant to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 xml:space="preserve"> or (c) a Lender is a Defaulting Lender, then the Borrower may, at its sole expense, upon at least five (5) Business Days prior irrevocable written notice to each of such Lender and the Administrative Agent, in whole permanently replace all of the Loans and Commitments of such Lender and require such Lender to assign and delegate all of its interests, rights (other than its existing rights to payments pursuant to </w:t>
      </w:r>
      <w:r>
        <w:rPr>
          <w:rFonts w:ascii="Times New Roman" w:cs="Times New Roman" w:eastAsia="Times New Roman" w:hAnsi="Times New Roman"/>
          <w:sz w:val="22"/>
          <w:szCs w:val="22"/>
          <w:u w:val="single" w:color="auto"/>
          <w:color w:val="auto"/>
        </w:rPr>
        <w:t>Sections 2.6.4(a)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as applicable) and obligations under this Agreement and the related Loan Documents to one or more existing Lenders or new Lenders. Each such replacement Lender shall upon the effective date of replacement purchase the Borrower’s Obligations hereunder owed to such replaced Lender for the aggregate amount thereof and shall thereupon for all purposes become a “Lender” hereunder, and, if applicable, shall consent to the proposed amendment, waiver, discharge or termination. Such notice from the Borrower shall specify an effective date for the replacement of such Lender’s Loans and Commitments, which date shall not be later than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day such notice is given. On the effective date of any replacement of such Lender’s Loans and Commitments pursuant to this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the Borrower shall pay to the Administrative Agent for the account of such Lender (a) any fees due to such Lender to the date of such replacement, (b) the principal of and accrued interest on the principal amount of outstanding Loans held by such Lender to the date of such replacement (such amount to be represented by the purchase of the Borrower’s Obligations hereunder of such replaced Lender by the replacing Lender and not as a prepayment of such Loans) and (c) the amount or amounts due to such Lender pursuant to each of </w:t>
      </w:r>
      <w:r>
        <w:rPr>
          <w:rFonts w:ascii="Times New Roman" w:cs="Times New Roman" w:eastAsia="Times New Roman" w:hAnsi="Times New Roman"/>
          <w:sz w:val="22"/>
          <w:szCs w:val="22"/>
          <w:u w:val="single" w:color="auto"/>
          <w:color w:val="auto"/>
        </w:rPr>
        <w:t>Sections 2.6.4(a)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xml:space="preserve">, as applicable, and any other amount then payable hereunder to such Lender. The Borrower will remain liable to such replaced Lender for any Liquidation Costs that such Lender sustains or incurs as a consequence of the purchase of such Lender’s Loans (unless such Lender has defaulted on its obligation to fund a Loan hereunder or is a Defaulting Lender). Upon the effective date of the purchase of any Lender’s Loans owed to such Lender and termination of such Lender’s Commitments pursuant to this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such Lender shall cease to be a Lender hereunder. No such termination of any such Lender’s Commitments and the purchase of such Lender’s Loans pursuant to this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shall affect (i) any liability or obligation of the Borrower or any other Lender to such terminated Lender, or any liability or obligation of such terminated Lender to the Borrower or any other Lender, which accrued on or prior to the date of such termination, or (ii)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1" w:name="page82"/>
    <w:bookmarkEnd w:id="81"/>
    <w:p>
      <w:pPr>
        <w:jc w:val="both"/>
        <w:spacing w:after="0" w:line="236" w:lineRule="auto"/>
        <w:rPr>
          <w:sz w:val="20"/>
          <w:szCs w:val="20"/>
          <w:color w:val="auto"/>
        </w:rPr>
      </w:pPr>
      <w:r>
        <w:rPr>
          <w:rFonts w:ascii="Times New Roman" w:cs="Times New Roman" w:eastAsia="Times New Roman" w:hAnsi="Times New Roman"/>
          <w:sz w:val="22"/>
          <w:szCs w:val="22"/>
          <w:color w:val="auto"/>
        </w:rPr>
        <w:t>terminated Lender’s rights hereunder in respect of any such liability or obligation. Nothing in this Section shall be deemed to prejudice any rights that the Borrower may have against any Lender that is a Defaulting Lender.</w:t>
      </w:r>
    </w:p>
    <w:p>
      <w:pPr>
        <w:spacing w:after="0" w:line="150"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Notwithstanding the foregoing, any Lender that has been replaced as a Lender pursuant to this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and that is (or has an Affiliate that is) a party to a Secured Hedge Agreement shall have the right, but not the obligation, to novate to another Lender or an Affiliate thereof such Secured Hedge Agreements; and if such replaced Lender or its Affiliate, as applicable, has not exercised such right, then the Borrower may elect to cause such replaced Lender or its Affiliate to use commercially reasonable efforts, as applicable, to novate to another Lender or an Affiliate thereof all applicable Secured Hedge Agreements provided by such replaced Lender or its Affiliate, as applicable, subject to the satisfaction of the following conditions: (A) the parties shall enter into a novation agreement (based on the ISDA standard form novation agreement) in which the applicable Permitted Hedge Counterparty is the transferor and will act as the calculation agent and the Borrower is the remaining party; (B) the transferee shall be acceptable to such Permitted Hedge Counterparty in its absolute discretion, including subject to such Permitted Hedge Counterparty’s internal credit approval, other internal policies and regulatory considerations; (C) the pricing of such novation (including any payment to be made by the Borrower to such Permitted Hedge Counterparty and/or the transferee) shall be acceptable to such Permitted Hedge Counterparty in its absolute discretion; and (D) Borrower shall bear all costs and expenses (including legal costs and expenses) in relation to the novation agreement. If such replaced Lender is unable to novate, assign and delegate, without recourse, all its interests, rights and obligations under any Secured Hedge Agreement to which it is a party pursuant to documentation reasonably satisfactory to such Lender or Affiliate within sixty (60) days after such Lender’s replacement, despite the exercise of commercially reasonable efforts to do so, then such replaced Lender may terminate such Secured Hedge Agreement in accordance with its terms. For the avoidance of doubt and notwithstanding anything to the contrary herein, (i) a Lender shall have no obligation with respect to such assignment if such Lender determines in its reasonable discretion that such assignment would violate its internal credit policies, (ii) this Agreement (including this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does not in any way impair the rights of any Permitted Hedge Counterparty to terminate a Secured Hedge Agreement if an automatic termination event, event of default or other termination event occurs thereunder nor in any way impairs the rights of any Permitted Hedge Counterparty to otherwise terminate a Secured Hedge Agreement and upon a Permitted Hedge Counterparty exercising such rights of termination, any election by the Borrower to cause such Permitted Hedge Counterparty to novate its applicable Secured Hedge Agreement, including any Hedge Agreements thereunder, pursuant to the first sentence hereof shall be null and void. The Borrower shall bear all costs and expenses, and shall reimburse any Lender or its Affiliates for all costs and expenses incurred by such Lender or Affiliate, in connection with any assignment or novation of a Secured Hedge Agreement pursuant to this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1.1.4 Upon written notice to the Administrative Agent, any Lender may designate a Lending Office other than the Lending Office most recently designated to the Administrative Agent and may assign all of its interests under the Loan Documents and its Notes (if any) to such Lending Office;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and assignment do not at the time of such designation and assignment increase the liability or the reasonably foreseeable liability of the Borrower under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xml:space="preserve"> or make an interest rate option unavailable pursuant to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3</w:t>
      </w: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Each Obligor hereby represents and warrants to the Administrative Agent and the Lenders and each LC Issuer as of the Closing Date and, to the extent set forth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2" w:name="page83"/>
    <w:bookmarkEnd w:id="82"/>
    <w:p>
      <w:pPr>
        <w:jc w:val="both"/>
        <w:spacing w:after="0" w:line="225" w:lineRule="auto"/>
        <w:rPr>
          <w:sz w:val="20"/>
          <w:szCs w:val="20"/>
          <w:color w:val="auto"/>
        </w:rPr>
      </w:pPr>
      <w:r>
        <w:rPr>
          <w:rFonts w:ascii="Times New Roman" w:cs="Times New Roman" w:eastAsia="Times New Roman" w:hAnsi="Times New Roman"/>
          <w:sz w:val="22"/>
          <w:szCs w:val="22"/>
          <w:color w:val="auto"/>
        </w:rPr>
        <w:t>the date of each Loan and as of each Inclusion Date with respect to the applicable Additional Project (in each case, unless such representation and warranty expressly relates solely to an earlier date, in which case, such representation and warranty is made as of such date) that:</w:t>
      </w:r>
    </w:p>
    <w:p>
      <w:pPr>
        <w:spacing w:after="0" w:line="15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Organization, Powers, Compliance</w:t>
      </w:r>
      <w:r>
        <w:rPr>
          <w:rFonts w:ascii="Times New Roman" w:cs="Times New Roman" w:eastAsia="Times New Roman" w:hAnsi="Times New Roman"/>
          <w:sz w:val="21"/>
          <w:szCs w:val="21"/>
          <w:color w:val="auto"/>
        </w:rPr>
        <w:t>. The Parent, each Obligor and each other Project Company: (a) is duly organized, validly existing and in good standing under the laws of the jurisdiction of its organization and is duly qualified to do business and is in good standing in each jurisdiction in which the character of its respective properties or the transaction of its respective business makes such qualification necessary and where the failure to be so qualified would reasonably be expected to have a Material Adverse Effect; (b) has full corporate, limited liability company, partnership or other applicable organizational power and authority to own the properties and assets it currently owns and to carry on its business as it is now being conducted;</w:t>
      </w:r>
    </w:p>
    <w:p>
      <w:pPr>
        <w:spacing w:after="0" w:line="4" w:lineRule="exact"/>
        <w:rPr>
          <w:sz w:val="20"/>
          <w:szCs w:val="20"/>
          <w:color w:val="auto"/>
        </w:rPr>
      </w:pPr>
    </w:p>
    <w:p>
      <w:pPr>
        <w:jc w:val="both"/>
        <w:ind w:firstLine="8"/>
        <w:spacing w:after="0" w:line="214" w:lineRule="auto"/>
        <w:tabs>
          <w:tab w:leader="none" w:pos="31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full corporate, limited liability company, partnership or other applicable organizational power and authority to execute, deliver and perform this Agreement and the other Loan Documents to which it is a party; and (d) is not in violation of any Requirement of Law that is applicable to it or any of its properties, which violation, when this representation and warranty is made or deemed made after the Closing Date, could reasonably be expected to have a Material Adverse Effect.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Equity Interests, Subsidiaries, Fiscal Year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authorized, issued and outstanding shares of Equity Interests of each Obligor and each other Project Company as of the Closing Date and as of each Inclusion Date with respect to the applicable Additional Project are as set forth in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All such outstanding shares have been duly authorized, are validly issued and outstanding and are, if applicable, fully paid and non-assessable. As of the Closing Date and (with respect to the applicable Additional Project) as of each Inclusion Date, there are no outstanding options or other rights pertaining to the Equity Interests of any Obligor or any other Project Company, other than as set forth in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No Obligor or any other Project Company has any obligation to repurchase or redeem any shares of its Equity Interests.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sets forth the names and jurisdictions of incorporation of, and the names of the beneficial owners of the Equity Interests of, each Obligor and each other Project Company as of the Closing Date and (with respect to the applicable Additional Project) as of each Inclusion Date.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Closing Date and (with respect to the applicable Additional Project) as of each Inclusion Date, the Borrower has no direct or indirect Subsidiaries other than the Subsidiaries listed on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Obligor’s and each other Project Company’s fiscal year ends on December 31 and consists of four fiscal quarters ending on March 31, June 30, September 30 and December 31, respectively.</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Authorization, Absence of Conflicts</w:t>
      </w:r>
      <w:r>
        <w:rPr>
          <w:rFonts w:ascii="Times New Roman" w:cs="Times New Roman" w:eastAsia="Times New Roman" w:hAnsi="Times New Roman"/>
          <w:sz w:val="21"/>
          <w:szCs w:val="21"/>
          <w:color w:val="auto"/>
        </w:rPr>
        <w:t>. The execution, delivery and performance by the Parent, each Obligor of each Loan Document to which it is a party, the Borrower’s borrowing hereunder and the creation of security interests in favor of the Administrative Agent pursuant to the Security Documents, (a) have been duly authorized by all requisite corporate, limited liability company, partnership or other applicable organizational action of the Parent or the relevant Obligor, (b) do not require the consent or approval of any stockholders, members, partners or other holders of any Equity Interests of the Parent or any Obligor or, if so, such consent or approval has been obtained and (c) will not (i) violate any Requirement of Law applicable to it,</w:t>
      </w:r>
    </w:p>
    <w:p>
      <w:pPr>
        <w:spacing w:after="0" w:line="4" w:lineRule="exact"/>
        <w:rPr>
          <w:sz w:val="20"/>
          <w:szCs w:val="20"/>
          <w:color w:val="auto"/>
        </w:rPr>
      </w:pPr>
    </w:p>
    <w:p>
      <w:pPr>
        <w:ind w:firstLine="8"/>
        <w:spacing w:after="0" w:line="225" w:lineRule="auto"/>
        <w:tabs>
          <w:tab w:leader="none" w:pos="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or constitute (with due notice or lapse of time or both) a breach of or a default under any Contractual Obligation under any Material Project Document or any Loan Document,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3" w:name="page84"/>
    <w:bookmarkEnd w:id="83"/>
    <w:p>
      <w:pPr>
        <w:jc w:val="both"/>
        <w:spacing w:after="0" w:line="220" w:lineRule="auto"/>
        <w:rPr>
          <w:sz w:val="20"/>
          <w:szCs w:val="20"/>
          <w:color w:val="auto"/>
        </w:rPr>
      </w:pPr>
      <w:r>
        <w:rPr>
          <w:rFonts w:ascii="Times New Roman" w:cs="Times New Roman" w:eastAsia="Times New Roman" w:hAnsi="Times New Roman"/>
          <w:sz w:val="22"/>
          <w:szCs w:val="22"/>
          <w:color w:val="auto"/>
        </w:rPr>
        <w:t>result in the creation or imposition of any Lien of any nature whatsoever upon any properties or assets of the Parent or any Obligor (other than Permitted Liens), or (iv) require any authorization, consent, approval, license, ruling, permit, tariff, rate, certification, exemption, or filing or registration by or with any Governmental Authority or any consent or approval of any other Person, except such filings related to the perfection of Liens granted pursuant to the Security Documents.</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Binding Obligations</w:t>
      </w:r>
      <w:r>
        <w:rPr>
          <w:rFonts w:ascii="Times New Roman" w:cs="Times New Roman" w:eastAsia="Times New Roman" w:hAnsi="Times New Roman"/>
          <w:sz w:val="22"/>
          <w:szCs w:val="22"/>
          <w:color w:val="auto"/>
        </w:rPr>
        <w:t>. This Agreement is, and, upon the delivery thereof to the Administrative Agent or any Lender or LC Issuer, each other Loan Document executed and delivered by the Parent or any Obligor will be, legal, valid and binding obligations of the Parent and each Obligor party thereto, enforceable against the Parent or such Obligor in accordance with their respective terms, except as such enforceability may be limited by applicable bankruptcy, insolvency, reorganization, moratorium or similar laws affecting enforceability of creditors’ rights generally at the time in effect and except as specific performance and rights of acceleration may be subject to equitable principles of general applicability.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Financial Condition and Statements; Projections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 audited Consolidated balance sheet of the Borrower and its Subsidiaries most recently delivered to the Administrative Agent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and the related audited Consolidated annual statements of income, members’ equity and cash flows of the Borrower and its Subsidiaries for the fiscal year of the Borrower then ended, (ii) unaudited Consolidated balance sheet of the Borrower and its Subsidiaries most recently delivered to the Administrative Agent pursuant to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4.1(a)(x)</w:t>
      </w:r>
      <w:r>
        <w:rPr>
          <w:rFonts w:ascii="Times New Roman" w:cs="Times New Roman" w:eastAsia="Times New Roman" w:hAnsi="Times New Roman"/>
          <w:sz w:val="22"/>
          <w:szCs w:val="22"/>
          <w:color w:val="auto"/>
        </w:rPr>
        <w:t xml:space="preserve">, and the related unaudited quarterly Consolidated statements of income, members’ equity and cash flows of the Borrower and its Subsidiaries for the fiscal quarter of the Borrower then ended, and (iii) the pro forma Consolidated balance sheet of the Borrower and its Subsidiaries delivered to the Administrative Agent delivered pursuant to </w:t>
      </w:r>
      <w:r>
        <w:rPr>
          <w:rFonts w:ascii="Times New Roman" w:cs="Times New Roman" w:eastAsia="Times New Roman" w:hAnsi="Times New Roman"/>
          <w:sz w:val="22"/>
          <w:szCs w:val="22"/>
          <w:u w:val="single" w:color="auto"/>
          <w:color w:val="auto"/>
        </w:rPr>
        <w:t>Section 4.1(a)(x)</w:t>
      </w:r>
      <w:r>
        <w:rPr>
          <w:rFonts w:ascii="Times New Roman" w:cs="Times New Roman" w:eastAsia="Times New Roman" w:hAnsi="Times New Roman"/>
          <w:sz w:val="22"/>
          <w:szCs w:val="22"/>
          <w:color w:val="auto"/>
        </w:rPr>
        <w:t>, in each case, are complete and correct and fairly present the Consolidated financial condition of the Borrower and its Subsidiaries as at said dates and the results of its operations for the fiscal year or fiscal quarter, as applicable, then ended, all in accordance with GAAP and practices applied on a consistent basis (subject, in the case of the unaudited financial statements, to the absence of footnotes and to normal year-end audit adjustments).</w:t>
      </w:r>
    </w:p>
    <w:p>
      <w:pPr>
        <w:spacing w:after="0" w:line="15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the last day of the fiscal year who which the Borrower has most recently delivered its audited Consolidated financial statements to the Administrative Agent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(i) there has been no material adverse change in the financial condition, operations or business of any Obligor or any other Subsidiary from that set forth in said financial statements as at said date and (ii) there has been no development or event which has had or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on a Consolidated basis, are Solvent.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and (with respect to the applicable Additional Project) as of each Inclusion Date, the Construction Budget, Project Schedules and Base Case Projections for the Projects provided in connection with the transactions contemplated by this Agreement that have been made available to the Administrative Agent, the Lenders and the LC Issuers on or prior to the Closing Date by or on behalf of Borrower or any of Borrower’s representatives have been prepared in good faith based upon assumptions that are reasonable at the time made and at the time made available to the Administrative Agent, the Lenders and the LC Issuers and as of the Closing Date and (with respect to the applicable Additional Project) as of each Inclusion Date are consistent in all material respects with the Operative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4" w:name="page85"/>
    <w:bookmarkEnd w:id="84"/>
    <w:p>
      <w:pPr>
        <w:jc w:val="both"/>
        <w:ind w:firstLine="1304"/>
        <w:spacing w:after="0" w:line="217" w:lineRule="auto"/>
        <w:tabs>
          <w:tab w:leader="none" w:pos="193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any date after the Closing Date, the most recent Annual Operating Budget delivered to the Administrative Agent pursuant to </w:t>
      </w:r>
      <w:r>
        <w:rPr>
          <w:rFonts w:ascii="Times New Roman" w:cs="Times New Roman" w:eastAsia="Times New Roman" w:hAnsi="Times New Roman"/>
          <w:sz w:val="22"/>
          <w:szCs w:val="22"/>
          <w:u w:val="single" w:color="auto"/>
          <w:color w:val="auto"/>
        </w:rPr>
        <w:t>Section 5.15(b)</w:t>
      </w:r>
      <w:r>
        <w:rPr>
          <w:rFonts w:ascii="Times New Roman" w:cs="Times New Roman" w:eastAsia="Times New Roman" w:hAnsi="Times New Roman"/>
          <w:sz w:val="22"/>
          <w:szCs w:val="22"/>
          <w:color w:val="auto"/>
        </w:rPr>
        <w:t xml:space="preserve"> and the Construction Budget, as amended and modified to such date in accordance with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 have been prepared in good faith based upon assumptions that are reasonable at the time made and at the time made available to the Administrative Agent, the Lenders and the LC Issuers and as of the date delivered, updated or supplemented are consistent in all material respects with the Operative Documents.</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In the case of the foregoing </w:t>
      </w:r>
      <w:r>
        <w:rPr>
          <w:rFonts w:ascii="Times New Roman" w:cs="Times New Roman" w:eastAsia="Times New Roman" w:hAnsi="Times New Roman"/>
          <w:sz w:val="22"/>
          <w:szCs w:val="22"/>
          <w:u w:val="single" w:color="auto"/>
          <w:color w:val="auto"/>
        </w:rPr>
        <w:t>Sections 3.5(d)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it is understood and agreed that such Construction Budgets, Project Schedules, Base Case Projections and Annual Operating Budgets are not a guarantees of performance, and are subject to significant uncertainties and contingencies, many of which are beyond the control of the Borrower and the other Obligors, and that actual results may differ therefrom and such differences may be material and the Borrower makes no representation or warranty as to the attainability of such Construction Budgets, Project Schedules, Base Case Projections or Annual Operating Budgets, or as to whether such Construction Budgets, Project Schedules, Base Case Projections and Annual Operating Budgets will be achieved.</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Obligors and each other Project Company have filed all United States Federal income tax returns and all other material tax returns which are required to be filed by them and have paid all material Taxes due pursuant to such returns or pursuant to any assessment made against any of them or any of their respective assets and all other material Taxes imposed on any of them by any Governmental Authority, except such Taxes, if any, which are not yet delinquent or which are being Properly Contested. The charges, accruals and reserves on the books of the Borrower in respect of Taxes are, in the opinion of the Borrower, adequate. No Liens for Taxes of or with respect to any Obligor or any other Project Company other than Permitted Liens have been filed. No claims are being asserted with respect to any Taxes of or with respect to any Obligor or any other Project Company. As of the Closing Date and (with respect to the applicable Additional Project) as of each Inclusion Date, no Obligor nor any other Project Company is undergoing any Tax audit.</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Title to Properties</w:t>
      </w:r>
      <w:r>
        <w:rPr>
          <w:rFonts w:ascii="Times New Roman" w:cs="Times New Roman" w:eastAsia="Times New Roman" w:hAnsi="Times New Roman"/>
          <w:sz w:val="22"/>
          <w:szCs w:val="22"/>
          <w:color w:val="auto"/>
        </w:rPr>
        <w:t>. Each Obligor and each other Project Company owns and has good title or leasehold rights to its assets, free and clear of any Liens other than Permitted Liens, and enjoys peaceful and undisturbed possession under all leases, licenses and other use rights necessary in any material respects for the operation of its assets. Except as filed in connection with Permitted Liens, no mortgage, deed of trust, financing statement or other evidence or notice of a Lien covering all or any part of the assets of any Obligor or any other Project Company is on file in any public office.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There is no action, suit, proceeding or claim, at law or in equity, by or before any court, arbitrator, Governmental Authority or other body (including, without limitation, any Environmental Proceeding), now pending or, to the knowledge of the Borrower, threatened in writing against or affecting the Parent or any Obligor, any other Subsidiary or any of their respective properties, rights or assets, which relates to the transactions contemplated hereby or by the other Loan Documents or which, if adversely determined, when this representation and warranty is made or deemed made after the Closing Cate, could reasonably be expected to have a Material Adverse Effect.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Labor Disputes; Collective Bargaining Agreements</w:t>
      </w:r>
      <w:r>
        <w:rPr>
          <w:rFonts w:ascii="Times New Roman" w:cs="Times New Roman" w:eastAsia="Times New Roman" w:hAnsi="Times New Roman"/>
          <w:sz w:val="22"/>
          <w:szCs w:val="22"/>
          <w:color w:val="auto"/>
        </w:rPr>
        <w:t>. Other than, when this representation and warranty is made or deemed made after the Closing Date, as could not reasonably be expected to have a Material Adverse Effect: (a) there are no collective bargaining agreements or other labor contracts covering any Obligor or any other Subsidiary; (b) no such collective bargaining agreement or other labor contract will expire during the term of this Agreement; (c) no union or other labor organization is seeking to organize, or to be recognized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5" w:name="page86"/>
    <w:bookmarkEnd w:id="85"/>
    <w:p>
      <w:pPr>
        <w:jc w:val="both"/>
        <w:spacing w:after="0" w:line="227" w:lineRule="auto"/>
        <w:rPr>
          <w:sz w:val="20"/>
          <w:szCs w:val="20"/>
          <w:color w:val="auto"/>
        </w:rPr>
      </w:pPr>
      <w:r>
        <w:rPr>
          <w:rFonts w:ascii="Times New Roman" w:cs="Times New Roman" w:eastAsia="Times New Roman" w:hAnsi="Times New Roman"/>
          <w:sz w:val="21"/>
          <w:szCs w:val="21"/>
          <w:color w:val="auto"/>
        </w:rPr>
        <w:t>bargaining representative for, a bargaining unit of employees of any Obligor or any other Subsidiary; (d) there is no pending or threatened strike, work stoppage, unfair labor practice claim or charge, arbitration or other labor dispute against or affecting any Obligor or any other Subsidiary or any of their respective employees; and (e) there are no actions, suits, charges, demands, claims, counterclaims or proceedings pending or, to the knowledge of the Borrower, threatened against any Obligor or any other Subsidiary by or on behalf of, or with, its employees, other than employee grievances arising in the ordinary course of business.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Material Project Documents; Applicable Permits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32"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copy of each Material Project Document with respect to each Initial Project executed on or prior to the Closing Date and with respect to each Additional Project on or prior to its Inclusion Date has been delivered to the Administrative Agent and is listed on </w:t>
      </w:r>
      <w:r>
        <w:rPr>
          <w:rFonts w:ascii="Times New Roman" w:cs="Times New Roman" w:eastAsia="Times New Roman" w:hAnsi="Times New Roman"/>
          <w:sz w:val="21"/>
          <w:szCs w:val="21"/>
          <w:u w:val="single" w:color="auto"/>
          <w:color w:val="auto"/>
        </w:rPr>
        <w:t>Schedule 3.10(a)</w:t>
      </w:r>
      <w:r>
        <w:rPr>
          <w:rFonts w:ascii="Times New Roman" w:cs="Times New Roman" w:eastAsia="Times New Roman" w:hAnsi="Times New Roman"/>
          <w:sz w:val="21"/>
          <w:szCs w:val="21"/>
          <w:color w:val="auto"/>
        </w:rPr>
        <w:t xml:space="preserve">. As to each Material Project Document with respect to each Initial Project and, from and after the respective Inclusion Date therefor, each Additional Project, subject to any applicable Project Document Modification permitted by </w:t>
      </w:r>
      <w:r>
        <w:rPr>
          <w:rFonts w:ascii="Times New Roman" w:cs="Times New Roman" w:eastAsia="Times New Roman" w:hAnsi="Times New Roman"/>
          <w:sz w:val="21"/>
          <w:szCs w:val="21"/>
          <w:u w:val="single" w:color="auto"/>
          <w:color w:val="auto"/>
        </w:rPr>
        <w:t>Section 6.20(a)</w:t>
      </w:r>
      <w:r>
        <w:rPr>
          <w:rFonts w:ascii="Times New Roman" w:cs="Times New Roman" w:eastAsia="Times New Roman" w:hAnsi="Times New Roman"/>
          <w:sz w:val="21"/>
          <w:szCs w:val="21"/>
          <w:color w:val="auto"/>
        </w:rPr>
        <w:t xml:space="preserve"> or any applicable Replacement Project Document, (i) each such Material Project Document is in full force and effect (except for, when this representation and warranty is made or deemed made after the Closing Date (with respect to each Initial Project and, from and after the respective Inclusion Date therefor, each Additional Project), (A) any such Material Project Document as may have terminated or expired in accordance with its own terms not as a result of a default thereunder or (B) any other termination as shall not have resulted in an Event of Default under </w:t>
      </w:r>
      <w:r>
        <w:rPr>
          <w:rFonts w:ascii="Times New Roman" w:cs="Times New Roman" w:eastAsia="Times New Roman" w:hAnsi="Times New Roman"/>
          <w:sz w:val="21"/>
          <w:szCs w:val="21"/>
          <w:u w:val="single" w:color="auto"/>
          <w:color w:val="auto"/>
        </w:rPr>
        <w:t>Section 7.1(l)(ii)(C)</w:t>
      </w:r>
      <w:r>
        <w:rPr>
          <w:rFonts w:ascii="Times New Roman" w:cs="Times New Roman" w:eastAsia="Times New Roman" w:hAnsi="Times New Roman"/>
          <w:sz w:val="21"/>
          <w:szCs w:val="21"/>
          <w:color w:val="auto"/>
        </w:rPr>
        <w:t>), and</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33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or other Subsidiary is in default of any material term or provision thereof permitting any other party thereto to presently terminate such Material Project Document or to exercise contractual remedies with respect thereto, and, to the Borrower’s knowledge, no other party is in default of any material term or provision thereof permitting any Obligor or other Subsidiary to presently terminate such Material Project Document or to exercise contractual remedies with respect thereto.</w:t>
      </w:r>
    </w:p>
    <w:p>
      <w:pPr>
        <w:spacing w:after="0" w:line="153"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Initial Project and, from and after the respective Inclusion Date therefor, each Additional Project, no Obligor and no other Project Company has received a notice of default, termination or nonrenewal of or under any Material Project Document then in effect that has not been rescinded, cured or waived. Except as has been previously disclosed in writing to Administrative Agent, none of the Material Project Documents as delivered to Administrative Agent has been further amended, modified or terminated excepted as permitted by, and in accordance with, this Agreement or the Depositary Agreement, as applicable.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Initial Project:</w:t>
      </w:r>
    </w:p>
    <w:p>
      <w:pPr>
        <w:spacing w:after="0" w:line="179" w:lineRule="exact"/>
        <w:rPr>
          <w:rFonts w:ascii="Times New Roman" w:cs="Times New Roman" w:eastAsia="Times New Roman" w:hAnsi="Times New Roman"/>
          <w:sz w:val="22"/>
          <w:szCs w:val="22"/>
          <w:color w:val="auto"/>
        </w:rPr>
      </w:pPr>
    </w:p>
    <w:p>
      <w:pPr>
        <w:jc w:val="both"/>
        <w:ind w:firstLine="1952"/>
        <w:spacing w:after="0" w:line="210" w:lineRule="auto"/>
        <w:tabs>
          <w:tab w:leader="none" w:pos="2580"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Applicable Permits required under Requirements of Law required as of the Closing Date are listed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and all such Applicable Permits have been duly obtained, are in full force and effect, are non-appealable and, except as set forth in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are held in the name of the applicable Obligor or other Project Company or in the name of the applicable Project. Each Obligor or other Project Company has all Applicable Permits (including as listed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The Applicable Permits applicable to any Project shall not be subject to any material restriction, condition, limitation or other provision that could reasonably be expected to result in such Project being operated in a manner inconsistent in any material respect with the Base Case Projections, as amended or modified from time to time in accordance with </w:t>
      </w:r>
      <w:r>
        <w:rPr>
          <w:rFonts w:ascii="Times New Roman" w:cs="Times New Roman" w:eastAsia="Times New Roman" w:hAnsi="Times New Roman"/>
          <w:sz w:val="22"/>
          <w:szCs w:val="22"/>
          <w:u w:val="single" w:color="auto"/>
          <w:color w:val="auto"/>
        </w:rPr>
        <w:t>Section 4.3(a)(ii)</w:t>
      </w:r>
      <w:r>
        <w:rPr>
          <w:rFonts w:ascii="Times New Roman" w:cs="Times New Roman" w:eastAsia="Times New Roman" w:hAnsi="Times New Roman"/>
          <w:sz w:val="22"/>
          <w:szCs w:val="22"/>
          <w:color w:val="auto"/>
        </w:rPr>
        <w:t>, except as could reasonably be expected to result in gains or non-material losses, costs or expenses. The applicable Obligors or other Project Companies are 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20" w:lineRule="auto"/>
        <w:rPr>
          <w:sz w:val="20"/>
          <w:szCs w:val="20"/>
          <w:color w:val="auto"/>
        </w:rPr>
      </w:pPr>
      <w:r>
        <w:rPr>
          <w:rFonts w:ascii="Times New Roman" w:cs="Times New Roman" w:eastAsia="Times New Roman" w:hAnsi="Times New Roman"/>
          <w:sz w:val="22"/>
          <w:szCs w:val="22"/>
          <w:color w:val="auto"/>
        </w:rPr>
        <w:t>in all material respects with all Applicable Permits then in effect. No Obligor or other Subsidiary has received any written notice that any such Applicable Permit will be revoked or that any application for any new Applicable Permit or the renewal of any existing Applicable Permit will be protested or denied, in each case, when this representation and warranty is made or deemed made after the Closing Date, as would be reasonably expected to have a Material Adverse Effect.</w:t>
      </w:r>
    </w:p>
    <w:p>
      <w:pPr>
        <w:spacing w:after="0" w:line="152" w:lineRule="exact"/>
        <w:rPr>
          <w:sz w:val="20"/>
          <w:szCs w:val="20"/>
          <w:color w:val="auto"/>
        </w:rPr>
      </w:pPr>
    </w:p>
    <w:p>
      <w:pPr>
        <w:jc w:val="both"/>
        <w:ind w:firstLine="1952"/>
        <w:spacing w:after="0" w:line="215" w:lineRule="auto"/>
        <w:tabs>
          <w:tab w:leader="none" w:pos="258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Permits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are of a type that is usually granted in the normal course upon submission of a timely application and demonstration that the applicable Project complies with Requirements of Law. No Permit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is an Applicable Permit as of the Closing Date. Each Permit identified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 shall be obtainable by the applicable Obligor or Project Company by no later than is required without any difficulty, expense or delay that could be material and adverse to the Projects and (ii) shall not contain any condition or requirements, the compliance with which could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Additional Project from and after the respective Inclusion Date therefor:</w:t>
      </w:r>
    </w:p>
    <w:p>
      <w:pPr>
        <w:spacing w:after="0" w:line="179"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Applicable Permits required under Requirements of Law required as of the Inclusion Date are listed on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as updated from time to time pursuant to </w:t>
      </w:r>
      <w:r>
        <w:rPr>
          <w:rFonts w:ascii="Times New Roman" w:cs="Times New Roman" w:eastAsia="Times New Roman" w:hAnsi="Times New Roman"/>
          <w:sz w:val="21"/>
          <w:szCs w:val="21"/>
          <w:u w:val="single" w:color="auto"/>
          <w:color w:val="auto"/>
        </w:rPr>
        <w:t>Section 4.3(a)(v)</w:t>
      </w:r>
      <w:r>
        <w:rPr>
          <w:rFonts w:ascii="Times New Roman" w:cs="Times New Roman" w:eastAsia="Times New Roman" w:hAnsi="Times New Roman"/>
          <w:sz w:val="21"/>
          <w:szCs w:val="21"/>
          <w:color w:val="auto"/>
        </w:rPr>
        <w:t xml:space="preserve">, and all such Applicable Permits will have been duly obtained, are in full force and effect, are non-appealable and, except as set forth in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are held in the name of the applicable Obligor or other Project Company or in the name of the applicable Project. As of the Inclusion Date and the date of each subsequent Loan, each Obligor or other Project Company has all Applicable Permits (including as listed on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As of the Inclusion Date and the date of each subsequent Loan, the Applicable Permits applicable to any Project shall not be subject to any material restriction, condition, limitation or other provision that could reasonably be expected to result in such Project being operated in a manner inconsistent in any material respect with the Base Case Projections, as amended or modified from time to time in accordance with </w:t>
      </w:r>
      <w:r>
        <w:rPr>
          <w:rFonts w:ascii="Times New Roman" w:cs="Times New Roman" w:eastAsia="Times New Roman" w:hAnsi="Times New Roman"/>
          <w:sz w:val="21"/>
          <w:szCs w:val="21"/>
          <w:u w:val="single" w:color="auto"/>
          <w:color w:val="auto"/>
        </w:rPr>
        <w:t>Section 4.3(a)(ii)</w:t>
      </w:r>
      <w:r>
        <w:rPr>
          <w:rFonts w:ascii="Times New Roman" w:cs="Times New Roman" w:eastAsia="Times New Roman" w:hAnsi="Times New Roman"/>
          <w:sz w:val="21"/>
          <w:szCs w:val="21"/>
          <w:color w:val="auto"/>
        </w:rPr>
        <w:t>, except as could reasonably be expected to result in gains or non-material losses, costs or expenses. As of the Inclusion Date and the date of each subsequent Loan, the applicable Obligors or other Project Companies are in compliance in all material respects with all Applicable Permits then in effect. As of the Inclusion Date and the date of each subsequent Loan, no Obligor or other Subsidiary has received any written notice that any such Applicable Permit will be revoked or that any application for any new Applicable Permit or the renewal of any existing Applicable Permit will be protested or denied, in each case, when this representation and warranty is made or deemed made after the Inclusion Date, as would be reasonably expected to have a Material Adverse Effect.</w:t>
      </w:r>
    </w:p>
    <w:p>
      <w:pPr>
        <w:spacing w:after="0" w:line="159" w:lineRule="exact"/>
        <w:rPr>
          <w:sz w:val="20"/>
          <w:szCs w:val="20"/>
          <w:color w:val="auto"/>
        </w:rPr>
      </w:pPr>
    </w:p>
    <w:p>
      <w:pPr>
        <w:jc w:val="both"/>
        <w:ind w:firstLine="1952"/>
        <w:spacing w:after="0" w:line="213" w:lineRule="auto"/>
        <w:tabs>
          <w:tab w:leader="none" w:pos="258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Inclusion Date and the date of each subsequent Loan, all Permits listed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3.10(e)</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4.3(a)(v)</w:t>
      </w:r>
      <w:r>
        <w:rPr>
          <w:rFonts w:ascii="Times New Roman" w:cs="Times New Roman" w:eastAsia="Times New Roman" w:hAnsi="Times New Roman"/>
          <w:sz w:val="22"/>
          <w:szCs w:val="22"/>
          <w:color w:val="auto"/>
        </w:rPr>
        <w:t xml:space="preserve">, are of a type that is usually granted in the normal course upon submission of a timely application and demonstration that the applicable Project complies with Requirements of Law. No Permit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is an Applicable Permit as of the Inclusion Date. Each Permit identified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 shall be obtainable by the applicable Obligor or Project Company by no later than is required without any difficulty, expense or delay that could be material and adverse to the Projects and (ii) shall not contain any condition or requirements, the compliance with which could reasonably be expected to result in a Material Adverse Effect.</w:t>
      </w:r>
    </w:p>
    <w:p>
      <w:pPr>
        <w:spacing w:after="0" w:line="15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Intangible Assets</w:t>
      </w:r>
      <w:r>
        <w:rPr>
          <w:rFonts w:ascii="Times New Roman" w:cs="Times New Roman" w:eastAsia="Times New Roman" w:hAnsi="Times New Roman"/>
          <w:sz w:val="22"/>
          <w:szCs w:val="22"/>
          <w:color w:val="auto"/>
        </w:rPr>
        <w:t>. Each Obligor and each other Project Company possesses all necessary patents, know-how, trademarks, service marks, trade names, and copyrights, and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7" w:name="page88"/>
    <w:bookmarkEnd w:id="87"/>
    <w:p>
      <w:pPr>
        <w:jc w:val="both"/>
        <w:spacing w:after="0" w:line="220" w:lineRule="auto"/>
        <w:rPr>
          <w:sz w:val="20"/>
          <w:szCs w:val="20"/>
          <w:color w:val="auto"/>
        </w:rPr>
      </w:pPr>
      <w:r>
        <w:rPr>
          <w:rFonts w:ascii="Times New Roman" w:cs="Times New Roman" w:eastAsia="Times New Roman" w:hAnsi="Times New Roman"/>
          <w:sz w:val="22"/>
          <w:szCs w:val="22"/>
          <w:color w:val="auto"/>
        </w:rPr>
        <w:t>with respect to each of the foregoing, necessary to carry on its business, and the possession and use thereof in its business does not, to the best of the Borrower’s knowledge, conflict with the patents, know-how, trademarks, service marks, trade names, and copyrights, and rights with respect to the foregoing, of any other Person, except where such conflict would not reasonably be expected to have a Material Adverse Effect.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Condition of Assets and Sites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and properties of the Obligors and each other Project Company which are reasonably necessary for the operation of their business are in good working condition, ordinary wear and tear expected, and are able to serve the function for which they are currently being used or for which they are intended.</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Project Company’s interest in its properties and easements (i) comprise all of the real property interests for the ownership, construction, installation, completion, operation and maintenance of the Projects in accordance in all material respects with applicable Requirements of Law, the Material Project Documents and the applicable Construction Budget,</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35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sufficient to enable each Project to be located, constructed, operated and maintained on such real property, and (iii) provide adequate ingress and egress for any reasonable purpose in connection with the ownership, construction, operation and maintenance of the Projects for the purposes and on the terms set forth in the applicable Material Project Documents and easements.</w:t>
      </w:r>
    </w:p>
    <w:p>
      <w:pPr>
        <w:spacing w:after="0" w:line="15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No Defaults, Compliance With Laws</w:t>
      </w:r>
      <w:r>
        <w:rPr>
          <w:rFonts w:ascii="Times New Roman" w:cs="Times New Roman" w:eastAsia="Times New Roman" w:hAnsi="Times New Roman"/>
          <w:sz w:val="22"/>
          <w:szCs w:val="22"/>
          <w:color w:val="auto"/>
        </w:rPr>
        <w:t>. No Obligor nor any other Project Company is in default under any Contractual Obligation, which default, when this representation and warranty is made or deemed made after the Closing Date, would reasonably be expected to have a Material Adverse Effect. Each Obligor and each other Project Company has complied and is in compliance in all respects with all Requirements of Law applicable to it, including, without limitation, all applicable Environmental Laws, except for any non-compliance which, when this representation and warranty is made or deemed made after the Closing Date, would reasonably be expected to have a Material Adverse Effect. No Default or Event of Default has occurred and is continuing.</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Not Used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Not an Investment Company</w:t>
      </w:r>
      <w:r>
        <w:rPr>
          <w:rFonts w:ascii="Times New Roman" w:cs="Times New Roman" w:eastAsia="Times New Roman" w:hAnsi="Times New Roman"/>
          <w:sz w:val="21"/>
          <w:szCs w:val="21"/>
          <w:color w:val="auto"/>
        </w:rPr>
        <w:t>. None of the Parent, any Obligor nor any other Project Company is subject to regulation under the Investment Company Act of 1940, as amended, or is subject to any statute or regulation which regulates the incurrence by the Parent, any Obligor or any other Project Company of indebtedness for or with respect to borrowed money.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Use of Proceeds; Margin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used the proceeds of the Loan solely in accordance with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the Loan have been used for the purpose, whether immediate, incidental or ultimate, of purchasing or carrying any “margin stock” (as such term is defined in Regulation U of the Board of Governors of the Federal Reserve System as now and from time to time hereafter in effect), or for the payment in full or in part of, or to provide credit support for, Indebtedness which was or is to be incurred for such purpose, or to extend credit or support credit extended to others for such purpose. Neither the Parent nor any Obligor nor any other Project Company is engaged principally, or as one of its important activities,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business of extending credit for the purpose, whether immediate, incidental or ultimate, of buying or carrying “margin stock”.</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xml:space="preserve">. As of the Closing Date and (with respect to the applicable Additional Project) as of each Inclusion Date, all financial statements, material reports, material certificates or other material information (excluding projected financial information, pro forma financial information, estimated financial information, other projected or estimated information and other forward-looking statements and information of a general economic or industry specific nature) furnished (in writing) to the Credit Parties by or on behalf of the Parent, the Borrower or any Obligor or any other Project Company in connection with the transactions contemplated by this Agreement or the other Loan Documents when taken as a whole (at the time of delivery or verification thereof), is or will be, when furnished, complete and correct in all material respects and does not or will not, when furnished, contains any untrue statement of a material fact or omits to state a material fact necessary in order to make the statements contained herein or therein not materially misleading (other than any information that was corrected or updated in writing to the Credit Parties on or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Construction Budgets, Project Schedules, Annual Operating Budgets, Base Case Projections and other projected financial information, pro forma financial information, estimated financial information, other projected or estimated information and other forward-looking statements, projections provided in connection with the transactions contemplated by this Agreement, such information was prepared in good faith based upon assumptions believed to be reasonable at the time (it being understood that such financial projections and forecasts are as to future events and are not to be viewed as facts, are subject to significant uncertainties and contingencies, many of which are beyond the control of any Obligor or any other Project Company, and are not guarantees of financial performance, that actual results may differ significantly from such financial projections and forecasts and such differences may be material, and no assurances can be given that such financial projections and forecasts will be realized). As of the Closing Date and (with respect to the applicable Additional Project) as of each Inclusion Date, the information included in the Beneficial Ownership Certification is true and correct in all respects.</w:t>
      </w:r>
    </w:p>
    <w:p>
      <w:pPr>
        <w:spacing w:after="0" w:line="1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Burdensome Provisions</w:t>
      </w:r>
      <w:r>
        <w:rPr>
          <w:rFonts w:ascii="Times New Roman" w:cs="Times New Roman" w:eastAsia="Times New Roman" w:hAnsi="Times New Roman"/>
          <w:sz w:val="22"/>
          <w:szCs w:val="22"/>
          <w:color w:val="auto"/>
        </w:rPr>
        <w:t>. No Obligor nor any other Project Company is party to or bound by any Requirement of Law or Contractual Obligation, compliance with which could reasonably be expected to have a Material Adverse Effect.</w:t>
      </w:r>
    </w:p>
    <w:p>
      <w:pPr>
        <w:spacing w:after="0" w:line="15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During the five (5) year period ending on the Closing Date, none of the following events or conditions has occurred which, either individually or in the aggregate, has resulted or could reasonably be expected to result in a liability to any Obligor or any other Subsidiary which could reasonably be expected to have a Material Adverse Effect: (a) a Reportable Event;</w:t>
      </w:r>
    </w:p>
    <w:p>
      <w:pPr>
        <w:spacing w:after="0" w:line="2" w:lineRule="exact"/>
        <w:rPr>
          <w:sz w:val="20"/>
          <w:szCs w:val="20"/>
          <w:color w:val="auto"/>
        </w:rPr>
      </w:pPr>
    </w:p>
    <w:p>
      <w:pPr>
        <w:jc w:val="both"/>
        <w:ind w:firstLine="8"/>
        <w:spacing w:after="0" w:line="214" w:lineRule="auto"/>
        <w:tabs>
          <w:tab w:leader="none" w:pos="33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“accumulated funding deficiency” (within the meaning of Section 412 of the Code or Section 302 of ERISA); (c) any material noncompliance with the applicable provisions of ERISA or the Code; (d) a termination of a Single Employer Plan (other than a standard termination pursuant to Section 4041(b) of ERISA); (e) a Lien in favor of the PBGC or a Plan; (f) a complete or partial withdrawal from any Multiemployer Plan by any Obligor or any other Subsidiary or any Commonly Controlled Entity; or</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reorganization or insolvency (within the meaning of Section 4245 of ERISA) of any Multiemployer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Projects and the Obligors and other Project Companies are and for the last five (5) years have been in compliance with all applicable Environmental Laws, which compliance includes obtaining, maintaining and complying with all Permits required under applicable Environmental Laws, except as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89" w:name="page90"/>
    <w:bookmarkEnd w:id="89"/>
    <w:p>
      <w:pPr>
        <w:jc w:val="both"/>
        <w:ind w:firstLine="1304"/>
        <w:spacing w:after="0" w:line="225"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nor any other Project Company have received any notice, report, order, directive or other information of any violation, alleged violation, non-compliance, liability or actual or potential liability regarding applicable Environmental Laws, except as would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suit proceeding or action is pending or, to the Borrower’s knowledge, threatened in writing under any applicable Environmental Law to which any Obligor or any other Project Company or any Project is or will be named as a party, nor are there any consent decrees or other decrees, consent orders, administrative orders or other orders, outstanding under any applicable Environmental Law with respect to the Projects, any Obligor or any other Project Company, except as would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treatment, storage, disposal, arranging for or permitting the disposal of, transportation, handling of, exposure of any Person to, or ownership of any property or facility contaminated by, Hazardous Substances in a manner so as to give rise to liability of any Obligor or any other Project Company or the Projects, except as would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nor any other Project Company has assumed, undertaken, provided an indemnity with respect to or otherwise become subject to any liability of any other Person under any applicable Environmental Law, except as would not reasonably be expected to have a Material Adverse Effect.</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Location of Offices and Collateral</w:t>
      </w:r>
      <w:r>
        <w:rPr>
          <w:rFonts w:ascii="Times New Roman" w:cs="Times New Roman" w:eastAsia="Times New Roman" w:hAnsi="Times New Roman"/>
          <w:sz w:val="22"/>
          <w:szCs w:val="22"/>
          <w:color w:val="auto"/>
        </w:rPr>
        <w:t xml:space="preserve">. The chief executive office and principal place of business of each Obligor is located at the address set forth in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and the originals of all documents evidencing or relating to the Depositary Accounts, Local Accounts, Contractual Obligations and other items of Collateral, and the only original books of account and records of any Obligor relating thereto, are kept at the office or offices specified in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All of the Obligors’ respective inventory and equipment is held at the locations specified in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Deposit, Securities and Commodities Accounts</w:t>
      </w:r>
      <w:r>
        <w:rPr>
          <w:rFonts w:ascii="Times New Roman" w:cs="Times New Roman" w:eastAsia="Times New Roman" w:hAnsi="Times New Roman"/>
          <w:sz w:val="22"/>
          <w:szCs w:val="22"/>
          <w:color w:val="auto"/>
        </w:rPr>
        <w:t xml:space="preserve">. As of the Closing Date and (with respect to the applicable Additional Project) as of each Inclusion Date, no Obligor has any deposit accounts, securities accounts or commodities accounts other than the deposit accounts, securities accounts and commodities accounts, including Depositary Accounts and Local Accounts, listed on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Foreign Assets Control Regulations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Borrowings or Letters of Credit hereunder nor the use of the proceeds thereof violates any</w:t>
      </w:r>
    </w:p>
    <w:p>
      <w:pPr>
        <w:spacing w:after="0"/>
        <w:rPr>
          <w:sz w:val="20"/>
          <w:szCs w:val="20"/>
          <w:color w:val="auto"/>
        </w:rPr>
      </w:pPr>
      <w:r>
        <w:rPr>
          <w:rFonts w:ascii="Times New Roman" w:cs="Times New Roman" w:eastAsia="Times New Roman" w:hAnsi="Times New Roman"/>
          <w:sz w:val="22"/>
          <w:szCs w:val="22"/>
          <w:color w:val="auto"/>
        </w:rPr>
        <w:t>Sanctions.</w:t>
      </w:r>
    </w:p>
    <w:p>
      <w:pPr>
        <w:spacing w:after="0" w:line="155" w:lineRule="exact"/>
        <w:rPr>
          <w:sz w:val="20"/>
          <w:szCs w:val="20"/>
          <w:color w:val="auto"/>
        </w:rPr>
      </w:pPr>
    </w:p>
    <w:p>
      <w:pPr>
        <w:jc w:val="both"/>
        <w:ind w:firstLine="1304"/>
        <w:spacing w:after="0" w:line="217"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Borrower or any other Project Company (i) is a Sanctioned Person or otherwise a Person described or designated in the Specially Designated Nationals and Blocked Persons List of the Office of Foreign Assets Control or otherwise a Sanctioned Person, (ii) has any of its assets in a Sanctioned Country or in the possession, custody or control of a Sanctioned Person, (iii) has violated or is in violation of Sanctions, or (iv) does business in or with, or derives any of its operating income from investments in or transactions with, any Sanctioned Country or Sanctioned Person.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the Term Loans are or will be used, directly or indirectly, (i) for any payments to any governmental official or employee, political party, official of a political party, candidate for political office, or anyone else acting in an official capacity,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order to obtain, retain or direct business or obtain any improper advantage, in violation of any applicable Anti-Corruption Law,</w:t>
      </w:r>
    </w:p>
    <w:p>
      <w:pPr>
        <w:jc w:val="both"/>
        <w:ind w:firstLine="8"/>
        <w:spacing w:after="0" w:line="218" w:lineRule="auto"/>
        <w:tabs>
          <w:tab w:leader="none" w:pos="35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any operations in, finance any investments or activities in, or, make any payments to, a Sanctioned Country or Sanctioned Person in violation of any law, regulation, order or directive enforced by any Compliance Authority, or (iii) in violation of any applicable Anti-Money Laundering Law.</w:t>
      </w:r>
    </w:p>
    <w:p>
      <w:pPr>
        <w:spacing w:after="0" w:line="13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funds used to repay the Obligations in whole or in part are derived from any unlawful activity; and</w:t>
      </w:r>
    </w:p>
    <w:p>
      <w:pPr>
        <w:jc w:val="both"/>
        <w:ind w:firstLine="8"/>
        <w:spacing w:after="0" w:line="218" w:lineRule="auto"/>
        <w:tabs>
          <w:tab w:leader="none" w:pos="33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Parent, each other Obligor and each other Project Company is in compliance with, and none of Opal Fuels, the Parent, each Obligor and each Project Company engages in any dealings or transactions prohibited by, any laws of the United States.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Anti-Money Laundering Laws; Anti-Corruption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and the Borrower have taken, and have caused each Obligor and each other Project Company to take, reasonable measures appropriate to the circumstances (and in any event as required by applicable law), with respect to each holder of an interest in it, to assure that funds invested by such holder in the Parent, the Borrower, any other Obligor or any other Project Company are derived from legal sources in accordance with the Lender Secrecy Act, 31 U.S.C. §§ 5311 et seq. (“</w:t>
      </w:r>
      <w:r>
        <w:rPr>
          <w:rFonts w:ascii="Times New Roman" w:cs="Times New Roman" w:eastAsia="Times New Roman" w:hAnsi="Times New Roman"/>
          <w:sz w:val="21"/>
          <w:szCs w:val="21"/>
          <w:u w:val="single" w:color="auto"/>
          <w:color w:val="auto"/>
        </w:rPr>
        <w:t>BSA</w:t>
      </w:r>
      <w:r>
        <w:rPr>
          <w:rFonts w:ascii="Times New Roman" w:cs="Times New Roman" w:eastAsia="Times New Roman" w:hAnsi="Times New Roman"/>
          <w:sz w:val="21"/>
          <w:szCs w:val="21"/>
          <w:color w:val="auto"/>
        </w:rPr>
        <w:t>”), and all applicable laws, regulations and government guidance on BSA compliance and on the prevention and detection of money laundering violations under 18 U.S.C. §§ 1956 and 1957 (collectively with the BSA, “</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Borrower, any other Obligor or any other Project Company, nor any holder of a direct or indirect interest in the Parent, the Borrower, any other Obligor or any other Project Company (i) is under investigation by any governmental authority for, or has been charged with, or convicted of, money laundering under 18 U.S.C. §§ 1956 and 1957, drug trafficking, terrorist-related activities or other money laundering crimes, or any violation of the BSA, (ii) has been assessed civil penalties under any Anti-Money Laundering Laws, (iii) has had any of its funds seized or forfeited in an action by a governmental authority under any Anti-Money Laundering Laws, or (iv) has violated or is in violation of applicable Anti-Corruption Laws.</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and the Borrower have taken, and has caused each Obligor and other Project Company to take, reasonable measures appropriate to the circumstances (in any event as required by applicable law) to ensure that it is in compliance with all Anti-Money Laundering Laws and applicable laws, regulations and governmental guidance for the prevention of terrorism, terrorist financing and drug trafficking.</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Equator Principles</w:t>
      </w:r>
      <w:r>
        <w:rPr>
          <w:rFonts w:ascii="Times New Roman" w:cs="Times New Roman" w:eastAsia="Times New Roman" w:hAnsi="Times New Roman"/>
          <w:sz w:val="22"/>
          <w:szCs w:val="22"/>
          <w:color w:val="auto"/>
        </w:rPr>
        <w:t>. To the knowledge of the Borrower, each Project is in compliance in all material respects with the Equator Principles.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Neither the Parent nor any Obligor is an Affected Financial Institution.</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As of the Closing Date and the date of each transaction under a Secured Hedge Agreement, the Borrower is a Qualified ECP Guarantor.</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u w:val="single" w:color="auto"/>
          <w:color w:val="auto"/>
        </w:rPr>
        <w:t>Energy Regulatory Status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Parent, any other Obligor or any other Project Company is, and none of Parent, any other Obligor or any other Project Company will become, solely as a result of the ownership, leasing or operation of any Project, the sale of renewable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82" w:right="339" w:bottom="1440" w:gutter="0" w:footer="0" w:header="0"/>
        </w:sectPr>
      </w:pPr>
    </w:p>
    <w:bookmarkStart w:id="91" w:name="page92"/>
    <w:bookmarkEnd w:id="91"/>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therefrom, or the entering into any Operative Document or any transaction contemplated hereby or thereby, subject to (i) regulation as a “natural gas company” as defined in the NGA with respect to rates, terms and conditions of service, accounting and recordkeeping, or other matters except as provided in this </w:t>
      </w:r>
      <w:r>
        <w:rPr>
          <w:rFonts w:ascii="Times New Roman" w:cs="Times New Roman" w:eastAsia="Times New Roman" w:hAnsi="Times New Roman"/>
          <w:sz w:val="21"/>
          <w:szCs w:val="21"/>
          <w:u w:val="single" w:color="auto"/>
          <w:color w:val="auto"/>
        </w:rPr>
        <w:t>Section 3.28</w:t>
      </w:r>
      <w:r>
        <w:rPr>
          <w:rFonts w:ascii="Times New Roman" w:cs="Times New Roman" w:eastAsia="Times New Roman" w:hAnsi="Times New Roman"/>
          <w:sz w:val="21"/>
          <w:szCs w:val="21"/>
          <w:color w:val="auto"/>
        </w:rPr>
        <w:t>, (ii) regulation and authority of any regulatory body of any state or municipality having jurisdiction to regulate rates or charges for the transportation or sale of natural gas (a “</w:t>
      </w:r>
      <w:r>
        <w:rPr>
          <w:rFonts w:ascii="Times New Roman" w:cs="Times New Roman" w:eastAsia="Times New Roman" w:hAnsi="Times New Roman"/>
          <w:sz w:val="21"/>
          <w:szCs w:val="21"/>
          <w:u w:val="single" w:color="auto"/>
          <w:color w:val="auto"/>
        </w:rPr>
        <w:t>State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xml:space="preserve">”) , or (iii) any other financial, organizational or rate regulation under the regulations of a State Commission;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clause (i) of the preceding sentence, a Project Company may be a “natural gas company” solely with respect to wholesale sales of renewable natural gas eligible for the blanket marketing certificate granted by regulation in effect as of the date hereof at 18 C.F.R. § 284.402 or any successor provision thereto (“</w:t>
      </w:r>
      <w:r>
        <w:rPr>
          <w:rFonts w:ascii="Times New Roman" w:cs="Times New Roman" w:eastAsia="Times New Roman" w:hAnsi="Times New Roman"/>
          <w:sz w:val="21"/>
          <w:szCs w:val="21"/>
          <w:u w:val="single" w:color="auto"/>
          <w:color w:val="auto"/>
        </w:rPr>
        <w:t>Blanket Marketing Certificate</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firstLine="1304"/>
        <w:spacing w:after="0" w:line="220" w:lineRule="auto"/>
        <w:tabs>
          <w:tab w:leader="none" w:pos="193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complaint or administrative proceeding pending with respect to any of the Obligors or any other Project Company under any applicable laws governing rate regulation or financial or organizational regulation by a Governmental Authority, and the Borrower is not aware of any facts or circumstances which would reasonably be expected to give rise to such complaint or administrative proceeding in the future.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 authorization, certificate or certification, approval or any other consent is necessary from FERC (other than a Blanket Marketing Certificate) or any State Commission for the siting, construction, ownership or operation of any Project by the applicable Project Company, the sale of renewable natural gas therefrom by any Project Company or the entering into of any Operative Document to which any Obligor or other Subsidiary is a party, or any transaction contemplated hereby or thereby.</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Credit Parties, or any Affiliate of any of them, will, solely as a result of the ownership, or operation of the Project by the applicable Project Companies, the sale of renewable natural gas therefrom by any Project Company or the entering into any Operative Document or any transaction contemplated hereby or thereby, be subject to, or not exempt from, regulation under the NGA by FERC or under state laws and regulations applicable to a State Commission with respect to the transportation or sale of natural gas.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4</w:t>
      </w:r>
    </w:p>
    <w:p>
      <w:pPr>
        <w:ind w:left="4320"/>
        <w:spacing w:after="0"/>
        <w:rPr>
          <w:sz w:val="20"/>
          <w:szCs w:val="20"/>
          <w:color w:val="auto"/>
        </w:rPr>
      </w:pPr>
      <w:r>
        <w:rPr>
          <w:rFonts w:ascii="Times New Roman" w:cs="Times New Roman" w:eastAsia="Times New Roman" w:hAnsi="Times New Roman"/>
          <w:sz w:val="22"/>
          <w:szCs w:val="22"/>
          <w:color w:val="auto"/>
        </w:rPr>
        <w:t>CONDITIONS PRECEDENT</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Conditions Precedent to Closing</w:t>
      </w:r>
      <w:r>
        <w:rPr>
          <w:rFonts w:ascii="Times New Roman" w:cs="Times New Roman" w:eastAsia="Times New Roman" w:hAnsi="Times New Roman"/>
          <w:sz w:val="22"/>
          <w:szCs w:val="22"/>
          <w:color w:val="auto"/>
        </w:rPr>
        <w:t xml:space="preserve">. The effectiveness of this Agreement and the closing of the Facilities are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to be received by the Administrative Agent, in form and substance reasonably satisfactory to the Lenders), unless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Documents</w:t>
      </w:r>
      <w:r>
        <w:rPr>
          <w:rFonts w:ascii="Times New Roman" w:cs="Times New Roman" w:eastAsia="Times New Roman" w:hAnsi="Times New Roman"/>
          <w:sz w:val="22"/>
          <w:szCs w:val="22"/>
          <w:color w:val="auto"/>
        </w:rPr>
        <w:t>. The Administrative Agent’s receipt of the following true and complete documents, each properly executed by a Responsible Officer of the signing Opal Fuels, Parent or Obligor, if applicable, each dated as of the Closing Date (or, in the case of certificates of governmental officials, a recent date before the Closing Date) and each in form and substance reasonably satisfactory to the Administrative Agent and each of the Lenders:</w:t>
      </w:r>
    </w:p>
    <w:p>
      <w:pPr>
        <w:spacing w:after="0" w:line="13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Guaranty Agreement</w:t>
      </w:r>
      <w:r>
        <w:rPr>
          <w:rFonts w:ascii="Times New Roman" w:cs="Times New Roman" w:eastAsia="Times New Roman" w:hAnsi="Times New Roman"/>
          <w:sz w:val="22"/>
          <w:szCs w:val="22"/>
          <w:color w:val="auto"/>
        </w:rPr>
        <w:t>. A counterpart of this Agreement, duly executed by the Obligors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Credit Parties;</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DSR Notes or Term Notes (if any) to any DSR Lender or Term Lender (as applicable) that shall have requested the same, appropriately completed and duly executed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2" w:name="page93"/>
    <w:bookmarkEnd w:id="92"/>
    <w:p>
      <w:pPr>
        <w:jc w:val="both"/>
        <w:ind w:firstLine="1952"/>
        <w:spacing w:after="0" w:line="225"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A security and pledge agreement duly executed by each of the Obligors in favor of the Collateral Agent (the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granting to the Collateral Agent, for the benefit of the Secured Parties, Liens on the Collateral specified therein;</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Non-Recourse Pledge Agreement</w:t>
      </w:r>
      <w:r>
        <w:rPr>
          <w:rFonts w:ascii="Times New Roman" w:cs="Times New Roman" w:eastAsia="Times New Roman" w:hAnsi="Times New Roman"/>
          <w:sz w:val="22"/>
          <w:szCs w:val="22"/>
          <w:color w:val="auto"/>
        </w:rPr>
        <w:t>. A non-recourse pledge agreement duly executed by the Parent in favor of the Collateral Agent (the “</w:t>
      </w:r>
      <w:r>
        <w:rPr>
          <w:rFonts w:ascii="Times New Roman" w:cs="Times New Roman" w:eastAsia="Times New Roman" w:hAnsi="Times New Roman"/>
          <w:sz w:val="22"/>
          <w:szCs w:val="22"/>
          <w:u w:val="single" w:color="auto"/>
          <w:color w:val="auto"/>
        </w:rPr>
        <w:t>Non-Recourse Pledge Agreement</w:t>
      </w:r>
      <w:r>
        <w:rPr>
          <w:rFonts w:ascii="Times New Roman" w:cs="Times New Roman" w:eastAsia="Times New Roman" w:hAnsi="Times New Roman"/>
          <w:sz w:val="22"/>
          <w:szCs w:val="22"/>
          <w:color w:val="auto"/>
        </w:rPr>
        <w:t>”), granting to the Collateral Agent, for the benefit of the Secured Parties, Liens on the Collateral specified therein;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Counterparts of the Fee Letters, duly executed by the parties thereto;</w:t>
      </w:r>
    </w:p>
    <w:p>
      <w:pPr>
        <w:spacing w:after="0" w:line="179"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and Priority of Liens</w:t>
      </w:r>
      <w:r>
        <w:rPr>
          <w:rFonts w:ascii="Times New Roman" w:cs="Times New Roman" w:eastAsia="Times New Roman" w:hAnsi="Times New Roman"/>
          <w:sz w:val="22"/>
          <w:szCs w:val="22"/>
          <w:color w:val="auto"/>
        </w:rPr>
        <w:t>. (A) separate UCC1 financing statements to be filed against each Grantor, as debtor, properly completed for filing, as to each Grantor, in the UCC filing office of the state under whose laws such Grantor is registered, and evidence that no financing statements are currently on record in any public office specified by the Administrative Agent, in its reasonable discretion, naming any Obligor as debtor, other than financing statements filed in connection with Permitted Liens and financing statements with respect to which the Administrative Agent shall have received UCC3 termination statements or authorization to file UCC3 termination statements and (B) such other documents as the Administrative Agent reasonably deems necessary or appropriate to perfect the Liens granted to the Collateral Agent, for the benefit of the Secured Parties, under the Security Agreement and Pledge Agreement;</w:t>
      </w:r>
    </w:p>
    <w:p>
      <w:pPr>
        <w:spacing w:after="0" w:line="156"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Actions and Incumbency</w:t>
      </w:r>
      <w:r>
        <w:rPr>
          <w:rFonts w:ascii="Times New Roman" w:cs="Times New Roman" w:eastAsia="Times New Roman" w:hAnsi="Times New Roman"/>
          <w:sz w:val="21"/>
          <w:szCs w:val="21"/>
          <w:color w:val="auto"/>
        </w:rPr>
        <w:t>. Originals or copies of such documents as the Administrative Agent may require (all of which shall be certified by such officers or governmental officials as the Administrative Agent may require) relating to the existence, organization and authority of the Parent and each Obligor, the taking of all necessary corporate, limited liability company, partnership or other applicable organizational action to authorize the execution, delivery and performance by the Parent or such Obligor of the Loan Documents to which it is a party, and the incumbency and authenticity of the signature of each officer or other Person who executes a Loan Document on behalf of the Parent or any Obligor;</w:t>
      </w:r>
    </w:p>
    <w:p>
      <w:pPr>
        <w:spacing w:after="0" w:line="153"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A certificate dated the Closing Date, duly executed by a Responsible Officer, to the effect that on and as of such date each Obligor has complied and is then in compliance with all the terms, covenants and conditions of this Agreement;</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Favorable legal opinions of Sheppard, Mullin, Richter &amp; Hampton LLP, counsel to the Parent and the Obligors, in form and substance reasonably satisfactory to the Lenders;</w:t>
      </w:r>
    </w:p>
    <w:p>
      <w:pPr>
        <w:spacing w:after="0" w:line="15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Copies of (A) the Consolidated balance sheet of the Borrower and its Subsidiaries as of March 31, 2022 and the related Consolidated statements of income, members’ equity and cash flows for the fiscal quarter ending March 31, 2022, and (B) the pro forma Consolidated balance sheet of the Borrower and its Subsidiaries as of the Closing Date, all prepared internally in detail reasonably satisfactory to the Administrative Agent and in accordance with GAAP consistently applied (subject to the absence of footnotes and year-end audit adjustments);</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The base case financial projections of the Project Companies’ operating results for the Initial Projects, demonstrating the Borrower’s ability to service the Loans, which projections shall be in form and detail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3" w:name="page94"/>
    <w:bookmarkEnd w:id="93"/>
    <w:p>
      <w:pPr>
        <w:spacing w:after="0" w:line="236" w:lineRule="auto"/>
        <w:rPr>
          <w:sz w:val="20"/>
          <w:szCs w:val="20"/>
          <w:color w:val="auto"/>
        </w:rPr>
      </w:pPr>
      <w:r>
        <w:rPr>
          <w:rFonts w:ascii="Times New Roman" w:cs="Times New Roman" w:eastAsia="Times New Roman" w:hAnsi="Times New Roman"/>
          <w:sz w:val="22"/>
          <w:szCs w:val="22"/>
          <w:color w:val="auto"/>
        </w:rPr>
        <w:t>Lenders (the “</w:t>
      </w:r>
      <w:r>
        <w:rPr>
          <w:rFonts w:ascii="Times New Roman" w:cs="Times New Roman" w:eastAsia="Times New Roman" w:hAnsi="Times New Roman"/>
          <w:sz w:val="22"/>
          <w:szCs w:val="22"/>
          <w:u w:val="single" w:color="auto"/>
          <w:color w:val="auto"/>
        </w:rPr>
        <w:t>Base Case Projections</w:t>
      </w:r>
      <w:r>
        <w:rPr>
          <w:rFonts w:ascii="Times New Roman" w:cs="Times New Roman" w:eastAsia="Times New Roman" w:hAnsi="Times New Roman"/>
          <w:sz w:val="22"/>
          <w:szCs w:val="22"/>
          <w:color w:val="auto"/>
        </w:rPr>
        <w:t>”) and shall be certified by a Responsible Officer of the Borrower as having been prepared in good faith based upon assumptions believed by such Responsible Officer to be reasonable at the time;</w:t>
      </w:r>
    </w:p>
    <w:p>
      <w:pPr>
        <w:spacing w:after="0" w:line="150" w:lineRule="exact"/>
        <w:rPr>
          <w:sz w:val="20"/>
          <w:szCs w:val="20"/>
          <w:color w:val="auto"/>
        </w:rPr>
      </w:pPr>
    </w:p>
    <w:p>
      <w:pPr>
        <w:ind w:firstLine="1952"/>
        <w:spacing w:after="0" w:line="236" w:lineRule="auto"/>
        <w:tabs>
          <w:tab w:leader="none" w:pos="258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A solvency certificate reasonably satisfactory in form and substance to the Administrative Agent, duly executed by a Responsible Officer of the Borrower;</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Budget and Project Schedule</w:t>
      </w:r>
      <w:r>
        <w:rPr>
          <w:rFonts w:ascii="Times New Roman" w:cs="Times New Roman" w:eastAsia="Times New Roman" w:hAnsi="Times New Roman"/>
          <w:sz w:val="22"/>
          <w:szCs w:val="22"/>
          <w:color w:val="auto"/>
        </w:rPr>
        <w:t>. (A) Construction Budgets for each of the Initial Projects, (B) the Project Schedules for each of the Initial Projects, and (C) sources and uses of funds demonstrating that the Loans and available Commitments, together with the equity contributions required to be made in connection with each Initial Project, equal or exceed the anticipated Project Costs as set forth in the Base Case Projections;</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xml:space="preserve">. For each Initial Project, (A) a copy of each Material Project Document set forth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(including all amendments, consents, waivers and other modifications with respect thereto) and (B) such Material Project Documents have been obtained such that the aggregate contracted capacity thereunder is sufficient for such Project to satisfy the projected volumes therefor in the Base Case Projections, as confirmed by the Independent Engineer;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 Curves</w:t>
      </w:r>
      <w:r>
        <w:rPr>
          <w:rFonts w:ascii="Times New Roman" w:cs="Times New Roman" w:eastAsia="Times New Roman" w:hAnsi="Times New Roman"/>
          <w:sz w:val="22"/>
          <w:szCs w:val="22"/>
          <w:color w:val="auto"/>
        </w:rPr>
        <w:t>. An updated forward curve of projected RIN prices from ICF Resources L.L.C., showing projected RIN prices sufficient for the Initial Projects to satisfy projected revenues in the Base Case Projections in connection with the sale of RINs;</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Commitment Letters</w:t>
      </w:r>
      <w:r>
        <w:rPr>
          <w:rFonts w:ascii="Times New Roman" w:cs="Times New Roman" w:eastAsia="Times New Roman" w:hAnsi="Times New Roman"/>
          <w:sz w:val="22"/>
          <w:szCs w:val="22"/>
          <w:color w:val="auto"/>
        </w:rPr>
        <w:t>. An Equity Commitment Letter for each Initial Project; and</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or information as the Administrative Agent may reasonably specify.</w:t>
      </w:r>
    </w:p>
    <w:p>
      <w:pPr>
        <w:spacing w:after="0" w:line="15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The Administrative Agent shall have received, or will concurrently with the making of the Loan receive, payment in full of (i) the fees specified in the Fee Letters (to the extent payable on or prior to the Closing Date) and (ii) all reasonable invoiced fees and out-of-pocket disbursements of counsel to the Administrative Agent, relating to this transaction.</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KYC</w:t>
      </w:r>
      <w:r>
        <w:rPr>
          <w:rFonts w:ascii="Times New Roman" w:cs="Times New Roman" w:eastAsia="Times New Roman" w:hAnsi="Times New Roman"/>
          <w:sz w:val="21"/>
          <w:szCs w:val="21"/>
          <w:color w:val="auto"/>
        </w:rPr>
        <w:t>. The Administrative Agent shall have received, at least five (5) Business Days prior to the requested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Closing Date:</w:t>
      </w:r>
    </w:p>
    <w:p>
      <w:pPr>
        <w:spacing w:after="0" w:line="155"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regarding the Parent and the Obligors requested in connection with applicable “know your customer” rules and regulations, Anti-Money Laundering Laws, including the Patriot Act; and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Certifications with respect to the Parent and each applicable Obligor.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9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Applicable Permits set forth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required to have been obtained by any Obligor or any Subsidiary by the Closing Date (i) have been duly obtained, (ii) are in full force and effect, (iii) have had any applicable appeal period elapse without request for any appeal or such appeal has been denied or resolved with finality, (iv)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15" w:lineRule="auto"/>
        <w:rPr>
          <w:sz w:val="20"/>
          <w:szCs w:val="20"/>
          <w:color w:val="auto"/>
        </w:rPr>
      </w:pPr>
      <w:r>
        <w:rPr>
          <w:rFonts w:ascii="Times New Roman" w:cs="Times New Roman" w:eastAsia="Times New Roman" w:hAnsi="Times New Roman"/>
          <w:sz w:val="22"/>
          <w:szCs w:val="22"/>
          <w:color w:val="auto"/>
        </w:rPr>
        <w:t>held in the name of the applicable Obligor or Subsidiary or the applicable Initial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any Project being operated in a manner inconsistent with the Base Case Projections other than any inconsistency that could reasonably be expected to result in (x) gains to the applicable Project Companies or (y) losses, costs or expenses to the applicable Project Companies that are not material.</w:t>
      </w:r>
    </w:p>
    <w:p>
      <w:pPr>
        <w:spacing w:after="0" w:line="152" w:lineRule="exact"/>
        <w:rPr>
          <w:sz w:val="20"/>
          <w:szCs w:val="20"/>
          <w:color w:val="auto"/>
        </w:rPr>
      </w:pPr>
    </w:p>
    <w:p>
      <w:pPr>
        <w:ind w:right="20" w:firstLine="1952"/>
        <w:spacing w:after="0" w:line="236" w:lineRule="auto"/>
        <w:tabs>
          <w:tab w:leader="none" w:pos="25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copy of each Applicable Permit set forth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on the Closing Date and any modification or reissuance of such Applicable Permits.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Due diligence satisfactory to the Lenders in its sole discretion shall have been completed with respect to each Initial Project (including financial, technical, corporate, environmental, real estate, regulatory, other legal and any other due diligence).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Conditions Precedent to Funding of the Initial Borrowing</w:t>
      </w:r>
      <w:r>
        <w:rPr>
          <w:rFonts w:ascii="Times New Roman" w:cs="Times New Roman" w:eastAsia="Times New Roman" w:hAnsi="Times New Roman"/>
          <w:sz w:val="22"/>
          <w:szCs w:val="22"/>
          <w:color w:val="auto"/>
        </w:rPr>
        <w:t xml:space="preserve">. The obligation of each Term Lender to make its initial Term Loan hereunder are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to be received by the Administrative Agent in form and substance reasonably satisfactory to the Lenders) unless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5" w:lineRule="auto"/>
        <w:tabs>
          <w:tab w:leader="none" w:pos="19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shall have occurred</w:t>
      </w:r>
      <w:r>
        <w:rPr>
          <w:rFonts w:ascii="Times New Roman" w:cs="Times New Roman" w:eastAsia="Times New Roman" w:hAnsi="Times New Roman"/>
          <w:sz w:val="22"/>
          <w:szCs w:val="22"/>
          <w:color w:val="auto"/>
        </w:rPr>
        <w:t xml:space="preserve">. Each of the conditions precedent to the effectiveness of this Agreement and the Facilities hereunder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shall have been satisfied or waived by the Lenders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w:t>
      </w:r>
      <w:r>
        <w:rPr>
          <w:rFonts w:ascii="Times New Roman" w:cs="Times New Roman" w:eastAsia="Times New Roman" w:hAnsi="Times New Roman"/>
          <w:sz w:val="22"/>
          <w:szCs w:val="22"/>
          <w:color w:val="auto"/>
        </w:rPr>
        <w:t>, and the Closing Date shall have occurred or shall occur concurrently.</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Documents</w:t>
      </w:r>
      <w:r>
        <w:rPr>
          <w:rFonts w:ascii="Times New Roman" w:cs="Times New Roman" w:eastAsia="Times New Roman" w:hAnsi="Times New Roman"/>
          <w:sz w:val="22"/>
          <w:szCs w:val="22"/>
          <w:color w:val="auto"/>
        </w:rPr>
        <w:t>. The Administrative Agent’s receipt of the following true and complete documents, each properly executed by a Responsible Officer of the signing Parent or Obligor, if applicable, each dated as of the applicable Borrowing Date (or, in the case of certificates of governmental officials, a recent date before such Borrowing Date) and each in form and substance reasonably satisfactory to the Administrative Agent and each of the Lenders:</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Control Agreements covering all Local Accounts held with a depositary bank that is not a Lender, which agreements shall be in form and substance reasonably satisfactory to the Administrative Agent and shall each be duly executed by the applicable Grantor and depository bank;</w:t>
      </w:r>
    </w:p>
    <w:p>
      <w:pPr>
        <w:spacing w:after="0" w:line="152"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80"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Bring-Down Certificate</w:t>
      </w:r>
      <w:r>
        <w:rPr>
          <w:rFonts w:ascii="Times New Roman" w:cs="Times New Roman" w:eastAsia="Times New Roman" w:hAnsi="Times New Roman"/>
          <w:sz w:val="21"/>
          <w:szCs w:val="21"/>
          <w:color w:val="auto"/>
        </w:rPr>
        <w:t xml:space="preserve">. A certificate, duly executed by a Responsible Officer, to the effect that (1) on and as of such date the Parent and each Obligor has complied and is then in compliance with all the terms, covenants and conditions of this Agreement and the other Loan Documents to which such Person is a party; (2) the condition in </w:t>
      </w:r>
      <w:r>
        <w:rPr>
          <w:rFonts w:ascii="Times New Roman" w:cs="Times New Roman" w:eastAsia="Times New Roman" w:hAnsi="Times New Roman"/>
          <w:sz w:val="21"/>
          <w:szCs w:val="21"/>
          <w:u w:val="single" w:color="auto"/>
          <w:color w:val="auto"/>
        </w:rPr>
        <w:t>Section 4.2(c)</w:t>
      </w:r>
      <w:r>
        <w:rPr>
          <w:rFonts w:ascii="Times New Roman" w:cs="Times New Roman" w:eastAsia="Times New Roman" w:hAnsi="Times New Roman"/>
          <w:sz w:val="21"/>
          <w:szCs w:val="21"/>
          <w:color w:val="auto"/>
        </w:rPr>
        <w:t xml:space="preserve"> is satisfied as of such date; and (3) there are no services, materials or rights required for the development, construction, ownership and operation and maintenance of any Initial Project in accordance with the Material Project Documents and the assumptions that form the basis of the Base Case Projections, other than (A) those to be provided under the Project Documents that have been delivered to the Administrative Agent and (B) such services, materials and rights as can reasonably be anticipated to be obtained in the ordinary course of business when needed on terms that are consistent with the Base Case Projections, except to the extent that any failure to have the foregoing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5" w:name="page96"/>
    <w:bookmarkEnd w:id="95"/>
    <w:p>
      <w:pPr>
        <w:ind w:firstLine="1952"/>
        <w:spacing w:after="0" w:line="236" w:lineRule="auto"/>
        <w:tabs>
          <w:tab w:leader="none" w:pos="258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Certificates</w:t>
      </w:r>
      <w:r>
        <w:rPr>
          <w:rFonts w:ascii="Times New Roman" w:cs="Times New Roman" w:eastAsia="Times New Roman" w:hAnsi="Times New Roman"/>
          <w:sz w:val="22"/>
          <w:szCs w:val="22"/>
          <w:color w:val="auto"/>
        </w:rPr>
        <w:t>. For each Initial Project, the Independent Engineer Report, together with use of work product agreements permitting the Credit Parties to rely on such Independent Engineer Report;</w:t>
      </w:r>
    </w:p>
    <w:p>
      <w:pPr>
        <w:spacing w:after="0" w:line="150" w:lineRule="exact"/>
        <w:rPr>
          <w:rFonts w:ascii="Times New Roman" w:cs="Times New Roman" w:eastAsia="Times New Roman" w:hAnsi="Times New Roman"/>
          <w:sz w:val="22"/>
          <w:szCs w:val="22"/>
          <w:color w:val="auto"/>
        </w:rPr>
      </w:pPr>
    </w:p>
    <w:p>
      <w:pPr>
        <w:jc w:val="both"/>
        <w:ind w:firstLine="1952"/>
        <w:spacing w:after="0" w:line="224" w:lineRule="auto"/>
        <w:tabs>
          <w:tab w:leader="none" w:pos="259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Policies</w:t>
      </w:r>
      <w:r>
        <w:rPr>
          <w:rFonts w:ascii="Times New Roman" w:cs="Times New Roman" w:eastAsia="Times New Roman" w:hAnsi="Times New Roman"/>
          <w:sz w:val="21"/>
          <w:szCs w:val="21"/>
          <w:color w:val="auto"/>
        </w:rPr>
        <w:t>. For each Initial Project, (A) a copy of an ALTA 2006 Owners Policy of Title Insurance (the “</w:t>
      </w:r>
      <w:r>
        <w:rPr>
          <w:rFonts w:ascii="Times New Roman" w:cs="Times New Roman" w:eastAsia="Times New Roman" w:hAnsi="Times New Roman"/>
          <w:sz w:val="21"/>
          <w:szCs w:val="21"/>
          <w:u w:val="single" w:color="auto"/>
          <w:color w:val="auto"/>
        </w:rPr>
        <w:t>Title Policy</w:t>
      </w:r>
      <w:r>
        <w:rPr>
          <w:rFonts w:ascii="Times New Roman" w:cs="Times New Roman" w:eastAsia="Times New Roman" w:hAnsi="Times New Roman"/>
          <w:sz w:val="21"/>
          <w:szCs w:val="21"/>
          <w:color w:val="auto"/>
        </w:rPr>
        <w:t xml:space="preserve">”) (or an unconditional, irrevocable commitment of a title insurer reasonably acceptable to the Administrative Agent to issue such policy), which Title Policy (a) shows fee, leasehold, easement, and/or license interests in and to the Real Property vested in the applicable Project Company, (b) has a date reasonably acceptable to the Administrative Agent and (c) is subject only to title exceptions as are reasonably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the Administrative Agent in its sole determination may accept recent title search results from a reputable title insurance company in lieu of a Title Policy; and (B) copies of all underlying title documents referenced in such Title Policy or title search results, as applicable;</w:t>
      </w:r>
    </w:p>
    <w:p>
      <w:pPr>
        <w:spacing w:after="0" w:line="150" w:lineRule="exact"/>
        <w:rPr>
          <w:rFonts w:ascii="Times New Roman" w:cs="Times New Roman" w:eastAsia="Times New Roman" w:hAnsi="Times New Roman"/>
          <w:sz w:val="21"/>
          <w:szCs w:val="21"/>
          <w:color w:val="auto"/>
        </w:rPr>
      </w:pPr>
    </w:p>
    <w:p>
      <w:pPr>
        <w:jc w:val="both"/>
        <w:ind w:firstLine="1952"/>
        <w:spacing w:after="0" w:line="215" w:lineRule="auto"/>
        <w:tabs>
          <w:tab w:leader="none" w:pos="25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For each Initial Project, (A) an ALTA survey (which may be satisfied with a copy of any existing ALTA surveys), certified to the Administrative Agent, the Collateral Agent and the Title Insurer, reasonably acceptable to the Administrative Agent, having a date acceptable to the Administrative Agent, (B) copies of each Real Property Agreement thereto, (C) copies of each easement agreement and each amendment thereto, and (D) evidence reasonably satisfactory to the Administrative Agent that all rights in real property required to be obtained for the construction and operation of such Project have been obtained;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Proceed</w:t>
      </w:r>
      <w:r>
        <w:rPr>
          <w:rFonts w:ascii="Times New Roman" w:cs="Times New Roman" w:eastAsia="Times New Roman" w:hAnsi="Times New Roman"/>
          <w:sz w:val="22"/>
          <w:szCs w:val="22"/>
          <w:color w:val="auto"/>
        </w:rPr>
        <w:t>. For each Initial Project, a copy of the proposed “notice to proceed” under the applicable EPC Contract, with the original thereof having been delivered to the EPC Contractor under and in accordance with the EPC Contract;</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 xml:space="preserve">. For each Initial Project, a copy of each Applicable Permit, and each amendment and reissuance thereof, to the extent not previously delivered to the Administrative Agent pursuant to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For each Initial Project, a copy of each authorization from each applicable regulatory authority required for the construction of such Project;</w:t>
      </w:r>
    </w:p>
    <w:p>
      <w:pPr>
        <w:spacing w:after="0" w:line="150"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(xxviii)</w:t>
      </w:r>
      <w:r>
        <w:rPr>
          <w:rFonts w:ascii="Times New Roman" w:cs="Times New Roman" w:eastAsia="Times New Roman" w:hAnsi="Times New Roman"/>
          <w:sz w:val="22"/>
          <w:szCs w:val="22"/>
          <w:u w:val="single" w:color="auto"/>
          <w:color w:val="auto"/>
        </w:rPr>
        <w:t>Direct Agreements</w:t>
      </w:r>
      <w:r>
        <w:rPr>
          <w:rFonts w:ascii="Times New Roman" w:cs="Times New Roman" w:eastAsia="Times New Roman" w:hAnsi="Times New Roman"/>
          <w:sz w:val="22"/>
          <w:szCs w:val="22"/>
          <w:color w:val="auto"/>
        </w:rPr>
        <w:t xml:space="preserve">. For each Initial Project, copies of a Direct Agreement with respect to each Material Project Document listed on </w:t>
      </w:r>
      <w:r>
        <w:rPr>
          <w:rFonts w:ascii="Times New Roman" w:cs="Times New Roman" w:eastAsia="Times New Roman" w:hAnsi="Times New Roman"/>
          <w:sz w:val="22"/>
          <w:szCs w:val="22"/>
          <w:u w:val="single" w:color="auto"/>
          <w:color w:val="auto"/>
        </w:rPr>
        <w:t>Schedule 4.2(b)</w:t>
      </w:r>
      <w:r>
        <w:rPr>
          <w:rFonts w:ascii="Times New Roman" w:cs="Times New Roman" w:eastAsia="Times New Roman" w:hAnsi="Times New Roman"/>
          <w:sz w:val="22"/>
          <w:szCs w:val="22"/>
          <w:color w:val="auto"/>
        </w:rPr>
        <w:t xml:space="preserve"> (or if any such Direct Agreements are not available, evidence that the Borrower has used commercially reasonable efforts to obtain such Direct Agreement);</w:t>
      </w:r>
    </w:p>
    <w:p>
      <w:pPr>
        <w:spacing w:after="0" w:line="152" w:lineRule="exact"/>
        <w:rPr>
          <w:sz w:val="20"/>
          <w:szCs w:val="20"/>
          <w:color w:val="auto"/>
        </w:rPr>
      </w:pPr>
    </w:p>
    <w:p>
      <w:pPr>
        <w:ind w:left="2580" w:hanging="628"/>
        <w:spacing w:after="0"/>
        <w:tabs>
          <w:tab w:leader="none" w:pos="25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TruStar Acknowledgment</w:t>
      </w:r>
      <w:r>
        <w:rPr>
          <w:rFonts w:ascii="Times New Roman" w:cs="Times New Roman" w:eastAsia="Times New Roman" w:hAnsi="Times New Roman"/>
          <w:sz w:val="22"/>
          <w:szCs w:val="22"/>
          <w:color w:val="auto"/>
        </w:rPr>
        <w:t>. For each Offtake Agreement, a copy of a TruStar Acknowledgement;</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GFL Consent</w:t>
      </w:r>
      <w:r>
        <w:rPr>
          <w:rFonts w:ascii="Times New Roman" w:cs="Times New Roman" w:eastAsia="Times New Roman" w:hAnsi="Times New Roman"/>
          <w:sz w:val="22"/>
          <w:szCs w:val="22"/>
          <w:color w:val="auto"/>
        </w:rPr>
        <w:t>. A copy of a GFL Consent (or if the GFL Consent is not available, evidence that the Borrower has used commercially reasonable efforts to obtain the GFL Consent);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xml:space="preserve">. A copy of the gas interconnection agreement, management services agreement and operations and maintenance agreement for the Project William RNG Project, and an update to the Disclosure Schedule, solely to update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to list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6" w:name="page97"/>
    <w:bookmarkEnd w:id="96"/>
    <w:p>
      <w:pPr>
        <w:ind w:firstLine="1952"/>
        <w:spacing w:after="0" w:line="236" w:lineRule="auto"/>
        <w:tabs>
          <w:tab w:leader="none" w:pos="258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or information as the Administrative Agent may reasonably specify.</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Contribution</w:t>
      </w:r>
      <w:r>
        <w:rPr>
          <w:rFonts w:ascii="Times New Roman" w:cs="Times New Roman" w:eastAsia="Times New Roman" w:hAnsi="Times New Roman"/>
          <w:sz w:val="22"/>
          <w:szCs w:val="22"/>
          <w:color w:val="auto"/>
        </w:rPr>
        <w:t>. Opal Fuels shall have contributed to the Parent and the Parent shall in turn have contributed to the Borrower the Required Equity Contribution for each of the Initial Projects in accordance with the Construction Budget for each such Initial Project, and the Independent Engineer shall have provided a certificate, in form and substance reasonably acceptable to the Lenders, confirming the same.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Administrative Agent shall have received: (i) certificates of insurance with respect to the insurance required by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or any Security Document; (ii) the Insurance Consultant Report; and (iii) a certificate from the Insurance Consultant, in substantially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The Administrative Agent shall have determined in good faith that no material adverse change has occurred in the financial condition or results of operations of the Obligors and their Subsidiaries since the Closing Date.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Conditions</w:t>
      </w:r>
      <w:r>
        <w:rPr>
          <w:rFonts w:ascii="Times New Roman" w:cs="Times New Roman" w:eastAsia="Times New Roman" w:hAnsi="Times New Roman"/>
          <w:sz w:val="22"/>
          <w:szCs w:val="22"/>
          <w:color w:val="auto"/>
        </w:rPr>
        <w:t xml:space="preserve">. The obligation of each Term Lender to make its initial Term Loan hereunder shall be further subject to satisfaction of the conditions precedent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Conditions Precedent to the Inclusion of Each Additional Project</w:t>
      </w:r>
      <w:r>
        <w:rPr>
          <w:rFonts w:ascii="Times New Roman" w:cs="Times New Roman" w:eastAsia="Times New Roman" w:hAnsi="Times New Roman"/>
          <w:sz w:val="22"/>
          <w:szCs w:val="22"/>
          <w:color w:val="auto"/>
        </w:rPr>
        <w:t>. The inclusion of any specific Comparable Project as an additional Project (an “</w:t>
      </w:r>
      <w:r>
        <w:rPr>
          <w:rFonts w:ascii="Times New Roman" w:cs="Times New Roman" w:eastAsia="Times New Roman" w:hAnsi="Times New Roman"/>
          <w:sz w:val="22"/>
          <w:szCs w:val="22"/>
          <w:u w:val="single" w:color="auto"/>
          <w:color w:val="auto"/>
        </w:rPr>
        <w:t>Additional Project</w:t>
      </w:r>
      <w:r>
        <w:rPr>
          <w:rFonts w:ascii="Times New Roman" w:cs="Times New Roman" w:eastAsia="Times New Roman" w:hAnsi="Times New Roman"/>
          <w:sz w:val="22"/>
          <w:szCs w:val="22"/>
          <w:color w:val="auto"/>
        </w:rPr>
        <w:t xml:space="preserve">”) for all purposes hereunder and under the other Loan Documents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to be received by the Administrative Agent in form and substance reasonably satisfactory to the Required Lenders)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(the date all conditions precedents set forth in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to any specific Comparable Project being included hereunder as an Additional Project have been satisfied or otherwise waived is referred to herein as such new Additional Project’s “</w:t>
      </w:r>
      <w:r>
        <w:rPr>
          <w:rFonts w:ascii="Times New Roman" w:cs="Times New Roman" w:eastAsia="Times New Roman" w:hAnsi="Times New Roman"/>
          <w:sz w:val="22"/>
          <w:szCs w:val="22"/>
          <w:u w:val="single" w:color="auto"/>
          <w:color w:val="auto"/>
        </w:rPr>
        <w:t>Inclusion Date</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304"/>
        <w:spacing w:after="0" w:line="231" w:lineRule="auto"/>
        <w:tabs>
          <w:tab w:leader="none" w:pos="193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Receipt of Documents</w:t>
      </w:r>
      <w:r>
        <w:rPr>
          <w:rFonts w:ascii="Times New Roman" w:cs="Times New Roman" w:eastAsia="Times New Roman" w:hAnsi="Times New Roman"/>
          <w:sz w:val="21"/>
          <w:szCs w:val="21"/>
          <w:color w:val="auto"/>
        </w:rPr>
        <w:t>. The Administrative Agent’s receipt of the following true and complete documents, each properly executed by a Responsible Officer of the signing Opal Fuels, Parent or Obligor, if applicable, each dated as of the applicable Borrowing Date (or, in the case of certificates of governmental officials, a recent date before such Borrowing Date) and each in form and substance reasonably satisfactory to the Administrative Agent and the Required Lenders:</w:t>
      </w:r>
    </w:p>
    <w:p>
      <w:pPr>
        <w:spacing w:after="0" w:line="150"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22"/>
          <w:szCs w:val="22"/>
          <w:color w:val="auto"/>
        </w:rPr>
        <w:t>(xxxiii)</w:t>
      </w:r>
      <w:r>
        <w:rPr>
          <w:rFonts w:ascii="Times New Roman" w:cs="Times New Roman" w:eastAsia="Times New Roman" w:hAnsi="Times New Roman"/>
          <w:sz w:val="22"/>
          <w:szCs w:val="22"/>
          <w:u w:val="single" w:color="auto"/>
          <w:color w:val="auto"/>
        </w:rPr>
        <w:t>Updated UCC Searches</w:t>
      </w:r>
      <w:r>
        <w:rPr>
          <w:rFonts w:ascii="Times New Roman" w:cs="Times New Roman" w:eastAsia="Times New Roman" w:hAnsi="Times New Roman"/>
          <w:sz w:val="22"/>
          <w:szCs w:val="22"/>
          <w:color w:val="auto"/>
        </w:rPr>
        <w:t>. As to each such Additional Project, as reasonably requested by the Administrative Agent, evidence that no financing statements are currently on record in any public office specified by the Administrative Agent naming any Obligor as debtor, other than financing statements filed in connection with Permitted Liens and financing statements with respect to which the Administrative Agent shall have received UCC3 termination statements or authorization to file UCC3 termination statements</w:t>
      </w:r>
      <w:r>
        <w:rPr>
          <w:rFonts w:ascii="Times New Roman" w:cs="Times New Roman" w:eastAsia="Times New Roman" w:hAnsi="Times New Roman"/>
          <w:sz w:val="22"/>
          <w:szCs w:val="22"/>
          <w:i w:val="1"/>
          <w:iCs w:val="1"/>
          <w:color w:val="auto"/>
        </w:rPr>
        <w:t>;</w:t>
      </w:r>
    </w:p>
    <w:p>
      <w:pPr>
        <w:spacing w:after="0" w:line="152" w:lineRule="exact"/>
        <w:rPr>
          <w:sz w:val="20"/>
          <w:szCs w:val="20"/>
          <w:color w:val="auto"/>
        </w:rPr>
      </w:pPr>
    </w:p>
    <w:p>
      <w:pPr>
        <w:jc w:val="both"/>
        <w:ind w:firstLine="1944"/>
        <w:spacing w:after="0" w:line="215" w:lineRule="auto"/>
        <w:rPr>
          <w:sz w:val="20"/>
          <w:szCs w:val="20"/>
          <w:color w:val="auto"/>
        </w:rPr>
      </w:pPr>
      <w:r>
        <w:rPr>
          <w:rFonts w:ascii="Times New Roman" w:cs="Times New Roman" w:eastAsia="Times New Roman" w:hAnsi="Times New Roman"/>
          <w:sz w:val="22"/>
          <w:szCs w:val="22"/>
          <w:color w:val="auto"/>
        </w:rPr>
        <w:t>(xxxiv)</w:t>
      </w:r>
      <w:r>
        <w:rPr>
          <w:rFonts w:ascii="Times New Roman" w:cs="Times New Roman" w:eastAsia="Times New Roman" w:hAnsi="Times New Roman"/>
          <w:sz w:val="22"/>
          <w:szCs w:val="22"/>
          <w:u w:val="single" w:color="auto"/>
          <w:color w:val="auto"/>
        </w:rPr>
        <w:t>Updated Projections</w:t>
      </w:r>
      <w:r>
        <w:rPr>
          <w:rFonts w:ascii="Times New Roman" w:cs="Times New Roman" w:eastAsia="Times New Roman" w:hAnsi="Times New Roman"/>
          <w:sz w:val="22"/>
          <w:szCs w:val="22"/>
          <w:color w:val="auto"/>
        </w:rPr>
        <w:t>. As to each such Additional Project, the Base Case Projections as amended and updated to incorporate the base case financial projections of the Project Companies’ operating results for such Additional Project, demonstrating the Borrower’s continuing ability to service the Loans, which amended and updated Base Case Projections shall be in form and detail reasonably satisfactory to the Required Lenders and shall be certified by a Responsible Officer of the Borrower as having been prepared in good faith based upon assumptions believed by such Responsible Officer to be reasonable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7" w:name="page98"/>
    <w:bookmarkEnd w:id="97"/>
    <w:p>
      <w:pPr>
        <w:jc w:val="both"/>
        <w:ind w:firstLine="1952"/>
        <w:spacing w:after="0" w:line="227" w:lineRule="auto"/>
        <w:tabs>
          <w:tab w:leader="none" w:pos="2587"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 Budget and Project Schedule</w:t>
      </w:r>
      <w:r>
        <w:rPr>
          <w:rFonts w:ascii="Times New Roman" w:cs="Times New Roman" w:eastAsia="Times New Roman" w:hAnsi="Times New Roman"/>
          <w:sz w:val="21"/>
          <w:szCs w:val="21"/>
          <w:color w:val="auto"/>
        </w:rPr>
        <w:t xml:space="preserve">. As to each such Additional Project, (A) the Construction Budget for such Additional Project, (B) the Project Schedule for such Additional Project, and (C) sources and uses of funds demonstrating that the Loans and available Commitments, together with the equity contributions required to be made pursuant to </w:t>
      </w:r>
      <w:r>
        <w:rPr>
          <w:rFonts w:ascii="Times New Roman" w:cs="Times New Roman" w:eastAsia="Times New Roman" w:hAnsi="Times New Roman"/>
          <w:sz w:val="21"/>
          <w:szCs w:val="21"/>
          <w:u w:val="single" w:color="auto"/>
          <w:color w:val="auto"/>
        </w:rPr>
        <w:t>Section 4.3(b)</w:t>
      </w:r>
      <w:r>
        <w:rPr>
          <w:rFonts w:ascii="Times New Roman" w:cs="Times New Roman" w:eastAsia="Times New Roman" w:hAnsi="Times New Roman"/>
          <w:sz w:val="21"/>
          <w:szCs w:val="21"/>
          <w:color w:val="auto"/>
        </w:rPr>
        <w:t xml:space="preserve"> in connection with such Additional Project, equal or exceed the anticipated Project Costs as set forth in the Base Case Projections, as amended and adjusted to take into account such Additional Project as set forth in </w:t>
      </w:r>
      <w:r>
        <w:rPr>
          <w:rFonts w:ascii="Times New Roman" w:cs="Times New Roman" w:eastAsia="Times New Roman" w:hAnsi="Times New Roman"/>
          <w:sz w:val="21"/>
          <w:szCs w:val="21"/>
          <w:u w:val="single" w:color="auto"/>
          <w:color w:val="auto"/>
        </w:rPr>
        <w:t>Section 4.3(a)(ii)</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(xxxvi)</w:t>
      </w: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An Equity Commitment Letter for the Additional Project;</w:t>
      </w:r>
    </w:p>
    <w:p>
      <w:pPr>
        <w:spacing w:after="0" w:line="179" w:lineRule="exact"/>
        <w:rPr>
          <w:sz w:val="20"/>
          <w:szCs w:val="20"/>
          <w:color w:val="auto"/>
        </w:rPr>
      </w:pPr>
    </w:p>
    <w:p>
      <w:pPr>
        <w:ind w:firstLine="1952"/>
        <w:spacing w:after="0" w:line="236" w:lineRule="auto"/>
        <w:tabs>
          <w:tab w:leader="none" w:pos="323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An update to the Disclosure Schedule, solely to update disclosures with respect to the Additional Project;</w:t>
      </w:r>
    </w:p>
    <w:p>
      <w:pPr>
        <w:spacing w:after="0" w:line="150" w:lineRule="exact"/>
        <w:rPr>
          <w:rFonts w:ascii="Times New Roman" w:cs="Times New Roman" w:eastAsia="Times New Roman" w:hAnsi="Times New Roman"/>
          <w:sz w:val="22"/>
          <w:szCs w:val="22"/>
          <w:color w:val="auto"/>
        </w:rPr>
      </w:pPr>
    </w:p>
    <w:p>
      <w:pPr>
        <w:jc w:val="both"/>
        <w:ind w:firstLine="1952"/>
        <w:spacing w:after="0" w:line="227" w:lineRule="auto"/>
        <w:tabs>
          <w:tab w:leader="none" w:pos="32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Project Documents</w:t>
      </w:r>
      <w:r>
        <w:rPr>
          <w:rFonts w:ascii="Times New Roman" w:cs="Times New Roman" w:eastAsia="Times New Roman" w:hAnsi="Times New Roman"/>
          <w:sz w:val="21"/>
          <w:szCs w:val="21"/>
          <w:color w:val="auto"/>
        </w:rPr>
        <w:t xml:space="preserve">. For the Additional Project, (A) a copy of each Material Project Document set forth on the updated </w:t>
      </w:r>
      <w:r>
        <w:rPr>
          <w:rFonts w:ascii="Times New Roman" w:cs="Times New Roman" w:eastAsia="Times New Roman" w:hAnsi="Times New Roman"/>
          <w:sz w:val="21"/>
          <w:szCs w:val="21"/>
          <w:u w:val="single" w:color="auto"/>
          <w:color w:val="auto"/>
        </w:rPr>
        <w:t>Schedule 3.10(a)</w:t>
      </w:r>
      <w:r>
        <w:rPr>
          <w:rFonts w:ascii="Times New Roman" w:cs="Times New Roman" w:eastAsia="Times New Roman" w:hAnsi="Times New Roman"/>
          <w:sz w:val="21"/>
          <w:szCs w:val="21"/>
          <w:color w:val="auto"/>
        </w:rPr>
        <w:t xml:space="preserve"> (including all amendments, consents, waivers and other modifications with respect thereto) and (B) such Material Project Documents have been obtained such that the aggregate contracted capacity thereunder is sufficient for such Project to satisfy the projected volumes therefor in the Base Case Projections, as amended or modified from time to time in accordance with </w:t>
      </w:r>
      <w:r>
        <w:rPr>
          <w:rFonts w:ascii="Times New Roman" w:cs="Times New Roman" w:eastAsia="Times New Roman" w:hAnsi="Times New Roman"/>
          <w:sz w:val="21"/>
          <w:szCs w:val="21"/>
          <w:u w:val="single" w:color="auto"/>
          <w:color w:val="auto"/>
        </w:rPr>
        <w:t>Section 4.3(a)(ii)</w:t>
      </w:r>
      <w:r>
        <w:rPr>
          <w:rFonts w:ascii="Times New Roman" w:cs="Times New Roman" w:eastAsia="Times New Roman" w:hAnsi="Times New Roman"/>
          <w:sz w:val="21"/>
          <w:szCs w:val="21"/>
          <w:color w:val="auto"/>
        </w:rPr>
        <w:t>, as confirmed by the Independent Engineer;</w:t>
      </w:r>
    </w:p>
    <w:p>
      <w:pPr>
        <w:spacing w:after="0" w:line="154" w:lineRule="exact"/>
        <w:rPr>
          <w:sz w:val="20"/>
          <w:szCs w:val="20"/>
          <w:color w:val="auto"/>
        </w:rPr>
      </w:pPr>
    </w:p>
    <w:p>
      <w:pPr>
        <w:jc w:val="both"/>
        <w:ind w:right="20" w:firstLine="1944"/>
        <w:spacing w:after="0" w:line="236" w:lineRule="auto"/>
        <w:rPr>
          <w:sz w:val="20"/>
          <w:szCs w:val="20"/>
          <w:color w:val="auto"/>
        </w:rPr>
      </w:pPr>
      <w:r>
        <w:rPr>
          <w:rFonts w:ascii="Times New Roman" w:cs="Times New Roman" w:eastAsia="Times New Roman" w:hAnsi="Times New Roman"/>
          <w:sz w:val="22"/>
          <w:szCs w:val="22"/>
          <w:color w:val="auto"/>
        </w:rPr>
        <w:t>(xxxix)</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A joinder to this Agreement and the Security Agreement, duly executed by each Grantor with respect to the Additional Project;</w:t>
      </w:r>
    </w:p>
    <w:p>
      <w:pPr>
        <w:spacing w:after="0" w:line="150" w:lineRule="exact"/>
        <w:rPr>
          <w:sz w:val="20"/>
          <w:szCs w:val="20"/>
          <w:color w:val="auto"/>
        </w:rPr>
      </w:pPr>
    </w:p>
    <w:p>
      <w:pPr>
        <w:jc w:val="both"/>
        <w:ind w:firstLine="1944"/>
        <w:spacing w:after="0" w:line="211" w:lineRule="auto"/>
        <w:rPr>
          <w:sz w:val="20"/>
          <w:szCs w:val="20"/>
          <w:color w:val="auto"/>
        </w:rPr>
      </w:pPr>
      <w:r>
        <w:rPr>
          <w:rFonts w:ascii="Times New Roman" w:cs="Times New Roman" w:eastAsia="Times New Roman" w:hAnsi="Times New Roman"/>
          <w:sz w:val="22"/>
          <w:szCs w:val="22"/>
          <w:color w:val="auto"/>
        </w:rPr>
        <w:t xml:space="preserve">(xl) </w:t>
      </w:r>
      <w:r>
        <w:rPr>
          <w:rFonts w:ascii="Times New Roman" w:cs="Times New Roman" w:eastAsia="Times New Roman" w:hAnsi="Times New Roman"/>
          <w:sz w:val="22"/>
          <w:szCs w:val="22"/>
          <w:u w:val="single" w:color="auto"/>
          <w:color w:val="auto"/>
        </w:rPr>
        <w:t>Perfection and Priority of Liens</w:t>
      </w:r>
      <w:r>
        <w:rPr>
          <w:rFonts w:ascii="Times New Roman" w:cs="Times New Roman" w:eastAsia="Times New Roman" w:hAnsi="Times New Roman"/>
          <w:sz w:val="22"/>
          <w:szCs w:val="22"/>
          <w:color w:val="auto"/>
        </w:rPr>
        <w:t>. (A) separate UCC1 financing statements to be filed against each Grantor in respect of the Additional Project, as debtor, properly completed for filing, as to each Grantor in respect of the Additional Project, in the UCC filing office of the state under whose laws such Grantor is registered, and evidence that no financing statements are currently on record in any public office specified by the Administrative Agent, in its reasonable discretion, naming any Grantor in respect of the Additional Project as debtor, other than financing statements filed in connection with Permitted Liens and financing statements with respect to which the Administrative Agent shall have received UCC3 termination statements or authorization to file UCC3 termination statements and (B) such other documents as the Administrative Agent reasonably deems necessary or appropriate to perfect the Liens granted to the Collateral Agent, for the benefit of the Secured Parties, under the Security Agreement;</w:t>
      </w:r>
    </w:p>
    <w:p>
      <w:pPr>
        <w:spacing w:after="0" w:line="158"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1"/>
          <w:szCs w:val="21"/>
          <w:color w:val="auto"/>
        </w:rPr>
        <w:t xml:space="preserve">(xli) </w:t>
      </w:r>
      <w:r>
        <w:rPr>
          <w:rFonts w:ascii="Times New Roman" w:cs="Times New Roman" w:eastAsia="Times New Roman" w:hAnsi="Times New Roman"/>
          <w:sz w:val="21"/>
          <w:szCs w:val="21"/>
          <w:u w:val="single" w:color="auto"/>
          <w:color w:val="auto"/>
        </w:rPr>
        <w:t>Authority, Actions and Incumbency</w:t>
      </w:r>
      <w:r>
        <w:rPr>
          <w:rFonts w:ascii="Times New Roman" w:cs="Times New Roman" w:eastAsia="Times New Roman" w:hAnsi="Times New Roman"/>
          <w:sz w:val="21"/>
          <w:szCs w:val="21"/>
          <w:color w:val="auto"/>
        </w:rPr>
        <w:t>. Originals or copies of such documents as the Administrative Agent may require (all of which shall be certified by such officers or governmental officials as the Administrative Agent may require) relating to the existence, organization and authority of each Grantor in respect of the Additional Project, the taking of all necessary corporate, limited liability company, partnership or other applicable organizational action to authorize the execution, delivery and performance by each Grantor in respect of the Additional Project of the joinder to which it is a party, and the incumbency and authenticity of the signature of each officer or other Person who executes a joinder on behalf of such Grant;</w:t>
      </w:r>
    </w:p>
    <w:p>
      <w:pPr>
        <w:spacing w:after="0" w:line="154"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 xml:space="preserve">(xlii) </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Favorable legal opinions of Sheppard, Mullin, Richter &amp; Hampton LLP, counsel to each Grantor in respect of the Additional Project, in form and substance reasonably satisfactory to the Lenders; and</w:t>
      </w:r>
    </w:p>
    <w:p>
      <w:pPr>
        <w:spacing w:after="0" w:line="150"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 xml:space="preserve">(xliii) </w:t>
      </w: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amendments or information as the Administrative Agent may reasonably specify.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8" w:name="page99"/>
    <w:bookmarkEnd w:id="98"/>
    <w:p>
      <w:pPr>
        <w:jc w:val="both"/>
        <w:ind w:firstLine="1304"/>
        <w:spacing w:after="0" w:line="220" w:lineRule="auto"/>
        <w:tabs>
          <w:tab w:leader="none" w:pos="193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Contribution</w:t>
      </w:r>
      <w:r>
        <w:rPr>
          <w:rFonts w:ascii="Times New Roman" w:cs="Times New Roman" w:eastAsia="Times New Roman" w:hAnsi="Times New Roman"/>
          <w:sz w:val="22"/>
          <w:szCs w:val="22"/>
          <w:color w:val="auto"/>
        </w:rPr>
        <w:t>. Opal Fuels shall have contributed to the Parent and the Parent shall in turn have contributed to the Borrower the Required Equity Contribution for such Additional Project in accordance with the Construction Budget for such Additional Project, and the Independent Engineer shall have provided a certificate, in form and substance reasonably acceptable to the Required Lenders, confirming the same.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2"/>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Applicable Permits set forth on the updated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required to have been obtained by any Obligor or any Subsidiary by the Inclusion Date for the Additional Project (i) have been duly obtained, (ii) are in full force and effect, (iii) have had any applicable appeal period elapse without request for any appeal or such appeal has been denied or resolved with finality, (iv) are held in the name of the applicable Obligor or Subsidiary or the applicable Additional Project, and</w:t>
      </w:r>
    </w:p>
    <w:p>
      <w:pPr>
        <w:spacing w:after="0" w:line="2" w:lineRule="exact"/>
        <w:rPr>
          <w:rFonts w:ascii="Times New Roman" w:cs="Times New Roman" w:eastAsia="Times New Roman" w:hAnsi="Times New Roman"/>
          <w:sz w:val="21"/>
          <w:szCs w:val="21"/>
          <w:color w:val="auto"/>
        </w:rPr>
      </w:pPr>
    </w:p>
    <w:p>
      <w:pPr>
        <w:jc w:val="both"/>
        <w:ind w:firstLine="8"/>
        <w:spacing w:after="0" w:line="211" w:lineRule="auto"/>
        <w:tabs>
          <w:tab w:leader="none" w:pos="34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the Additional Project being operated in a manner inconsistent with the Base Case Projections, as amended or modified from time to time in accordance with </w:t>
      </w:r>
      <w:r>
        <w:rPr>
          <w:rFonts w:ascii="Times New Roman" w:cs="Times New Roman" w:eastAsia="Times New Roman" w:hAnsi="Times New Roman"/>
          <w:sz w:val="22"/>
          <w:szCs w:val="22"/>
          <w:u w:val="single" w:color="auto"/>
          <w:color w:val="auto"/>
        </w:rPr>
        <w:t>Section 4.3(a)(ii)</w:t>
      </w:r>
      <w:r>
        <w:rPr>
          <w:rFonts w:ascii="Times New Roman" w:cs="Times New Roman" w:eastAsia="Times New Roman" w:hAnsi="Times New Roman"/>
          <w:sz w:val="22"/>
          <w:szCs w:val="22"/>
          <w:color w:val="auto"/>
        </w:rPr>
        <w:t>, other than any inconsistency that could reasonably be expected to result in (x) gains to the applicable Project Company or (y) losses, costs or expenses to the applicable Project Company that are not material.</w:t>
      </w:r>
    </w:p>
    <w:p>
      <w:pPr>
        <w:spacing w:after="0" w:line="153"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copy of each Applicable Permit set forth on the updated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on the Inclusion Date and any modification or reissuance of such Applicable Permits.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Due diligence satisfactory to the Lenders in its sole discretion shall have been completed with respect to each Additional Project (including financial, technical, corporate, environmental, real estate, regulatory, other legal and any other due diligence).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The Administrative Agent shall have received, or will concurrently with the making of the Loan receive all reasonable invoiced fees and out-of-pocket disbursements of counsel to the Administrative Agent, relating to this transaction.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Conditions Precedent to the Funding of the Initial Borrowing for Each Additional Project</w:t>
      </w:r>
      <w:r>
        <w:rPr>
          <w:rFonts w:ascii="Times New Roman" w:cs="Times New Roman" w:eastAsia="Times New Roman" w:hAnsi="Times New Roman"/>
          <w:sz w:val="22"/>
          <w:szCs w:val="22"/>
          <w:color w:val="auto"/>
        </w:rPr>
        <w:t xml:space="preserve">. The obligation of each Lender to make its initial Loans hereunder with respect to each Additional Project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to be received by the Administrative Agent, in form and substance reasonably satisfactory to the Required Lenders)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Conditions</w:t>
      </w:r>
      <w:r>
        <w:rPr>
          <w:rFonts w:ascii="Times New Roman" w:cs="Times New Roman" w:eastAsia="Times New Roman" w:hAnsi="Times New Roman"/>
          <w:sz w:val="22"/>
          <w:szCs w:val="22"/>
          <w:color w:val="auto"/>
        </w:rPr>
        <w:t xml:space="preserve">. Each of the following conditions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shall be satisfied,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with respect to the applicable Additional Project: </w:t>
      </w:r>
      <w:r>
        <w:rPr>
          <w:rFonts w:ascii="Times New Roman" w:cs="Times New Roman" w:eastAsia="Times New Roman" w:hAnsi="Times New Roman"/>
          <w:sz w:val="22"/>
          <w:szCs w:val="22"/>
          <w:u w:val="single" w:color="auto"/>
          <w:color w:val="auto"/>
        </w:rPr>
        <w:t>Sections 4.1(a)(xiv)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Material Project Documents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4.1(b)(ii)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Payments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4.1(c)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KYC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4.1(d)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Applicable Permits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Receipt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4.2(d)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The Administrative Agent shall have determined in good faith that no material adverse change has occurred in the financial condition or results of operations of the Obligors and their Subsidiaries since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99" w:name="page100"/>
    <w:bookmarkEnd w:id="99"/>
    <w:p>
      <w:pPr>
        <w:ind w:right="20" w:firstLine="1304"/>
        <w:spacing w:after="0" w:line="236" w:lineRule="auto"/>
        <w:tabs>
          <w:tab w:leader="none" w:pos="194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Conditions</w:t>
      </w:r>
      <w:r>
        <w:rPr>
          <w:rFonts w:ascii="Times New Roman" w:cs="Times New Roman" w:eastAsia="Times New Roman" w:hAnsi="Times New Roman"/>
          <w:sz w:val="22"/>
          <w:szCs w:val="22"/>
          <w:color w:val="auto"/>
        </w:rPr>
        <w:t xml:space="preserve">. The obligation of each Term Lender to make any Term Loan hereunder shall be further subject to satisfaction of the conditions precedent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Conditions Precedent to the Funding of Each Borrowing of Term Loans</w:t>
      </w:r>
      <w:r>
        <w:rPr>
          <w:rFonts w:ascii="Times New Roman" w:cs="Times New Roman" w:eastAsia="Times New Roman" w:hAnsi="Times New Roman"/>
          <w:sz w:val="22"/>
          <w:szCs w:val="22"/>
          <w:color w:val="auto"/>
        </w:rPr>
        <w:t xml:space="preserve">. The obligation of each Lender to make a Term Loan (including its initial Term Loan)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to be received by the Administrative Agent, in form and substance reasonably satisfactory to the Required Lenders)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3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Administrative Agent shall have received a Notice of Borrowing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with respect to such Borrowing (it being understood that if any Loan is to be made on the Closing Date, such Notice of Borrowing must be received at least three (3) Business Days (or such shorter period as the Administrative Agent may agree) in advance of the designated Borrowing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All representations and warranties contained in this Agreement and the other Loan Documents shall be true and correct in all material respects on and as of the date of such Loan (unless such representation and warranty is qualified by materiality, in which event such representation and warranty shall be true and correct in all respects) on and as of the date of the making of such Loan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w:t>
      </w:r>
    </w:p>
    <w:p>
      <w:pPr>
        <w:spacing w:after="0" w:line="157"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exist as of the date of the making of such Loan or would exist immediately after giving effect thereto.</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For each Project and its respective Project Company with respect to which any proceeds of such Borrowing are expected to be used:</w:t>
      </w:r>
    </w:p>
    <w:p>
      <w:pPr>
        <w:spacing w:after="0" w:line="150"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certification from a Responsible Officer of the Borrower that the proceeds of such Loans shall be used solely for Project Costs set forth in the Construction Budget for such Project, or otherwise as permitted under this Agreement, and (B) and to the extent reasonably requested by the Administrative Agent, delivery to the Administrative Agent, no later than five (5) Business Days prior to the requested Borrowing Date, of invoices or other evidence of payment (or an obligation to make payment) representing Project Costs then due and payable to third parties (other than subcontractors) by such Project Company;</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Administrative Agent of a comparison of the actual Project Costs for such Project to the Project Costs set forth in the Construction Budget for such Project;</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Engineer shall have confirmed through the delivery of the IE Requisition Certificate that (A) the Project Costs included in the most recent Base Case Projections are an accurate estimate of the amount of Project Costs required for such Project to achieve Substantial Completion, and (B) the most recently delivered Project Schedules are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0" w:name="page101"/>
    <w:bookmarkEnd w:id="100"/>
    <w:p>
      <w:pPr>
        <w:jc w:val="both"/>
        <w:ind w:firstLine="1952"/>
        <w:spacing w:after="0" w:line="225" w:lineRule="auto"/>
        <w:tabs>
          <w:tab w:leader="none" w:pos="25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to certify that Available Construction Funds shall not be less than the aggregate unpaid amount required to cause the Final Completion Date for such Project to occur in accordance with all Requirements of Law and the EPC Contracts prior to the Date Certain;</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to certify that no event or circumstance has occurred since the Closing Date that has or could reasonably be expected to have a Material Adverse Effect;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Administrative Agent of a confirmation by the Independent Engineer that the certifications and comparisons delivered pursuant to </w:t>
      </w:r>
      <w:r>
        <w:rPr>
          <w:rFonts w:ascii="Times New Roman" w:cs="Times New Roman" w:eastAsia="Times New Roman" w:hAnsi="Times New Roman"/>
          <w:sz w:val="22"/>
          <w:szCs w:val="22"/>
          <w:u w:val="single" w:color="auto"/>
          <w:color w:val="auto"/>
        </w:rPr>
        <w:t>Sections 4.5(d)(i)-(iii)</w:t>
      </w:r>
      <w:r>
        <w:rPr>
          <w:rFonts w:ascii="Times New Roman" w:cs="Times New Roman" w:eastAsia="Times New Roman" w:hAnsi="Times New Roman"/>
          <w:sz w:val="22"/>
          <w:szCs w:val="22"/>
          <w:color w:val="auto"/>
        </w:rPr>
        <w:t xml:space="preserve"> above are, to the its knowledge, true and correct and that the assumptions made therein are reasonable.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the Borrower</w:t>
      </w:r>
      <w:r>
        <w:rPr>
          <w:rFonts w:ascii="Times New Roman" w:cs="Times New Roman" w:eastAsia="Times New Roman" w:hAnsi="Times New Roman"/>
          <w:sz w:val="22"/>
          <w:szCs w:val="22"/>
          <w:color w:val="auto"/>
        </w:rPr>
        <w:t xml:space="preserve">. Delivery to the Administrative Agent of a certificate of the Borrower,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dated the applicable Borrowing Date, certifying (1) that by the third (3rd) Quarterly Payment Date following the Term Conversion Date, the Projects are reasonably expected to produce sufficient renewable natural gas such that, basing such calculation upon Downside Pricing (for avoidance of doubt, satisfying each clause of such definition), there will be sufficient Operating Cash Available For Debt Service to pay required principal on each Quarterly Payment Date and to satisfy the Target Debt Balance as of such Quarterly Payment Date; (2) that any delays in any Projects, taken on a cumulative basis, would not reasonably be expected to result in a Material Adverse Effect; (3) that each change order entered into and not funded in accordance with </w:t>
      </w:r>
      <w:r>
        <w:rPr>
          <w:rFonts w:ascii="Times New Roman" w:cs="Times New Roman" w:eastAsia="Times New Roman" w:hAnsi="Times New Roman"/>
          <w:sz w:val="22"/>
          <w:szCs w:val="22"/>
          <w:u w:val="single" w:color="auto"/>
          <w:color w:val="auto"/>
        </w:rPr>
        <w:t>Section 6.23(b)(i)(A)</w:t>
      </w:r>
      <w:r>
        <w:rPr>
          <w:rFonts w:ascii="Times New Roman" w:cs="Times New Roman" w:eastAsia="Times New Roman" w:hAnsi="Times New Roman"/>
          <w:sz w:val="22"/>
          <w:szCs w:val="22"/>
          <w:color w:val="auto"/>
        </w:rPr>
        <w:t xml:space="preserve">, has been funded by an equity capital contribution deposited into the applicable Construction Account (together with evidence showing the same); and (4) to each of the matters in </w:t>
      </w:r>
      <w:r>
        <w:rPr>
          <w:rFonts w:ascii="Times New Roman" w:cs="Times New Roman" w:eastAsia="Times New Roman" w:hAnsi="Times New Roman"/>
          <w:sz w:val="22"/>
          <w:szCs w:val="22"/>
          <w:u w:val="single" w:color="auto"/>
          <w:color w:val="auto"/>
        </w:rPr>
        <w:t>Section 4.5(d)(i)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(d)(v)</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Each Notice of Borrowing hereunder shall constitute a representation and warranty by the Borrower that as of the date of such borrowing the conditions contained in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(including the borrowing limits set forth herein) and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 Loan Facility</w:t>
      </w:r>
      <w:r>
        <w:rPr>
          <w:rFonts w:ascii="Times New Roman" w:cs="Times New Roman" w:eastAsia="Times New Roman" w:hAnsi="Times New Roman"/>
          <w:sz w:val="22"/>
          <w:szCs w:val="22"/>
          <w:color w:val="auto"/>
        </w:rPr>
        <w:t>) have each been satisfied.</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Conditions Precedent to Each DSR Credit Event</w:t>
      </w:r>
      <w:r>
        <w:rPr>
          <w:rFonts w:ascii="Times New Roman" w:cs="Times New Roman" w:eastAsia="Times New Roman" w:hAnsi="Times New Roman"/>
          <w:sz w:val="22"/>
          <w:szCs w:val="22"/>
          <w:color w:val="auto"/>
        </w:rPr>
        <w:t xml:space="preserve">. The obligation of each DSR Lender to make any DSR Loan, the obligation of any LC Issuer to issue or extend (unless such extension is pursuant to the first proviso of </w:t>
      </w:r>
      <w:r>
        <w:rPr>
          <w:rFonts w:ascii="Times New Roman" w:cs="Times New Roman" w:eastAsia="Times New Roman" w:hAnsi="Times New Roman"/>
          <w:sz w:val="22"/>
          <w:szCs w:val="22"/>
          <w:u w:val="single" w:color="auto"/>
          <w:color w:val="auto"/>
        </w:rPr>
        <w:t>Section 2.2.4(c)</w:t>
      </w:r>
      <w:r>
        <w:rPr>
          <w:rFonts w:ascii="Times New Roman" w:cs="Times New Roman" w:eastAsia="Times New Roman" w:hAnsi="Times New Roman"/>
          <w:sz w:val="22"/>
          <w:szCs w:val="22"/>
          <w:color w:val="auto"/>
        </w:rPr>
        <w:t>) any Letter of Credit, and the obligation of any LC Issuer to increase or reinstate the amount of any Letter of Credit (each, a “</w:t>
      </w:r>
      <w:r>
        <w:rPr>
          <w:rFonts w:ascii="Times New Roman" w:cs="Times New Roman" w:eastAsia="Times New Roman" w:hAnsi="Times New Roman"/>
          <w:sz w:val="22"/>
          <w:szCs w:val="22"/>
          <w:u w:val="single" w:color="auto"/>
          <w:color w:val="auto"/>
        </w:rPr>
        <w:t>DSR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xml:space="preserve">”),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to be received by the Administrative Agent, in form and substance reasonably satisfactory to the Required Lenders)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 or Notice of LC Activity</w:t>
      </w:r>
      <w:r>
        <w:rPr>
          <w:rFonts w:ascii="Times New Roman" w:cs="Times New Roman" w:eastAsia="Times New Roman" w:hAnsi="Times New Roman"/>
          <w:sz w:val="22"/>
          <w:szCs w:val="22"/>
          <w:color w:val="auto"/>
        </w:rPr>
        <w:t xml:space="preserve">. (a) If such DSR Credit Event is a Borrowing of DSR Loans, Administrative Agent shall have received a Notice of Borrowing as and when required by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xml:space="preserve">, and (b) if such DSR Credit Event is the issuance of, extension of, or increase in the Stated Amount of, a Letter of Credit, the applicable LC Issuer and Administrative Agent shall have received a Notice of LC Activity as and when required by </w:t>
      </w:r>
      <w:r>
        <w:rPr>
          <w:rFonts w:ascii="Times New Roman" w:cs="Times New Roman" w:eastAsia="Times New Roman" w:hAnsi="Times New Roman"/>
          <w:sz w:val="22"/>
          <w:szCs w:val="22"/>
          <w:u w:val="single" w:color="auto"/>
          <w:color w:val="auto"/>
        </w:rPr>
        <w:t>Section 2.2.4(a)</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representation and warranty made by Borrower in any of the Loan Documents shall be true and correct in all material respects (except for any representations and warranties qualified by materiality or Material Adverse Effect in which case such representations and warranties shall be true and correct in all respects) as if made on the date of such DSR Credit Event, unless such representation 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1" w:name="page102"/>
    <w:bookmarkEnd w:id="101"/>
    <w:p>
      <w:pPr>
        <w:spacing w:after="0" w:line="236" w:lineRule="auto"/>
        <w:rPr>
          <w:sz w:val="20"/>
          <w:szCs w:val="20"/>
          <w:color w:val="auto"/>
        </w:rPr>
      </w:pPr>
      <w:r>
        <w:rPr>
          <w:rFonts w:ascii="Times New Roman" w:cs="Times New Roman" w:eastAsia="Times New Roman" w:hAnsi="Times New Roman"/>
          <w:sz w:val="22"/>
          <w:szCs w:val="22"/>
          <w:color w:val="auto"/>
        </w:rPr>
        <w:t>expressly relates solely to an earlier date (in which case such representation or warranty shall be true and correct as of such earlier date).</w:t>
      </w:r>
    </w:p>
    <w:p>
      <w:pPr>
        <w:spacing w:after="0" w:line="150" w:lineRule="exact"/>
        <w:rPr>
          <w:sz w:val="20"/>
          <w:szCs w:val="20"/>
          <w:color w:val="auto"/>
        </w:rPr>
      </w:pPr>
    </w:p>
    <w:p>
      <w:pPr>
        <w:ind w:firstLine="1304"/>
        <w:spacing w:after="0" w:line="236" w:lineRule="auto"/>
        <w:tabs>
          <w:tab w:leader="none" w:pos="194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At the time of and immediately after giving effect to such DSR Credit Event, no Event of Default or Default shall have occurred and be continuing or will result from such DSR Credit Event.</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(ab)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Closing Date, no event or circumstance which has had, or which could reasonably be expected to have, a Material Adverse Effect shall have occurred and be continuing.</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Conditions Precedent to Term Conversion</w:t>
      </w:r>
      <w:r>
        <w:rPr>
          <w:rFonts w:ascii="Times New Roman" w:cs="Times New Roman" w:eastAsia="Times New Roman" w:hAnsi="Times New Roman"/>
          <w:sz w:val="22"/>
          <w:szCs w:val="22"/>
          <w:color w:val="auto"/>
        </w:rPr>
        <w:t xml:space="preserve">. The occurrence of the Term Conversion Date shall be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to be received by the Administrative Agent, in form and substance reasonably satisfactory to the Required Lenders)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(ac) </w:t>
      </w: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Borrower shall have delivered a duly executed Notice of Term Conversion to the Administrative Agent at least ten (10) Business Days prior to the proposed Term Conversion Date (i) specifying such proposed date, which date shall be on or before the Date Certain, and (ii) together with (1) updated Base Case Projections current as of the Term Conversion Date and (2) at the Borrower’s discretion and to the extent that the full amount of the Term Loan Commitments has not been borrowed as of the Term Conversion Date (taking into account the Final Drawing), notice to the Administrative Agent and the Permitted Hedge Counterparties requesting that the Secured Hedge Agreement be amended to take into account the undrawn principal portion of the Term Loan Commitments.</w:t>
      </w:r>
    </w:p>
    <w:p>
      <w:pPr>
        <w:spacing w:after="0" w:line="4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(ad) </w:t>
      </w:r>
      <w:r>
        <w:rPr>
          <w:rFonts w:ascii="Times New Roman" w:cs="Times New Roman" w:eastAsia="Times New Roman" w:hAnsi="Times New Roman"/>
          <w:sz w:val="22"/>
          <w:szCs w:val="22"/>
          <w:u w:val="single" w:color="auto"/>
          <w:color w:val="auto"/>
        </w:rPr>
        <w:t>Completion; Updated Model</w:t>
      </w:r>
      <w:r>
        <w:rPr>
          <w:rFonts w:ascii="Times New Roman" w:cs="Times New Roman" w:eastAsia="Times New Roman" w:hAnsi="Times New Roman"/>
          <w:sz w:val="22"/>
          <w:szCs w:val="22"/>
          <w:color w:val="auto"/>
        </w:rPr>
        <w:t xml:space="preserve">. The Substantial Completion Date shall have occurred for a sufficient number of Projects such that Operating Cash Available for Debt Service then projected with respect to such Projects, as evidenced by the updated Base Case Projections delivered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basing such calculation upon Downside Pricing (for avoidance of doubt, satisfying each clause of such definition), are sufficient in aggregate to cause the Borrower to be in compliance with the Target Debt Balance by the third (3rd) Quarterly Payment Date following the Term Conversion Date, and the Administrative Agent shall have received a certificate from the Independent Engineer confirming the occurrence of the Substantial Completion Date for such Projects, in form and substance reasonably satisfactory to the Required Lenders.</w:t>
      </w:r>
    </w:p>
    <w:p>
      <w:pPr>
        <w:spacing w:after="0" w:line="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(ae)</w:t>
      </w:r>
      <w:r>
        <w:rPr>
          <w:sz w:val="20"/>
          <w:szCs w:val="20"/>
          <w:color w:val="auto"/>
        </w:rPr>
        <w:tab/>
      </w:r>
      <w:r>
        <w:rPr>
          <w:rFonts w:ascii="Times New Roman" w:cs="Times New Roman" w:eastAsia="Times New Roman" w:hAnsi="Times New Roman"/>
          <w:sz w:val="22"/>
          <w:szCs w:val="22"/>
          <w:u w:val="single" w:color="auto"/>
          <w:color w:val="auto"/>
        </w:rPr>
        <w:t>Acceptable Work; No Liens; Project Costs</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1952"/>
        <w:spacing w:after="0" w:line="217" w:lineRule="auto"/>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on the Funded Projects that have achieved Substantial Completion has been completed other than work that has been taken into consideration in establishing the Remaining Costs. All work on the Projects has been completed or is otherwise in progress consistent with the Base Case Projections, as amended or modified from time to time in accordance with this Agreement. All work previously done on each Project has been performed, in all material respects, in accordance with the applicable Material Project Documents.</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Project Costs for the Funded Projects that have achieved Substantial Completion that were included in the Base Case Projections, as amended or modified from time to time in accordance with this Agreement, other than Remaining Costs shall have been paid for or, in the case of the Remaining Costs, reserved for in the applicable Construction Account in accordance with Section 3.1(b)(ii)(B) of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2" w:name="page103"/>
    <w:bookmarkEnd w:id="102"/>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(af)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All of the insurance required to be in place in respect of each Project under the Operative Documents (including with respect to the operational phase of each Project) shall be in full force and effect in accordance with the terms of this Agreement, and the Administrative Agent shall have received a certificate from Insurance Consultant, in substantially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(ag) </w:t>
      </w:r>
      <w:r>
        <w:rPr>
          <w:rFonts w:ascii="Times New Roman" w:cs="Times New Roman" w:eastAsia="Times New Roman" w:hAnsi="Times New Roman"/>
          <w:sz w:val="22"/>
          <w:szCs w:val="22"/>
          <w:u w:val="single" w:color="auto"/>
          <w:color w:val="auto"/>
        </w:rPr>
        <w:t>Lien Releases</w:t>
      </w:r>
      <w:r>
        <w:rPr>
          <w:rFonts w:ascii="Times New Roman" w:cs="Times New Roman" w:eastAsia="Times New Roman" w:hAnsi="Times New Roman"/>
          <w:sz w:val="22"/>
          <w:szCs w:val="22"/>
          <w:color w:val="auto"/>
        </w:rPr>
        <w:t>. The Obligors shall have delivered, or caused each other Project Company for a Funded Project that has achieved Substantial Completion to deliver, to the Administrative Agent duly executed lien releases or waivers from each supplier or each subcontractor under the EPC Contract to the extent the aggregate contract price under any contract entered into with such supplier or subcontractor exceeds $250,000 for any interim payment or $250,000 for any final payment, and EPC Contractor and, to the extent required to be delivered by the applicable counterparty pursuant to the terms of the applicable Material Project Document, from each such subcontractor or supplier under any Material Project Document providing for construction services on, or delivery of, any equipment or materials to, any Real Property (other than any such subcontractor or supplier that is not required to deliver such lien releases or waivers by the terms of the EPC Contract) in respect of all work completed as of the date of its current invoice (other than work in progress), which lien releases or waivers shall be substantially consistent with any relevant requirements of the applicable Material Project Document and in the form required pursuant to applicable Requirement of Law.</w:t>
      </w:r>
    </w:p>
    <w:p>
      <w:pPr>
        <w:spacing w:after="0" w:line="4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(ah) </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The Borrower shall have delivered to the Administrative Agent and the Administrative Agent shall have approved (not to be unreasonably withheld), in consultation with the Independent Engineer, a proposed annual operating plan and budget, detailed by month, of anticipated revenues and anticipated expenditures under all applicable waterfall levels set forth in Article III of the Depositary Agreement (an “</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which shall cover all Funded Projects for the period from the Term Conversion Date through the first full calendar year after the Term Conversion Date.</w:t>
      </w:r>
    </w:p>
    <w:p>
      <w:pPr>
        <w:spacing w:after="0" w:line="4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(ai) </w:t>
      </w:r>
      <w:r>
        <w:rPr>
          <w:rFonts w:ascii="Times New Roman" w:cs="Times New Roman" w:eastAsia="Times New Roman" w:hAnsi="Times New Roman"/>
          <w:sz w:val="22"/>
          <w:szCs w:val="22"/>
          <w:u w:val="single" w:color="auto"/>
          <w:color w:val="auto"/>
        </w:rPr>
        <w:t>Debt Service Reserve Account</w:t>
      </w:r>
      <w:r>
        <w:rPr>
          <w:rFonts w:ascii="Times New Roman" w:cs="Times New Roman" w:eastAsia="Times New Roman" w:hAnsi="Times New Roman"/>
          <w:sz w:val="22"/>
          <w:szCs w:val="22"/>
          <w:color w:val="auto"/>
        </w:rPr>
        <w:t>. The Borrower shall have funded or shall fund on the Term Conversion Date the Debt Service Reserve Account in cash or through issuance of DSR Letters of Credit in an amount equal to the DSR Required Balance on such date.</w:t>
      </w:r>
    </w:p>
    <w:p>
      <w:pPr>
        <w:spacing w:after="0" w:line="45"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(aj) </w:t>
      </w:r>
      <w:r>
        <w:rPr>
          <w:rFonts w:ascii="Times New Roman" w:cs="Times New Roman" w:eastAsia="Times New Roman" w:hAnsi="Times New Roman"/>
          <w:sz w:val="22"/>
          <w:szCs w:val="22"/>
          <w:u w:val="single" w:color="auto"/>
          <w:color w:val="auto"/>
        </w:rPr>
        <w:t>Required Documentation</w:t>
      </w:r>
      <w:r>
        <w:rPr>
          <w:rFonts w:ascii="Times New Roman" w:cs="Times New Roman" w:eastAsia="Times New Roman" w:hAnsi="Times New Roman"/>
          <w:sz w:val="22"/>
          <w:szCs w:val="22"/>
          <w:color w:val="auto"/>
        </w:rPr>
        <w:t>. The Administrative Agent shall have received on or prior to the Term Conversion Date a copy of each Material Project Document executed after the Closing Date (certified by a Responsible Officer of the Borrower that such Material Project Documents previously delivered to the Administrative Agent by the Borrower are true, correct and in full force and effect), in each case if and to the extent that a copy thereof has not previously been delivered to the Administrative Agent.</w:t>
      </w:r>
    </w:p>
    <w:p>
      <w:pPr>
        <w:spacing w:after="0" w:line="4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(ak)</w:t>
      </w:r>
      <w:r>
        <w:rPr>
          <w:sz w:val="20"/>
          <w:szCs w:val="20"/>
          <w:color w:val="auto"/>
        </w:rPr>
        <w:tab/>
      </w:r>
      <w:r>
        <w:rPr>
          <w:rFonts w:ascii="Times New Roman" w:cs="Times New Roman" w:eastAsia="Times New Roman" w:hAnsi="Times New Roman"/>
          <w:sz w:val="22"/>
          <w:szCs w:val="22"/>
          <w:u w:val="single" w:color="auto"/>
          <w:color w:val="auto"/>
        </w:rPr>
        <w:t>Term Conversion Date Withdrawals</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1952"/>
        <w:spacing w:after="0" w:line="220" w:lineRule="auto"/>
        <w:tabs>
          <w:tab w:leader="none" w:pos="25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at least ten (10) Business Days prior to the proposed Term Conversion Date, the Borrower’s reasonably detailed calculations of the amount of the Final Drawing and the payments and transfers to be applied pursuant to Section 3.1(b)(ii) of the Depositary Agreement, in each case, in form and substance reasonably satisfactory to Administrative Agent, acting in consultation with the Independent Engineer.</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 Conversion Date immediately prior to Term Conversion, Borrower shall draw Term Loans, up to the remaining Commitment (such drawing, the “</w:t>
      </w:r>
      <w:r>
        <w:rPr>
          <w:rFonts w:ascii="Times New Roman" w:cs="Times New Roman" w:eastAsia="Times New Roman" w:hAnsi="Times New Roman"/>
          <w:sz w:val="22"/>
          <w:szCs w:val="22"/>
          <w:u w:val="single" w:color="auto"/>
          <w:color w:val="auto"/>
        </w:rPr>
        <w:t>Final Drawing</w:t>
      </w:r>
      <w:r>
        <w:rPr>
          <w:rFonts w:ascii="Times New Roman" w:cs="Times New Roman" w:eastAsia="Times New Roman" w:hAnsi="Times New Roman"/>
          <w:sz w:val="22"/>
          <w:szCs w:val="22"/>
          <w:color w:val="auto"/>
        </w:rPr>
        <w:t>”) in an aggregate amount up to (A) the sum of all Allocated Term Loan Commitments for the Initial Projects and the Additional Projects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sum does not exceed the Total Term Loan Commitment then in effect)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all Term Loans previously made by the Lenders (whether or not prepaid or repaid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3" w:name="page104"/>
    <w:bookmarkEnd w:id="103"/>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(al) </w:t>
      </w: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 All Applicable Permits required to have been obtained by the Obligors or any other Project Company by the Term Conversion Date (i) have been duly obtained, (ii) are in full force and effect, (iii) have had any applicable appeal period elapse without request for any appeal or such appeal has been denied or resolved with finality, (iv) are held in the name of the applicable Obligor or Subsidiary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any Project being operated in a manner inconsistent in any material respect with the Base Case Projections other than any inconsistency that could reasonably be expected to result in (x) gains to the Borrower or (y) losses, costs or expenses to Borrower that are not material.</w:t>
      </w:r>
    </w:p>
    <w:p>
      <w:pPr>
        <w:spacing w:after="0" w:line="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(am) </w:t>
      </w:r>
      <w:r>
        <w:rPr>
          <w:rFonts w:ascii="Times New Roman" w:cs="Times New Roman" w:eastAsia="Times New Roman" w:hAnsi="Times New Roman"/>
          <w:sz w:val="22"/>
          <w:szCs w:val="22"/>
          <w:u w:val="single" w:color="auto"/>
          <w:color w:val="auto"/>
        </w:rPr>
        <w:t>Casualty Event and Event of Eminent Domain</w:t>
      </w:r>
      <w:r>
        <w:rPr>
          <w:rFonts w:ascii="Times New Roman" w:cs="Times New Roman" w:eastAsia="Times New Roman" w:hAnsi="Times New Roman"/>
          <w:sz w:val="22"/>
          <w:szCs w:val="22"/>
          <w:color w:val="auto"/>
        </w:rPr>
        <w:t>. No Casualty Event, Event of Eminent Domain or Title Event (each as defined in the Depositary Agreement) shall have occurred and not been resolved or corrected pursuant to a completed Restoration Action (as defined in the Depositary Agreement) in accordance with the Depositary Agreement to the extent that such Casualty Event, Event of Eminent Domain or Title Event could reasonably be expected to have an impact on any Funded Project of more than $250,000 or prevent any Funded Project from operating in all material respects in a safe and reliable manner or in accordance in all material respects with the requirements of the Project Documents.</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5</w:t>
      </w:r>
    </w:p>
    <w:p>
      <w:pPr>
        <w:ind w:left="4220"/>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Each Obligor hereby covenants and agrees that until the termination in full of the Commitments and the payment in full of the Obligations (other than contingent amounts not yet due), unless the Required Lenders shall otherwise consent in writing:</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Existence, Properties</w:t>
      </w:r>
      <w:r>
        <w:rPr>
          <w:rFonts w:ascii="Times New Roman" w:cs="Times New Roman" w:eastAsia="Times New Roman" w:hAnsi="Times New Roman"/>
          <w:sz w:val="22"/>
          <w:szCs w:val="22"/>
          <w:color w:val="auto"/>
        </w:rPr>
        <w:t xml:space="preserve">. Except to the extent otherwise permitted by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each Obligor shall, and shall cause each other Project Company to, do or cause to be done all things necessary to:</w:t>
      </w:r>
    </w:p>
    <w:p>
      <w:pPr>
        <w:spacing w:after="0" w:line="137" w:lineRule="exact"/>
        <w:rPr>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and keep in full force and effect the Parent’s, each Obligor’s and each other Project Company’s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existence;</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the Parent, each Obligor and each other Project Company remains or becomes a corporation, limited liability company or limited partnership, as the case may be, qualified to engage in business and in good standing in all jurisdictions in which the character of its properties or the transaction of its business make such qualification necessary;</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preserve and protect all permits, rights and privileges necessary for the proper conduct of each Obligor’s and each other Project Company’s business and all franchises, licenses, patents, trade names, trademarks and copyrights owned by or licensed to it that are necessary or desirable in the normal conduct of such Obligor’s or other Project Company’s business;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the property used or useful in the conduct of any Obligor’s or other Project Company’s business is maintained and kept in good repair, working order and condition, and from time to time take all reasonable action to make, or cause to be made, all needful and proper repairs, renewals, replacements, betterments and improvements thereto so that, in the reasonable judgment of the Borrower, the business carried on in connection therewith may be properly and advantageously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4" w:name="page105"/>
    <w:bookmarkEnd w:id="104"/>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Payment of Indebtedness, Taxes</w:t>
      </w:r>
      <w:r>
        <w:rPr>
          <w:rFonts w:ascii="Times New Roman" w:cs="Times New Roman" w:eastAsia="Times New Roman" w:hAnsi="Times New Roman"/>
          <w:sz w:val="22"/>
          <w:szCs w:val="22"/>
          <w:color w:val="auto"/>
        </w:rPr>
        <w:t xml:space="preserve">. The Borrower shall pay, and shall cause each Obligor and other Project Company to pay, all of its Indebtedness and obligations in accordance with normal terms and trade practices and shall pay and discharge or cause to be paid or discharged all Taxes imposed upon any Obligor or other Project Company or upon any Obligor’s or other Project Company’s income and profits or upon any Obligor’s or other Project Company’s property, real, personal or mixed, or upon any part thereof, before the date on which penalties attach thereto, as well as all lawful claims for labor, materials and supplies or otherwise which, if unpaid, might become a lien or charge upon such properties or any part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Borrower shall not be required to pay and discharge, or cause any Obligor or other Project Company to pay or discharge, any such Indebtedness, obligation or Tax so long as it is Properly Contested. For purposes of this Agreement, any debt or obligation of, any tax, assessment, charge, levy or claim against, and any litigation or other legal proceeding involving, any Person shall be deemed to be “</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only if (a) it shall be contested diligently and in good faith by appropriate proceedings, (b) such Person shall have assigned on its books adequate reserves with respect to any such debt, obligation or Tax so contested, and (c) no material portion of such Person’s assets shall be subject to encumbrance, loss or forfeiture by reason of such contest.</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Financial Statements, Reports, Etc.</w:t>
      </w:r>
      <w:r>
        <w:rPr>
          <w:rFonts w:ascii="Times New Roman" w:cs="Times New Roman" w:eastAsia="Times New Roman" w:hAnsi="Times New Roman"/>
          <w:sz w:val="22"/>
          <w:szCs w:val="22"/>
          <w:color w:val="auto"/>
        </w:rPr>
        <w:t xml:space="preserve"> The Borrower shall furnish to the Administrative Agent (in reasonable detail satisfactory to the Administrative Agent):</w:t>
      </w:r>
    </w:p>
    <w:p>
      <w:pPr>
        <w:spacing w:after="0" w:line="150" w:lineRule="exact"/>
        <w:rPr>
          <w:sz w:val="20"/>
          <w:szCs w:val="20"/>
          <w:color w:val="auto"/>
        </w:rPr>
      </w:pPr>
    </w:p>
    <w:p>
      <w:pPr>
        <w:jc w:val="both"/>
        <w:ind w:firstLine="1304"/>
        <w:spacing w:after="0" w:line="209" w:lineRule="auto"/>
        <w:tabs>
          <w:tab w:leader="none" w:pos="194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one hundred twenty (120) days (or, in the case of the fiscal year ending December 31, 2022, one hundred fifty (150) days) after the close of each fiscal year of the Borrower (commencing with the fiscal year ending December 31, 2022), the Consolidated balance sheet of the Borrower and its Subsidiaries as of the close of such fiscal year and the related Consolidated statements of income, members’ equity and cash flows for such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fiscal year ending December 31, 2022, such related Consolidated statements of income, members’ equity and cash flows shall be prepared for the stub year commencing the Closing Date and ending December 31, 2022), such Consolidated financial statements to be audited by, and accompanied by a report of, a firm of independent certified public accountants reasonably acceptable to the Administrative Agent, to the effect that such Consolidated financial statements have been prepared in conformity with GAAP consistently applied, which audit and accompanying report shall not contain any qualification or exception, together with a certificate of such accountants stating that, in connection with their audit of the Borrower and its Subsidiaries they have reviewed the provisions of this Agreement and that nothing has come to their attention to lead them to believe that any Event of Default hereunder exists or, if such is not the case, specifying such Event of Default and the nature thereof (it being understood that the examination of such accountants cannot be relied upon to give them knowledge of any Event of Default except as it relates to accounting or auditing matters);</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sixty (60) days after the end of each fiscal quarter of the Borrower (including the fourth fiscal quarter of each year), the Consolidated balance sheet of the Borrower and its Subsidiaries as of the last day of such fiscal quarter and the related Consolidated statements of income, members’ equity and cash flows for such fiscal quarter, all prepared internally in reasonable detail satisfactory to the Administrative Agent in accordance with GAAP consistently applied (subject to the absence of footnotes and year-end audit adjustments);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financial statements specified in clause (b) of this Section, a certificate duly executed by a Responsible Officer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(a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(i) certifying that no Default or Event of Default has occurred and is continuing as of the date of delivery of such certificate, or if a Default or Event of Default is continuing, stating the nature thereof in reasonable detail and any action taken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5" w:name="page106"/>
    <w:bookmarkEnd w:id="105"/>
    <w:p>
      <w:pPr>
        <w:spacing w:after="0" w:line="236" w:lineRule="auto"/>
        <w:rPr>
          <w:sz w:val="20"/>
          <w:szCs w:val="20"/>
          <w:color w:val="auto"/>
        </w:rPr>
      </w:pPr>
      <w:r>
        <w:rPr>
          <w:rFonts w:ascii="Times New Roman" w:cs="Times New Roman" w:eastAsia="Times New Roman" w:hAnsi="Times New Roman"/>
          <w:sz w:val="22"/>
          <w:szCs w:val="22"/>
          <w:color w:val="auto"/>
        </w:rPr>
        <w:t xml:space="preserve">proposed to be taken with respect thereto and (ii) on or after the Term Conversion Date, submitting calculations showing compliance with the financial covenant set forth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for the fiscal period covered by such financial statements;</w:t>
      </w:r>
    </w:p>
    <w:p>
      <w:pPr>
        <w:spacing w:after="0" w:line="150" w:lineRule="exact"/>
        <w:rPr>
          <w:sz w:val="20"/>
          <w:szCs w:val="20"/>
          <w:color w:val="auto"/>
        </w:rPr>
      </w:pPr>
    </w:p>
    <w:p>
      <w:pPr>
        <w:jc w:val="both"/>
        <w:ind w:firstLine="1304"/>
        <w:spacing w:after="0" w:line="210" w:lineRule="auto"/>
        <w:tabs>
          <w:tab w:leader="none" w:pos="193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commencing with the second calendar year to begin following the Term Conversion Date, as soon as available, but in any event no later than thirtieth (30th) day of each calendar year, a proposed updated Annual Operating Budget covering all Funded Projects with respect to such calendar year for the review and approval (not to be unreasonably withheld) by the Administrative Agent (in consultation with the Independent Engineer). Except with respect to the initial Annual Operating Budget delivered to the Administrative Agent and approved pursuant to </w:t>
      </w:r>
      <w:r>
        <w:rPr>
          <w:rFonts w:ascii="Times New Roman" w:cs="Times New Roman" w:eastAsia="Times New Roman" w:hAnsi="Times New Roman"/>
          <w:sz w:val="22"/>
          <w:szCs w:val="22"/>
          <w:u w:val="single" w:color="auto"/>
          <w:color w:val="auto"/>
        </w:rPr>
        <w:t>Section 4.7(f)</w:t>
      </w:r>
      <w:r>
        <w:rPr>
          <w:rFonts w:ascii="Times New Roman" w:cs="Times New Roman" w:eastAsia="Times New Roman" w:hAnsi="Times New Roman"/>
          <w:sz w:val="22"/>
          <w:szCs w:val="22"/>
          <w:color w:val="auto"/>
        </w:rPr>
        <w:t>, in the event that, pursuant to the immediately preceding sentence, the Annual Operating Budget is not approved by the Administrative Agent (in consultation with the Independent Engineer) or the Borrower has not submitted a proposed Annual Operating Budget in accordance with the terms and conditions herein, an operating budget including 110% of the relevant costs set forth in the Annual Operating Budget for the immediately preceding calendar year shall apply until the Annual Operating Budget for the then current fiscal year is approved. Copies of each final Annual Operating Budget adopted shall be furnished to the Independent Engineer and Administrative Agent promptly upon its adoption.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sixty (60) days after the end of each of the first three (3) fiscal quarters of the Borrower,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audited annual financial statements specified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are available, copies of all annual, regular, periodic and special reports and registration statements which the Borrower (or any parent thereof, including Opal Fuels)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Funded Project prior to Substantial Completion thereof, as soon as available but in any event no later than forty five (45) days after the end of each fiscal quarter of the Borrower, a progress report describing in reasonable detail</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26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status of construction of such Funded Project, (ii) the estimated date of Substantial Completion and Final Completion for such Funded Project, (iii) any material disputes, performance guarantees or warranty claims related to or against such Funded Project or the applicable Project Company and (iv) such other matters reasonably requested by the Administrative Agent;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Funded Project after Substantial Completion thereof, as soon as available but in any event no later than forty-five (45) days after the end of each fiscal quarter of the Borrower, a summary operating report for such Funded Project, in form and detail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6" w:name="page107"/>
    <w:bookmarkEnd w:id="106"/>
    <w:p>
      <w:pPr>
        <w:jc w:val="both"/>
        <w:ind w:firstLine="1304"/>
        <w:spacing w:after="0" w:line="225" w:lineRule="auto"/>
        <w:tabs>
          <w:tab w:leader="none" w:pos="19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Funded Project, no later than ten (10) days after the end of each calendar month, copies of all material progress schedules and reports provided during the preceding calendar month to the Borrower or any Project Company under each EPC Contract for each Funded Project;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reasonable promptness, such information regarding insurance as is required by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reasonable promptness, an updated forward curve of projected RIN prices from ICF Resources L.L.C., showing projected RIN prices sufficient for the Projects, provided to the Borrower or any Project Company; and</w:t>
      </w:r>
    </w:p>
    <w:p>
      <w:pPr>
        <w:spacing w:after="0" w:line="150"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reasonable promptness, such other information regarding a Obligor as the Administrative Agent may reasonably request (including Borrower’s then-current estimate of the Hedge Termination Value for each Hedge Agreement entered into by the Borrower pursuant to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5.3(b)</w:t>
      </w:r>
      <w:r>
        <w:rPr>
          <w:rFonts w:ascii="Times New Roman" w:cs="Times New Roman" w:eastAsia="Times New Roman" w:hAnsi="Times New Roman"/>
          <w:sz w:val="22"/>
          <w:szCs w:val="22"/>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(as updated from time to time);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Borrower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telecopier or electronic mail) of the posting of any such documents and provide to the Administrative Agent by electronic mail electronic versions (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The Borrower shall furnish to the Administrative Agent, promptly upon acquiring or giving notice, or obtaining knowledge thereof, written notice of:</w:t>
      </w:r>
    </w:p>
    <w:p>
      <w:pPr>
        <w:spacing w:after="0" w:line="150" w:lineRule="exact"/>
        <w:rPr>
          <w:sz w:val="20"/>
          <w:szCs w:val="20"/>
          <w:color w:val="auto"/>
        </w:rPr>
      </w:pPr>
    </w:p>
    <w:p>
      <w:pPr>
        <w:jc w:val="both"/>
        <w:ind w:firstLine="1304"/>
        <w:spacing w:after="0" w:line="225"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which constitutes a Default or Event of Default hereunder, promptly (and in any event within three (3) Business Days) after any senior officer of the Borrower becomes aware that such event constitutes a Default or Event of Default;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any action or proceeding involving or affecting any Obligor or any other Project Company or any Obligor’s or any other Project Companies’ properties or assets, an adverse determination of which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 default or event of default under any Applicable Permit or Material Project Document, which could reasonably be expected to have a Material Adverse Effect, (ii) termination or nonrenewal of any Applicable Permit or Material Project Document, or receipt by any Obligor of any notice of termination or nonrenewal of any Applicable Permit or Material Project Document to which it is a party, which could reasonably be expected to have a Material Adverse Effect, (iii) material modification to any Applicable Permit or Material Project Document (together with a copy thereof), (iv) Additional Project Document (together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7" w:name="page108"/>
    <w:bookmarkEnd w:id="107"/>
    <w:p>
      <w:pPr>
        <w:spacing w:after="0" w:line="236" w:lineRule="auto"/>
        <w:rPr>
          <w:sz w:val="20"/>
          <w:szCs w:val="20"/>
          <w:color w:val="auto"/>
        </w:rPr>
      </w:pPr>
      <w:r>
        <w:rPr>
          <w:rFonts w:ascii="Times New Roman" w:cs="Times New Roman" w:eastAsia="Times New Roman" w:hAnsi="Times New Roman"/>
          <w:sz w:val="22"/>
          <w:szCs w:val="22"/>
          <w:color w:val="auto"/>
        </w:rPr>
        <w:t>copy thereof), and (v) event of force majeure asserted in writing under any Material Project Document (together with any related information and supporting documentation reasonably requested by the Administrative Agent);</w:t>
      </w:r>
    </w:p>
    <w:p>
      <w:pPr>
        <w:spacing w:after="0" w:line="150" w:lineRule="exact"/>
        <w:rPr>
          <w:sz w:val="20"/>
          <w:szCs w:val="20"/>
          <w:color w:val="auto"/>
        </w:rPr>
      </w:pPr>
    </w:p>
    <w:p>
      <w:pPr>
        <w:jc w:val="both"/>
        <w:ind w:firstLine="1304"/>
        <w:spacing w:after="0" w:line="225" w:lineRule="auto"/>
        <w:tabs>
          <w:tab w:leader="none" w:pos="193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investigation or proceeding which may exist at any time between any Obligor or any other Project Company and any Governmental Authority, and which, of not cured or if adversely determined, as the case may be,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of the following events which could reasonably be expected to have a Material Adverse Effect: (i) any Reportable Event with respect to any Single Employer Plan (ii) the creation of any Lien in favor of the PBGC or a Plan or any withdrawal from, or the termination, Reorganization or insolvency (within the meaning of Section 4245 of ERISA) of, any Multiemployer Plan; (iii) the institution of proceedings or the taking of any other action by the PBGC or any Obligor or any Commonly Controlled Entity or any Multiemployer Plan with respect to the withdrawal from, or the termination, Reorganization or insolvency (within the meaning of Section 4245 of ERISA) of, any Single Employer or Multiemployer Plan;</w:t>
      </w:r>
    </w:p>
    <w:p>
      <w:pPr>
        <w:spacing w:after="0" w:line="3" w:lineRule="exact"/>
        <w:rPr>
          <w:rFonts w:ascii="Times New Roman" w:cs="Times New Roman" w:eastAsia="Times New Roman" w:hAnsi="Times New Roman"/>
          <w:sz w:val="21"/>
          <w:szCs w:val="21"/>
          <w:color w:val="auto"/>
        </w:rPr>
      </w:pPr>
    </w:p>
    <w:p>
      <w:pPr>
        <w:jc w:val="both"/>
        <w:ind w:firstLine="8"/>
        <w:spacing w:after="0" w:line="218" w:lineRule="auto"/>
        <w:tabs>
          <w:tab w:leader="none" w:pos="39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or expected occurrence of any event or condition under which any Obligor or any Commonly Controlled Entity has incurred or could incur any liability in respect of a Former Plan, or (v) the occurrence of a Reportable Compliance Event;</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change in the business, operations, property or condition (financial or otherwise) of any Obligor or any other Project Company;</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Release of any Hazardous Substances, including any Release required to be reported under Environmental Laws to any Governmental Authority; (ii) any condition, circumstance, occurrence or event that could result in Environmental Costs or could result in the imposition of any lien or other restriction on the title, ownership or transferability of any of the Projects; and (iii) any violation of, or liability under applicable Environmental Laws, which, in case of the preceding clauses (i), (ii) and (iii),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by any Obligor or any other Project Company of any new collective bargaining agreement or other labor contract, the recognition of any union or other labor organization as bargaining representative for a bargaining unit of employees of any Obligor or any other Project Company, any pending or threatened strike, work stoppage, material unfair labor practice claim or charge, arbitration or other material labor dispute against or affecting any Obligor or any other Project Company and any actions, suits, charges, demands, claims, counterclaims or proceedings pending or, to the knowledge of the Borrower, threatened against any Obligor or any other Project Company by or on behalf of, or with, its employees, other than employee grievances arising in the ordinary course of business which are not, in the aggregate, material;</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written notice from any Governmental Authority (i) initiating or threatening the commencement of a proceeding or investigation against any Obligor or any of its Subsidiaries or (ii) alleging a violation of the regulations of any Governmental Authority, which, in case of the preceding clauses (i) and (ii),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early cancellation, suspension or material change in the terms, coverage or amounts of any insurance described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8" w:name="page109"/>
    <w:bookmarkEnd w:id="108"/>
    <w:p>
      <w:pPr>
        <w:ind w:firstLine="1304"/>
        <w:spacing w:after="0" w:line="236"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information provided in a Beneficial Ownership Certification that would result in a change to the list of beneficial owners identified in such Beneficial Ownership Certification.</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Not Used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Books and Records; Inspection; Audits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7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and shall cause each Obligor and other Project Company to, maintain proper books and records with respect to the operation of its business in accordance with GAAP consistently applied; the Borrower shall, and shall cause each Obligor and other Project Company to, permit authorized representatives of the Administrative Agent to visit and inspect from time to time upon reasonable written notice during business hours (or at any time after the occurrence and during the continuance of an Event of Default hereunder) any of the offices and other facilities of the Borrower or such Obligor or other Project Company to examine the books and records of the Borrower or such Obligor or other Project Company and make copies or extracts therefrom, to examine the inventory and other assets of the Borrower or such Obligor or other Project Company, to conduct field examinations and collateral audits with respect to the assets of the Borrower or such Obligor or other Project Company, and to discuss the affairs, inventory and accounts of the Borrower or such Obligor or other Project Company with its officers and accountants;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inspections, field examinations or audits shall not unreasonably interfere with business operations.</w:t>
      </w:r>
    </w:p>
    <w:p>
      <w:pPr>
        <w:spacing w:after="0" w:line="15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Funded Project, the Borrower and the applicable Project Company shall, at the Borrower’s expense, permit the Independent Engineer to, not more than once each calendar quarter (unless an Event of Default shall have occurred and be continuing), visit the applicable Site and, prior to Substantial Completion of each such Funded Project, provide a report on the status of construction.</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Borrower shall (a) keep, and shall cause each Obligor and other Project Company to keep, its assets that are of an insurable character insured by financially sound and reputable insurers against loss or damage by fire, explosion, and other hazards insured against by extended coverage in amounts sufficient to prevent it from becoming a co-insurer (other than maintaining reasonable deductibles), and (b) maintain, and shall cause each Obligor and other Project Company to maintain, with financially sound and reputable insurers reasonably satisfactory to the Administrative Agent in consultation with the Insurance Consultant, insurance against hazards, risks and liability to persons and property and otherwise to the extent and in the manner customary for companies in similar business similarly situated, including all insurance coverage specified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H-1</w:t>
      </w:r>
      <w:r>
        <w:rPr>
          <w:rFonts w:ascii="Times New Roman" w:cs="Times New Roman" w:eastAsia="Times New Roman" w:hAnsi="Times New Roman"/>
          <w:sz w:val="22"/>
          <w:szCs w:val="22"/>
          <w:color w:val="auto"/>
        </w:rPr>
        <w:t xml:space="preserve"> (as may be updated from time to time with the consent of the Borrower and the Administrative Agent), in the amounts and, in all material respects, on the terms and conditions specified therein, and (c) promptly upon request by the Administrative Agent, provide such other information regarding the insurance maintained by any Obligor or other Project Company as the Administrative Agent may reasonably require.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Compliance with Laws Generally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Obligor and other Project Company to, observe and comply in all material respects with all Requirements of Law which now or at any time hereafter may be applicable to the Borrower or such Obligor or other Project Company (including all applicable provisions of ERISA and the Code). Notwithstanding the foregoing, the Borrower shall, and shall cause each Obligor and other Project Company, to comply at all times with all applicable Anti-Corruption Laws, Sanctions, and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09" w:name="page110"/>
    <w:bookmarkEnd w:id="109"/>
    <w:p>
      <w:pPr>
        <w:jc w:val="both"/>
        <w:ind w:firstLine="1304"/>
        <w:spacing w:after="0" w:line="225"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Obligor and other Project Company to maintain policies and procedures adequate to prevent any violations of applicable Anti-Corruption Laws, Sanctions, and Anti-Money Laundering Laws.</w:t>
      </w:r>
    </w:p>
    <w:p>
      <w:pPr>
        <w:spacing w:after="0" w:line="15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Except as could not reasonably be expected to have a Material Adverse Effect, the Borrower shall, and shall cause each Obligor and other Project Company, to, (a) comply with, and use all reasonable efforts to ensure compliance by its agents, invitees, and vendors with, all applicable Environmental Laws and obtain and comply with and maintain and use all reasonable efforts to ensure that all agents, invitees, and vendors obtain, comply with and maintain, any and all Permits required by applicable Environmental Laws, (b) conduct and complete all investigations, studies, sampling and testing, and all remedial, removal and other similar actions required of it under Environmental Laws and promptly comply with all orders and directives of all Governmental Authorities regarding Environmental Laws, (c) conduct its operations in a manner that will not Release, threaten to Release, or expose any property or Person to any Hazardous Substances; and (d) establish and implement such procedures as may be necessary to ensure that the foregoing obligations are timely and fully satisfied.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apply the proceeds of the Term Loans solely (i) to pay Project Costs in accordance with the Construction Budget, (ii) to reimburse for Project Costs initially funded with the proceeds of equity contributions in excess of the Required Equity Contributions in accordance with the Construction Budget, and (iii) to pay all or a portion of the withdrawals and transfers specified in Section 3.1(b)(ii) and (b)(iii) of the Depositary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use the LC Facility from time to time during the applicable DSR Availability Period (i) to request the issuance of DSR Letters of Credit to satisfy the DSR Required Balance and (ii) for other general business purposes not prohibited by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use the proceeds of the DSR Loans solely to satisfy the DSR Required Balance by depositing any Borrowings of DSR Loans into the Debt Service Reserve Account;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applied by the Administrative Agent or the Collateral Agent pursuant to the terms of this Agreement or the other Loan Documents, the Borrower shall apply all Project Revenues, equity contributions, Loan proceeds, Insurance Proceeds, Eminent Domain Proceeds, Loss Proceeds (including with respect to a Total Loss (as defined in the Depositary Agreement), Title Event Proceeds (as defined in the Depositary Agreement), any other damages payments and Hedge Breaking Fees) solely for the purpose, and in the order and manner, provided for in the Depositary Agreement.</w:t>
      </w:r>
    </w:p>
    <w:p>
      <w:pPr>
        <w:spacing w:after="0" w:line="15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Maintenance of Depositary Accounts</w:t>
      </w:r>
      <w:r>
        <w:rPr>
          <w:rFonts w:ascii="Times New Roman" w:cs="Times New Roman" w:eastAsia="Times New Roman" w:hAnsi="Times New Roman"/>
          <w:sz w:val="22"/>
          <w:szCs w:val="22"/>
          <w:color w:val="auto"/>
        </w:rPr>
        <w:t>. The Borrower shall maintain each Depositary Account to the extent required under the Depositary Agreement or any other applicable provision of any Loan Document.</w:t>
      </w:r>
    </w:p>
    <w:p>
      <w:pPr>
        <w:spacing w:after="0" w:line="1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Interest Rate Secured Hedge Agreements</w:t>
      </w:r>
      <w:r>
        <w:rPr>
          <w:rFonts w:ascii="Times New Roman" w:cs="Times New Roman" w:eastAsia="Times New Roman" w:hAnsi="Times New Roman"/>
          <w:sz w:val="21"/>
          <w:szCs w:val="21"/>
          <w:color w:val="auto"/>
        </w:rPr>
        <w:t>. Beginning no later than the earlier of (a) August 15, 2022 and (b) fifteen</w:t>
      </w:r>
    </w:p>
    <w:p>
      <w:pPr>
        <w:jc w:val="both"/>
        <w:ind w:firstLine="8"/>
        <w:spacing w:after="0" w:line="214" w:lineRule="auto"/>
        <w:tabs>
          <w:tab w:leader="none" w:pos="41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Borrowing Date of the initial Term Loans hereunder, the Borrower shall obtain and maintain (unless replaced) Secured Hedge Agreements with one or more Hedge Banks covering a notional amount that shall equal at least 75% (but no more than 105%) of the principal balance of the Term Loans projected to be then outstanding (based on the Base Case Projections) as of each payment date occurring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0" w:name="page111"/>
    <w:bookmarkEnd w:id="110"/>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the Term Conversion Date (based on the Base Case Projections’ sizing case) until the stated Maturity Date. Each Secured Hedge Agreement shall be on substantially similar legal and economic terms such that (i) no Permitted Hedge Counterparty shall have the right to designate an early termination date (howsoever defined or described) under a Secured Hedge Agreement unless all Permitted Hedge Counterparties have the same right, (ii) the spread over the risk-free-rate and risk-free-rate itself in all Secured Hedge Agreements shall be the same and (iii) each Secured Hedge Agreement shall explicitly permit the novations and terminations contemplated by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Preservation of Rights and Security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39"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Funded Project Company to, preserve, protect and enforce its material rights under the Material Project Documents, including, where prudent and reasonable, prosecution of suits to enforce any of such rights thereunder and enforcement of any material claims with respect thereto.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time to time as reasonably requested by the Administrative Agent, the Borrower shall at its expense promptly execute, acknowledge and deliver such further documents and do such other acts and things as either Agent may reasonably request in order to effect fully the express purposes of the Loan Documents. In furtherance and not in limitation of this </w:t>
      </w:r>
      <w:r>
        <w:rPr>
          <w:rFonts w:ascii="Times New Roman" w:cs="Times New Roman" w:eastAsia="Times New Roman" w:hAnsi="Times New Roman"/>
          <w:sz w:val="21"/>
          <w:szCs w:val="21"/>
          <w:u w:val="single" w:color="auto"/>
          <w:color w:val="auto"/>
        </w:rPr>
        <w:t>Section 5.13(b)</w:t>
      </w:r>
      <w:r>
        <w:rPr>
          <w:rFonts w:ascii="Times New Roman" w:cs="Times New Roman" w:eastAsia="Times New Roman" w:hAnsi="Times New Roman"/>
          <w:sz w:val="21"/>
          <w:szCs w:val="21"/>
          <w:color w:val="auto"/>
        </w:rPr>
        <w:t>, the Borrower shall take such actions as the Administrative Agent or the Collateral Agent may reasonably request from time to time to ensure that the Obligations are secured as provided under the terms of this Agreement and the Security Documents, including (i) correcting any material defect or error that may be discovered in the execution, acknowledgment, filing or recordation of any Security Document or other document or instrument relating to any Collateral, and</w:t>
      </w:r>
    </w:p>
    <w:p>
      <w:pPr>
        <w:jc w:val="both"/>
        <w:ind w:firstLine="8"/>
        <w:spacing w:after="0" w:line="218" w:lineRule="auto"/>
        <w:tabs>
          <w:tab w:leader="none" w:pos="31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doing, executing, acknowledging, delivering, recording, filing and registering any and all such further acts, deeds, certificates, assurances and other instruments as the Administrative Agent or the Collateral Agent may reasonably request from time to time in order to carry out more effectively the purposes of any Security Document.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Construction, Performance Tests and Final Completion</w:t>
      </w:r>
      <w:r>
        <w:rPr>
          <w:rFonts w:ascii="Times New Roman" w:cs="Times New Roman" w:eastAsia="Times New Roman" w:hAnsi="Times New Roman"/>
          <w:sz w:val="21"/>
          <w:szCs w:val="21"/>
          <w:color w:val="auto"/>
        </w:rPr>
        <w:t>. For each Funded Project:</w:t>
      </w:r>
    </w:p>
    <w:p>
      <w:pPr>
        <w:spacing w:after="0" w:line="179" w:lineRule="exact"/>
        <w:rPr>
          <w:sz w:val="20"/>
          <w:szCs w:val="20"/>
          <w:color w:val="auto"/>
        </w:rPr>
      </w:pPr>
    </w:p>
    <w:p>
      <w:pPr>
        <w:jc w:val="both"/>
        <w:ind w:firstLine="1304"/>
        <w:spacing w:after="0" w:line="225" w:lineRule="auto"/>
        <w:tabs>
          <w:tab w:leader="none" w:pos="193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construct, or cause the construction of, such Funded Project in all material respects in accordance with the EPC Contracts and the approved plans and specifications thereunder, Prudent Industry Practices, Applicable Permits and applicable Requirements of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permit the Administrative Agent and the Independent Engineer to witness and verify the Performance Tests of each Funded Project to the extent reasonably requested by the Administrative Agent and the Independent Engineer. The Borrower shall give the Administrative Agent and the Independent Engineer notice regarding any proposed Performance Test promptly following the Borrower’s receipt of such notice (and, in any event, no less than five (5) Business Days prior to any Performance Test). The Borrower shall forward to the Administrative Agent and the Independent Engineer the procedures to be used in the conduct of the Performance Test in connection with such notice. If, upon completion of any Performance Test, the Borrower believes that such Performance Test has been satisfied, it shall so notify the Administrative Agent and the Independent Engineer and shall deliver a copy of all test results supporting such conclusion, accompanied by reasonable supporting data.</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use commercially reasonable efforts to cause Final Completion of each Funded Project under the applicable EPC Contract to be achieved prior to the “Guaranteed Final Completion Date” (as defined or as similarly defined in the EPC Contract) under such EPC Contract, as such date may be adjusted in accordance with such EPC Contract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1" w:name="page112"/>
    <w:bookmarkEnd w:id="111"/>
    <w:p>
      <w:pPr>
        <w:jc w:val="both"/>
        <w:ind w:firstLine="1304"/>
        <w:spacing w:after="0" w:line="213" w:lineRule="auto"/>
        <w:tabs>
          <w:tab w:leader="none" w:pos="193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cause each Funded Project to complete the “Design Parameter Test” and “Reliability Test” (as such terms are defined in the Prince William RNG Project and Emerald RNG Project EPC Contracts), and to achieve Final Completion under the applicable EPC Contract, in each case, by no later than the date that is forty-five (45) days after Substantial Completion of such Funded Project (as such date may be extended with the consent of the Administrative Agent (in consultation with the Independent Engineer). The Borrower shall permit Administrative Agent and the Independent Engineer to witness and verify, and shall take the other steps as provided for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with respect to the foregoing Design Parameter Test, and Reliability Test.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Operation and Maintenance of Projects; Annual Operating Budgets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construct, keep, operate and maintain the Projects, or cause the same to be constructed, kept, maintained and operated (ordinary wear and tear excepted), in a manner consistent in all material respects with this Agreement and Prudent Industry Practices, and make or cause to be made all repairs (structural and non-structural, extraordinary or ordinary) necessary to keep the Projects in such condition.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with the second full calendar year after the Term Conversion Date, O&amp;M Costs shall be made in accordance with the Annual Operating Budget for the applicable calendar year delivered pursuant to </w:t>
      </w:r>
      <w:r>
        <w:rPr>
          <w:rFonts w:ascii="Times New Roman" w:cs="Times New Roman" w:eastAsia="Times New Roman" w:hAnsi="Times New Roman"/>
          <w:sz w:val="21"/>
          <w:szCs w:val="21"/>
          <w:u w:val="single" w:color="auto"/>
          <w:color w:val="auto"/>
        </w:rPr>
        <w:t>Section 5.3(d)</w:t>
      </w:r>
      <w:r>
        <w:rPr>
          <w:rFonts w:ascii="Times New Roman" w:cs="Times New Roman" w:eastAsia="Times New Roman" w:hAnsi="Times New Roman"/>
          <w:sz w:val="21"/>
          <w:szCs w:val="21"/>
          <w:color w:val="auto"/>
        </w:rPr>
        <w:t xml:space="preserve"> (or, prior to the end of the first full calendar year after the Term Conversion Date, the Annual Operating Budget delivered pursuant to </w:t>
      </w:r>
      <w:r>
        <w:rPr>
          <w:rFonts w:ascii="Times New Roman" w:cs="Times New Roman" w:eastAsia="Times New Roman" w:hAnsi="Times New Roman"/>
          <w:sz w:val="21"/>
          <w:szCs w:val="21"/>
          <w:u w:val="single" w:color="auto"/>
          <w:color w:val="auto"/>
        </w:rPr>
        <w:t>Section 4.7(f)</w:t>
      </w:r>
      <w:r>
        <w:rPr>
          <w:rFonts w:ascii="Times New Roman" w:cs="Times New Roman" w:eastAsia="Times New Roman" w:hAnsi="Times New Roman"/>
          <w:sz w:val="21"/>
          <w:szCs w:val="21"/>
          <w:color w:val="auto"/>
        </w:rPr>
        <w:t xml:space="preserve">) except as set forth in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Borrower may from time to time adopt an amended Annual Operating Budget for the remainder of any calendar year to which the amended Annual Operating Budget applies, and such amended Annual Operating Budget shall be effective as the Annual Operating Budget for the remainder of such calendar year upon the consent of Administrative Agent (in consultation with the Independent Engineer) to such amendment. Notwithstanding the foregoing and without necessitating any such amendment, Borrower may exceed the aggregate annual O&amp;M Costs set forth in any Annual Operating Budget (including reasonable allowances for contingencies and working capital) by an amount not to exceed ten percent (10.0%) of the aggregate budgeted amount of fixed O&amp;M Costs for the applicable calendar year.</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FERC Jurisdiction</w:t>
      </w:r>
      <w:r>
        <w:rPr>
          <w:rFonts w:ascii="Times New Roman" w:cs="Times New Roman" w:eastAsia="Times New Roman" w:hAnsi="Times New Roman"/>
          <w:sz w:val="22"/>
          <w:szCs w:val="22"/>
          <w:color w:val="auto"/>
        </w:rPr>
        <w:t xml:space="preserve">. The Borrower shall, and shall cause each other Obligor and other Project Company to, take any actions necessary to avoid regulation of the Borrower or any other Obligor or other Project Company (a) as a “natural gas company” as defined in the NGA with respect to rates, terms and conditions of service, accounting and recordkeeping, or other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(x) a Project Company may be a “natural gas company” solely with respect to wholesale sales of natural gas eligible for the Blanket Marketing Certificate, and (y) the Borrower shall, and shall cause each other Obligor to, take any actions necessary to ensure that such Project Company remains in compliance with the requirements of the Blanket Marketing Certificate, and (b) under state laws or any regulations of any State Commission.</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Equator Principles</w:t>
      </w:r>
      <w:r>
        <w:rPr>
          <w:rFonts w:ascii="Times New Roman" w:cs="Times New Roman" w:eastAsia="Times New Roman" w:hAnsi="Times New Roman"/>
          <w:sz w:val="22"/>
          <w:szCs w:val="22"/>
          <w:color w:val="auto"/>
        </w:rPr>
        <w:t>. Borrower shall (a) comply in all material respects with the Equator Principles to the extent the Equator Principles apply to the Borrower and each Project and (b) supply such available information and confirmation by the Independent Engineer and take all actions reasonably requested by such Lenders as subscribing Equator Principles Financial Institution in connection with such Lenders’ reporting obligations under the Equator Principles, and Borrower hereby consents to reporting of each Project’s name and such other information as may be reasonably requested by such Lenders pursuant to Annex II of the Equator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2" w:name="page113"/>
    <w:bookmarkEnd w:id="112"/>
    <w:p>
      <w:pPr>
        <w:ind w:left="4980"/>
        <w:spacing w:after="0"/>
        <w:rPr>
          <w:sz w:val="20"/>
          <w:szCs w:val="20"/>
          <w:color w:val="auto"/>
        </w:rPr>
      </w:pPr>
      <w:r>
        <w:rPr>
          <w:rFonts w:ascii="Times New Roman" w:cs="Times New Roman" w:eastAsia="Times New Roman" w:hAnsi="Times New Roman"/>
          <w:sz w:val="22"/>
          <w:szCs w:val="22"/>
          <w:color w:val="auto"/>
        </w:rPr>
        <w:t>Article 6</w:t>
      </w:r>
    </w:p>
    <w:p>
      <w:pPr>
        <w:ind w:left="4400"/>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5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Each Obligor hereby covenants and agrees that until the termination in full of the Commitments and the payment in full of the Obligations (other than contingent amounts not yet due), unless the Required Lenders shall otherwise consent in writing:</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The Borrower shall not, and shall not permit any Obligor or other Project Company to, create, incur, assume or suffer to exist any Indebtedness at any time, except (collectively, “</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owing to the Lenders hereunder and under the other Loan Documents;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not yet due and payable;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endorsements for collection or deposit in the ordinary course of business;</w:t>
      </w:r>
    </w:p>
    <w:p>
      <w:pPr>
        <w:spacing w:after="0" w:line="179" w:lineRule="exact"/>
        <w:rPr>
          <w:sz w:val="20"/>
          <w:szCs w:val="20"/>
          <w:color w:val="auto"/>
        </w:rPr>
      </w:pPr>
    </w:p>
    <w:p>
      <w:pPr>
        <w:ind w:left="1960" w:hanging="656"/>
        <w:spacing w:after="0"/>
        <w:tabs>
          <w:tab w:leader="none" w:pos="19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to the extent constituting intercompany loans among the Obligors;</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(ab) Indebtedness with respect to surety bonds, appeal bonds, bid bonds, customs bonds or other obligations of like nature (including letters of credit) required in the ordinary course of business so long as the aggregate outstanding amount thereof at any time does not exceed $1,000,000;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(ac)</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Indebtedness with respect to performance bonds required in the ordinary course of business so long as the</w:t>
            </w:r>
          </w:p>
        </w:tc>
      </w:tr>
      <w:tr>
        <w:trPr>
          <w:trHeight w:val="282"/>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aggregate outstanding amount thereof at any time does not exceed $1,000,000;</w:t>
            </w:r>
          </w:p>
        </w:tc>
      </w:tr>
      <w:tr>
        <w:trPr>
          <w:trHeight w:val="366"/>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(ad)</w:t>
            </w:r>
          </w:p>
        </w:tc>
        <w:tc>
          <w:tcPr>
            <w:tcW w:w="94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customary  obligations  to  banks  in  respect  of  netting  services,  overdraft  protections  and  similar</w:t>
            </w:r>
          </w:p>
        </w:tc>
      </w:tr>
      <w:tr>
        <w:trPr>
          <w:trHeight w:val="282"/>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arrangements, in each case in connection with maintaining deposit accounts in the ordinary course of business;</w:t>
            </w:r>
          </w:p>
        </w:tc>
      </w:tr>
      <w:tr>
        <w:trPr>
          <w:trHeight w:val="379"/>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(ae)</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Indebtedness owing under Hedge Agreements that are permitted under Section 6.18;</w:t>
            </w:r>
          </w:p>
        </w:tc>
      </w:tr>
      <w:tr>
        <w:trPr>
          <w:trHeight w:val="20"/>
        </w:trPr>
        <w:tc>
          <w:tcPr>
            <w:tcW w:w="18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22"/>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(af)</w:t>
            </w:r>
          </w:p>
        </w:tc>
        <w:tc>
          <w:tcPr>
            <w:tcW w:w="94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Indebtedness in the form of any Hedge Agreements entered into in the ordinary course of business and</w:t>
            </w:r>
          </w:p>
        </w:tc>
      </w:tr>
    </w:tbl>
    <w:p>
      <w:pPr>
        <w:jc w:val="both"/>
        <w:spacing w:after="0" w:line="212" w:lineRule="auto"/>
        <w:rPr>
          <w:sz w:val="20"/>
          <w:szCs w:val="20"/>
          <w:color w:val="auto"/>
        </w:rPr>
      </w:pPr>
      <w:r>
        <w:rPr>
          <w:rFonts w:ascii="Times New Roman" w:cs="Times New Roman" w:eastAsia="Times New Roman" w:hAnsi="Times New Roman"/>
          <w:sz w:val="22"/>
          <w:szCs w:val="22"/>
          <w:color w:val="auto"/>
        </w:rPr>
        <w:t>providing protection to the Borrower and its Subsidiaries against fluctuations in RINs and other Environmental Credit values or other commodity prices in connection with the Borrower’s or any of its Subsidiaries’ operations, in each such case so long as (i) the entering into of such Hedge Agreements are bona fide hedging activities and are not for speculative purposes, (ii) the obligations under such Hedge Agreements are not secured by Liens on the Collateral or Liens on other assets or properties of a Project Company, and (iii) such Hedge Agreements are consistent with the Borrower’s then-current Risk Management Policy.</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(ag) so long as no Event of Default has occurred and is continuing or would result from the incurrence of such Indebtedness, any Obligor may incur additional Indebtedness in an aggregate amount for all such Indebtedness outstanding at any time pursuant to this </w:t>
      </w:r>
      <w:r>
        <w:rPr>
          <w:rFonts w:ascii="Times New Roman" w:cs="Times New Roman" w:eastAsia="Times New Roman" w:hAnsi="Times New Roman"/>
          <w:sz w:val="22"/>
          <w:szCs w:val="22"/>
          <w:u w:val="single" w:color="auto"/>
          <w:color w:val="auto"/>
        </w:rPr>
        <w:t>Section 6.1(j)</w:t>
      </w:r>
      <w:r>
        <w:rPr>
          <w:rFonts w:ascii="Times New Roman" w:cs="Times New Roman" w:eastAsia="Times New Roman" w:hAnsi="Times New Roman"/>
          <w:sz w:val="22"/>
          <w:szCs w:val="22"/>
          <w:color w:val="auto"/>
        </w:rPr>
        <w:t xml:space="preserve"> not to exceed $3,000,000;</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(ah) to the extent constituting Indebtedness, take-or-pay obligations contained in supply arrangements entered into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82" w:right="339" w:bottom="1440" w:gutter="0" w:footer="0" w:header="0"/>
        </w:sectPr>
      </w:pPr>
    </w:p>
    <w:bookmarkStart w:id="113" w:name="page114"/>
    <w:bookmarkEnd w:id="113"/>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(ai) Indebtedness of up to $50,000,000, in the form of incremental Commitments of the Lenders, to fund the construction of up to three Incremental Projects after the occurrence of the Incremental Satisfaction Date.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shall not, and shall not permit any Obligor or other Project Company to, create, incur, assume or suffer to exist any Lien of any kind upon any of its property or assets, whether now owned or hereafter acquired, except (collectively,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Collateral Agent securing the Obligations;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delinquent or being Properly Contested and for which adequate reserves have been established in accordance with GAAP;</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the rendition, entry or issuance against any Subsidiary or any Subsidiary’s property of any judgment, writ, order or decree, to the extent the rendition, entry, issuance or continued existence of such judgment, writ, order or decree (or any event or circumstance relating thereto) has not resulted in the occurrence of an Event of Default hereunder;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or pledges to secure obligations under workers’ compensation, social security or similar laws, or under unemployment insurance;</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workers’, carriers’, warehousemen’s, materialmen’s, suppliers’ or other like liens imposed by law or arising in the ordinary course of business with respect to obligations which are not due, which are bonded or discharged within thirty (30) days of the date of filing or which are being contested in good faith by appropriate proceedings and in respect of which, if applicable, an Obligor or other Project Company shall have set aside on its books reserves to the extent required in accordance with GAAP;</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or leases (other than Indebtedness), statutory obligations, surety bonds (other than bonds related to judgments or litigation), performance bonds and other obligations of a like nature, in each case incurred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building and other land use restrictions, easements, rights-of-way, covenants, restrictions and other similar encumbrances incurred in the ordinary course of business which do not in any case materially detract from the value of the real property subject thereto or materially interfere with the ordinary conduct of the business of any Subsidiary;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a judgment for the payment of money not constituting an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7.1(h)</w:t>
      </w:r>
      <w:r>
        <w:rPr>
          <w:rFonts w:ascii="Times New Roman" w:cs="Times New Roman" w:eastAsia="Times New Roman" w:hAnsi="Times New Roman"/>
          <w:sz w:val="22"/>
          <w:szCs w:val="22"/>
          <w:color w:val="auto"/>
        </w:rPr>
        <w:t xml:space="preserve"> or securing an appeal or other surety bond related to any such judgment;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by virtue of any contractual, statutory or common law provision relating to banker’s liens, rights of set-off or similar rights and remedies as to deposit or security accounts or other funds or financial assets maintained with a creditor depository institution or securities intermediary;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deposit account is not a dedicated cash collateral account in favor of such depository institution and the primary purpose of which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4" w:name="page115"/>
    <w:bookmarkEnd w:id="114"/>
    <w:p>
      <w:pPr>
        <w:spacing w:after="0" w:line="236" w:lineRule="auto"/>
        <w:rPr>
          <w:sz w:val="20"/>
          <w:szCs w:val="20"/>
          <w:color w:val="auto"/>
        </w:rPr>
      </w:pPr>
      <w:r>
        <w:rPr>
          <w:rFonts w:ascii="Times New Roman" w:cs="Times New Roman" w:eastAsia="Times New Roman" w:hAnsi="Times New Roman"/>
          <w:sz w:val="22"/>
          <w:szCs w:val="22"/>
          <w:color w:val="auto"/>
        </w:rPr>
        <w:t>to provide collateral security (other than for customary account commissions, fees and reimbursable expenses relating solely to such deposit account, and for returned items);</w:t>
      </w:r>
    </w:p>
    <w:p>
      <w:pPr>
        <w:spacing w:after="0" w:line="150" w:lineRule="exact"/>
        <w:rPr>
          <w:sz w:val="20"/>
          <w:szCs w:val="20"/>
          <w:color w:val="auto"/>
        </w:rPr>
      </w:pPr>
    </w:p>
    <w:p>
      <w:pPr>
        <w:jc w:val="both"/>
        <w:ind w:firstLine="1304"/>
        <w:spacing w:after="0" w:line="225"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sale of goods entered into by any Subsidiary in the ordinary course of business to the extent such Liens do not attach to any assets other than the goods subject to such arrangements and the proceeds thereof; and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(aa)</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real estate security deposits with respect to leaseholds in the ordinary course of business;</w:t>
            </w:r>
          </w:p>
        </w:tc>
      </w:tr>
      <w:tr>
        <w:trPr>
          <w:trHeight w:val="366"/>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(ab)</w:t>
            </w:r>
          </w:p>
        </w:tc>
        <w:tc>
          <w:tcPr>
            <w:tcW w:w="94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so long as no Event of Default has occurred and is continuing or would result therefrom, Liens securing</w:t>
            </w:r>
          </w:p>
        </w:tc>
      </w:tr>
      <w:tr>
        <w:trPr>
          <w:trHeight w:val="282"/>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Indebtedness in an aggregate amount at any time not to exceed $3,000,000; and</w:t>
            </w:r>
          </w:p>
        </w:tc>
      </w:tr>
      <w:tr>
        <w:trPr>
          <w:trHeight w:val="379"/>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(ac)</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existing Liens listed on Schedule 6.2.</w:t>
            </w:r>
          </w:p>
        </w:tc>
      </w:tr>
      <w:tr>
        <w:trPr>
          <w:trHeight w:val="20"/>
        </w:trPr>
        <w:tc>
          <w:tcPr>
            <w:tcW w:w="1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Borrower shall not, and shall not permit any Obligor or other Project Company to, create, incur, assume or suffer to exist any mortgage, deed of trust or similar voluntary Lien securing Indebtedness for borrowed money or under a Hedge Agreement on any fee or leasehold real property interest held by the Borrower or any Subsidiary.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1.20 </w:t>
      </w:r>
      <w:r>
        <w:rPr>
          <w:rFonts w:ascii="Times New Roman" w:cs="Times New Roman" w:eastAsia="Times New Roman" w:hAnsi="Times New Roman"/>
          <w:sz w:val="22"/>
          <w:szCs w:val="22"/>
          <w:u w:val="single" w:color="auto"/>
          <w:color w:val="auto"/>
        </w:rPr>
        <w:t>Priority</w:t>
      </w:r>
      <w:r>
        <w:rPr>
          <w:rFonts w:ascii="Times New Roman" w:cs="Times New Roman" w:eastAsia="Times New Roman" w:hAnsi="Times New Roman"/>
          <w:sz w:val="22"/>
          <w:szCs w:val="22"/>
          <w:color w:val="auto"/>
        </w:rPr>
        <w:t>. The Liens in favor of the Collateral Agent on the Collateral securing the Obligations shall at all times be senior to all other Liens of third parties on the same Collateral to the extent such third party Liens secure any Grantor’s Indebtedness for borrowed money or obligations evidenced by bonds, debentures, notes, loan agreements or other similar instruments, or guarantees of any of the foregoing.</w:t>
      </w:r>
    </w:p>
    <w:p>
      <w:pPr>
        <w:spacing w:after="0" w:line="15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Contingent Liabilities</w:t>
      </w:r>
      <w:r>
        <w:rPr>
          <w:rFonts w:ascii="Times New Roman" w:cs="Times New Roman" w:eastAsia="Times New Roman" w:hAnsi="Times New Roman"/>
          <w:sz w:val="21"/>
          <w:szCs w:val="21"/>
          <w:color w:val="auto"/>
        </w:rPr>
        <w:t>. The Borrower shall not, and shall not permit any Obligor or other Project Company to, assume, guarantee, endorse, contingently agree to purchase or otherwise become liable upon any obligation of any Person, except</w:t>
      </w:r>
    </w:p>
    <w:p>
      <w:pPr>
        <w:spacing w:after="0" w:line="1" w:lineRule="exact"/>
        <w:rPr>
          <w:sz w:val="20"/>
          <w:szCs w:val="20"/>
          <w:color w:val="auto"/>
        </w:rPr>
      </w:pPr>
    </w:p>
    <w:p>
      <w:pPr>
        <w:jc w:val="both"/>
        <w:ind w:firstLine="8"/>
        <w:spacing w:after="0" w:line="214" w:lineRule="auto"/>
        <w:tabs>
          <w:tab w:leader="none" w:pos="32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endorsement of instruments for deposit or collection or similar transactions in the ordinary course of business, (b) guarantees in favor of the Secured Parties hereunder and under the other Loan Documents, (c) guarantees of Indebtedness of a Subsidiary permitted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and (d) guarantees of contracts entered into by a Subsidiary in the ordinary course of business for the sale of goods or the provision of services (and not for borrowed money).</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Merger and Consolidation; Acquisition and Disposition of Assets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the Borrower shall not, and shall not permit any Obligor or other Project Company to, enter into any merger, consolidation or voluntary dissolution, or lease or acquire all or substantially all of the assets of any Person or of any division or business unit of any Person, or sell, lease, license or otherwise dispose of any of its assets, except: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(aj) so long as no Event of Default exists or would immediately result therefrom (i) any Obligor may merge, amalgamate or consolidate with (A)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the continuing or surviving Person and such merger does not result in the Borrower ceasing to be a limited partnership, corporation or limited liability company organized under the Laws of the United States or (B) one or more other Obligors; and (ii) any Obligor (other than the Borrower) may merge or consolidate with any other Person in order to effect an Investment permitted pursuant to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continuing or surviving Person must be an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5" w:name="page116"/>
    <w:bookmarkEnd w:id="115"/>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(ak) (i) dispositions of inventory, supplies, materials and equipment in the ordinary course of business, (ii) dispositions of surplus, obsolete, or worn out equipment or other property, (iii) dispositions of property not used or not useful or no longer used or useful in the conduct of the business of the Obligors, or (iv) dispositions, liquidations or use of Cash Equivalents;</w:t>
      </w:r>
    </w:p>
    <w:p>
      <w:pPr>
        <w:spacing w:after="0" w:line="152" w:lineRule="exact"/>
        <w:rPr>
          <w:sz w:val="20"/>
          <w:szCs w:val="20"/>
          <w:color w:val="auto"/>
        </w:rPr>
      </w:pPr>
    </w:p>
    <w:p>
      <w:pPr>
        <w:jc w:val="both"/>
        <w:ind w:left="4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(al) any Obligor (other than the Borrower) may sell, assign, transfer or otherwise dispose of all or substantially all of its assets (upon voluntary liquidation or otherwise) to the Borrower or to another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 an Grantor is the transferor in any such transaction, the transferee thereof shall also be a Grantor;</w:t>
      </w:r>
    </w:p>
    <w:p>
      <w:pPr>
        <w:spacing w:after="0" w:line="153" w:lineRule="exact"/>
        <w:rPr>
          <w:sz w:val="20"/>
          <w:szCs w:val="20"/>
          <w:color w:val="auto"/>
        </w:rPr>
      </w:pPr>
    </w:p>
    <w:p>
      <w:pPr>
        <w:jc w:val="both"/>
        <w:ind w:left="40" w:firstLine="1296"/>
        <w:spacing w:after="0" w:line="211" w:lineRule="auto"/>
        <w:rPr>
          <w:sz w:val="20"/>
          <w:szCs w:val="20"/>
          <w:color w:val="auto"/>
        </w:rPr>
      </w:pPr>
      <w:r>
        <w:rPr>
          <w:rFonts w:ascii="Times New Roman" w:cs="Times New Roman" w:eastAsia="Times New Roman" w:hAnsi="Times New Roman"/>
          <w:sz w:val="22"/>
          <w:szCs w:val="22"/>
          <w:color w:val="auto"/>
        </w:rPr>
        <w:t>(am) the liquidation or dissolution of any Subsidiary if (i) the board of directors (or a Responsible Officer in lieu of the board of directors) of the Borrower determines in good faith that such liquidation or dissolution is in the best interest of the Borrower and is not materially disadvantageous to the Lenders, (ii) the Borrower provides written notice to the Administrative Agent of such liquidation or dissolution promptly upon, and in any event not later than thirty (30) days following, the effective date thereof (or such longer period as may be agreed by the Administrative Agent in its sole discretion), and (iii) all assets and property of such Subsidiary (after payment or other provision for the satisfaction of the creditors thereof) are transferred to an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(A) if such liquidation or dissolution is of a non-wholly owned Subsidiary, such assets and property may be transferred to the equity holders of such Subsidiary ratably in accordance with their respective Equity Interests therein and (B) if such liquidation or dissolution is of a Grantor, such assets and property may only be transferred to a Grantor); and</w:t>
      </w:r>
    </w:p>
    <w:p>
      <w:pPr>
        <w:sectPr>
          <w:pgSz w:w="11900" w:h="16838" w:orient="portrait"/>
          <w:cols w:equalWidth="0" w:num="1">
            <w:col w:w="11240"/>
          </w:cols>
          <w:pgMar w:left="320" w:top="1395" w:right="339" w:bottom="1440" w:gutter="0" w:footer="0" w:header="0"/>
        </w:sectPr>
      </w:pP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(an)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used.</w:t>
      </w:r>
    </w:p>
    <w:p>
      <w:pPr>
        <w:spacing w:after="0" w:line="191" w:lineRule="exact"/>
        <w:rPr>
          <w:sz w:val="20"/>
          <w:szCs w:val="20"/>
          <w:color w:val="auto"/>
        </w:rPr>
      </w:pPr>
    </w:p>
    <w:p>
      <w:pPr>
        <w:sectPr>
          <w:pgSz w:w="11900" w:h="16838" w:orient="portrait"/>
          <w:cols w:equalWidth="0" w:num="2">
            <w:col w:w="1680" w:space="260"/>
            <w:col w:w="9300"/>
          </w:cols>
          <w:pgMar w:left="320" w:top="1395"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(ao)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unwinding of any Hedge Agreement in accordance with this Agreement.</w:t>
      </w:r>
    </w:p>
    <w:p>
      <w:pPr>
        <w:spacing w:after="0" w:line="177" w:lineRule="exact"/>
        <w:rPr>
          <w:sz w:val="20"/>
          <w:szCs w:val="20"/>
          <w:color w:val="auto"/>
        </w:rPr>
      </w:pPr>
    </w:p>
    <w:p>
      <w:pPr>
        <w:sectPr>
          <w:pgSz w:w="11900" w:h="16838" w:orient="portrait"/>
          <w:cols w:equalWidth="0" w:num="2">
            <w:col w:w="1660" w:space="280"/>
            <w:col w:w="9300"/>
          </w:cols>
          <w:pgMar w:left="320" w:top="1395" w:right="339" w:bottom="1440" w:gutter="0" w:footer="0" w:header="0"/>
          <w:type w:val="continuous"/>
        </w:sect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Borrower shall not, and shall not permit any Obligor or other Project Company to, make any</w:t>
      </w:r>
    </w:p>
    <w:p>
      <w:pPr>
        <w:spacing w:after="0"/>
        <w:rPr>
          <w:sz w:val="20"/>
          <w:szCs w:val="20"/>
          <w:color w:val="auto"/>
        </w:rPr>
      </w:pPr>
      <w:r>
        <w:rPr>
          <w:rFonts w:ascii="Times New Roman" w:cs="Times New Roman" w:eastAsia="Times New Roman" w:hAnsi="Times New Roman"/>
          <w:sz w:val="22"/>
          <w:szCs w:val="22"/>
          <w:color w:val="auto"/>
        </w:rPr>
        <w:t>Investments, except (collectively, “</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940" w:hanging="636"/>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Subsidiaries existing on, or contractually committed to as of, the date hereof and set forth on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and any modification, replacement, renewal or extension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the original Investment is not increased;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arising from transactions by any Subsidiary with customers or suppliers in the ordinary course of business, including Investments (including debt obligations) received in connection with the bankruptcy or reorganization of customers and suppliers and in settlement of delinquent obligations of, and other disputes with, customers or suppliers arising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prepaid expenses, negotiable instruments held for collection and lease, utility and workers’ compensation, performance and other similar deposits provided to third parties, in each case, in the ordinary course of business;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Hedge Agreements permitted pursuant to </w:t>
      </w:r>
      <w:r>
        <w:rPr>
          <w:rFonts w:ascii="Times New Roman" w:cs="Times New Roman" w:eastAsia="Times New Roman" w:hAnsi="Times New Roman"/>
          <w:sz w:val="22"/>
          <w:szCs w:val="22"/>
          <w:u w:val="single" w:color="auto"/>
          <w:color w:val="auto"/>
        </w:rPr>
        <w:t>Sections 6.18</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Obligor in any other Obligor;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type w:val="continuous"/>
        </w:sectPr>
      </w:pPr>
    </w:p>
    <w:bookmarkStart w:id="116" w:name="page117"/>
    <w:bookmarkEnd w:id="116"/>
    <w:p>
      <w:pPr>
        <w:jc w:val="both"/>
        <w:ind w:firstLine="1304"/>
        <w:spacing w:after="0" w:line="225" w:lineRule="auto"/>
        <w:tabs>
          <w:tab w:leader="none" w:pos="193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Event of Default has occurred and is continuing or would result from the incurrence of such Investments, any Obligor may make additional Investments in an aggregate amount at any time outstanding for all such Investments made pursuant to this </w:t>
      </w:r>
      <w:r>
        <w:rPr>
          <w:rFonts w:ascii="Times New Roman" w:cs="Times New Roman" w:eastAsia="Times New Roman" w:hAnsi="Times New Roman"/>
          <w:sz w:val="22"/>
          <w:szCs w:val="22"/>
          <w:u w:val="single" w:color="auto"/>
          <w:color w:val="auto"/>
        </w:rPr>
        <w:t>Section 6.6(g)</w:t>
      </w:r>
      <w:r>
        <w:rPr>
          <w:rFonts w:ascii="Times New Roman" w:cs="Times New Roman" w:eastAsia="Times New Roman" w:hAnsi="Times New Roman"/>
          <w:sz w:val="22"/>
          <w:szCs w:val="22"/>
          <w:color w:val="auto"/>
        </w:rPr>
        <w:t xml:space="preserve"> not to exceed $1,000,000.</w:t>
      </w:r>
    </w:p>
    <w:p>
      <w:pPr>
        <w:spacing w:after="0" w:line="153"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Change in Nature of Business</w:t>
      </w:r>
      <w:r>
        <w:rPr>
          <w:rFonts w:ascii="Times New Roman" w:cs="Times New Roman" w:eastAsia="Times New Roman" w:hAnsi="Times New Roman"/>
          <w:sz w:val="22"/>
          <w:szCs w:val="22"/>
          <w:color w:val="auto"/>
        </w:rPr>
        <w:t>. The Borrower shall not, and shall not permit any Obligor or other Project Company to, engage at any time in any business or business activity other than the businesses engaged in on the Closing Date or activities incidental thereto.</w:t>
      </w:r>
    </w:p>
    <w:p>
      <w:pPr>
        <w:spacing w:after="0" w:line="15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The Borrower shall not, and shall not permit any Obligor or other Project Company to, directly or indirectly, (a) transfer, sell, lease, assign or otherwise dispose of any of its assets to any Unrestricted Affiliate; (b) purchase or acquire assets from any Unrestricted Affiliate; (c) enter into any other transaction directly or indirectly with or for the benefit of any Unrestricted Affiliate; or (d) pay any fees or other compensation to any Unrestricted Affiliate in respect of services rendered in connection with the management or supervision of the management of the Borrower or such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Obligor may enter into (i) any other transaction with any Unrestricted Affiliate providing for the leasing of property, the rendering or receipt of services or the purchase or sale of goods, inventory or other assets in the ordinary course of business on terms that are no less favorable to such Obligor than those which might be obtained at the time from Persons other than its Affiliates and (ii) the transactions described on </w:t>
      </w:r>
      <w:r>
        <w:rPr>
          <w:rFonts w:ascii="Times New Roman" w:cs="Times New Roman" w:eastAsia="Times New Roman" w:hAnsi="Times New Roman"/>
          <w:sz w:val="22"/>
          <w:szCs w:val="22"/>
          <w:u w:val="single" w:color="auto"/>
          <w:color w:val="auto"/>
        </w:rPr>
        <w:t>Schedule 6.8</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The Borrower shall not, and shall not permit any Obligor or other Project Company to, make any Restricted Payment, or set apart any sum for the purpose of making any Restricted Payment, other than:</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(ap) (i) Restricted Payments made by any Subsidiary of the Borrower to the Borrower and to wholly-owned Subsidiaries of the Borrower and (ii) in the case of a Restricted Payment by a non-wholly owned Subsidiary, to the Borrower and any wholly-owned Subsidiary of the Borrower and, in the case of the Emerald Project Company, to each other owner of Equity Interests of the Emerald Project Company on a pro rata basis based on their relative ownership interests in accordance with the Emerald RNG LLCA;</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(aq)</w:t>
        <w:tab/>
        <w:t>Permitted Tax Distributions;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w:t>
      </w:r>
    </w:p>
    <w:p>
      <w:pPr>
        <w:spacing w:after="0" w:line="179" w:lineRule="exact"/>
        <w:rPr>
          <w:sz w:val="20"/>
          <w:szCs w:val="20"/>
          <w:color w:val="auto"/>
        </w:rPr>
      </w:pPr>
    </w:p>
    <w:p>
      <w:pPr>
        <w:ind w:left="2420" w:hanging="468"/>
        <w:spacing w:after="0"/>
        <w:tabs>
          <w:tab w:leader="none" w:pos="24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at such time, or would result therefrom;</w:t>
      </w:r>
    </w:p>
    <w:p>
      <w:pPr>
        <w:spacing w:after="0" w:line="17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then-applicable Target Debt Balance has been achieved; and</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1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Permitted Tax Distribution is not made during a Specified Calculation Period or during a period when a payment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is payable but has not been made; and</w:t>
      </w:r>
    </w:p>
    <w:p>
      <w:pPr>
        <w:spacing w:after="0" w:line="150"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(ar) Restricted Payments made by the Borrower in the nature of dividends and other distributions to the holders of its Equity Interests after the Term Conversion Date, at such times as are provided for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that:</w:t>
      </w:r>
    </w:p>
    <w:p>
      <w:pPr>
        <w:spacing w:after="0" w:line="179" w:lineRule="exact"/>
        <w:rPr>
          <w:sz w:val="20"/>
          <w:szCs w:val="20"/>
          <w:color w:val="auto"/>
        </w:rPr>
      </w:pPr>
    </w:p>
    <w:p>
      <w:pPr>
        <w:ind w:left="2420" w:hanging="468"/>
        <w:spacing w:after="0"/>
        <w:tabs>
          <w:tab w:leader="none" w:pos="24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at such time, or would result therefrom;</w:t>
      </w:r>
    </w:p>
    <w:p>
      <w:pPr>
        <w:spacing w:after="0" w:line="17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then-applicable Target Debt Balance has been achieved;</w:t>
      </w:r>
    </w:p>
    <w:p>
      <w:pPr>
        <w:spacing w:after="0" w:line="175" w:lineRule="exact"/>
        <w:rPr>
          <w:rFonts w:ascii="Times New Roman" w:cs="Times New Roman" w:eastAsia="Times New Roman" w:hAnsi="Times New Roman"/>
          <w:sz w:val="22"/>
          <w:szCs w:val="22"/>
          <w:color w:val="auto"/>
        </w:rPr>
      </w:pPr>
    </w:p>
    <w:p>
      <w:pPr>
        <w:jc w:val="both"/>
        <w:ind w:left="1300" w:firstLine="652"/>
        <w:spacing w:after="0" w:line="214" w:lineRule="auto"/>
        <w:tabs>
          <w:tab w:leader="none" w:pos="272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any such Restricted Payments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for such Restricted Payment, any Indebtedness incurred in connection therewith (including any Loans) and all other applicable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adjustments), the Debt Service Coverage Ratio for the Calculation Period relating to the Quarterly Payment Date immediately preceding the proposed date of such Restricted Payment is greater than or equal to 1:50:1.00;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Quarterly Payment Date occurs less than twelve (12) months after the Term Conversion Date, the Debt Service Coverage Ratio shall be calculated for the number of full fiscal quarters occurring during the period from such date until such Quarterly Payment Date;</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4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Service Reserve Account is funded in the amount required by the Depositary Agreement (including through the issuance of one or more Letters of Credit);</w:t>
      </w:r>
    </w:p>
    <w:p>
      <w:pPr>
        <w:spacing w:after="0" w:line="150" w:lineRule="exact"/>
        <w:rPr>
          <w:sz w:val="20"/>
          <w:szCs w:val="20"/>
          <w:color w:val="auto"/>
        </w:rPr>
      </w:pPr>
    </w:p>
    <w:p>
      <w:pPr>
        <w:ind w:left="2480" w:hanging="528"/>
        <w:spacing w:after="0"/>
        <w:tabs>
          <w:tab w:leader="none" w:pos="24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Conversion Date has occurred; and</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4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Payment is not made during a Specified Calculation Period or during a period when a payment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is payable but has not been made.</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u w:val="single" w:color="auto"/>
          <w:color w:val="auto"/>
        </w:rPr>
        <w:t>Burdensome Agreements</w:t>
      </w:r>
      <w:r>
        <w:rPr>
          <w:rFonts w:ascii="Times New Roman" w:cs="Times New Roman" w:eastAsia="Times New Roman" w:hAnsi="Times New Roman"/>
          <w:sz w:val="22"/>
          <w:szCs w:val="22"/>
          <w:color w:val="auto"/>
        </w:rPr>
        <w:t>. The Borrower shall not permit any Obligor or other Project Company to enter into any Contractual Obligation (other than this Agreement or any other Loan Document) that (a) limits the ability (i) of any Obligor or other Project Company to make Restricted Payments to the Borrower or any Guarantor or to otherwise transfer property to the Borrower or any Guarantor, (ii) of any Obligor to guarantee the Indebtedness of the Borrower or (iii) of the Borrower or any Obligor to create, incur, assume or suffer to exist Liens on property of such Person; or (b) requires the grant of a Lien to secure an obligation of such Person if a Lien is granted to secure another obligation of such Person.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Local Accounts; Environmental Credits</w:t>
      </w:r>
      <w:r>
        <w:rPr>
          <w:rFonts w:ascii="Times New Roman" w:cs="Times New Roman" w:eastAsia="Times New Roman" w:hAnsi="Times New Roman"/>
          <w:sz w:val="22"/>
          <w:szCs w:val="22"/>
          <w:color w:val="auto"/>
        </w:rPr>
        <w:t>. The Borrower shall not, and shall not permit any Grantor to, (a) establish or maintain any Local Account with any bank that is not an Eligible Bank or (b) deposit, or direct any customer (which shall include OPAL Fuels Station Services LLC (f/k/a TruStar Energy LLC) as the purchaser of Environmental Credit pursuant to any Offtake Agreement) purchasing Environmental Credit to deposit, the proceeds from the sale of any Environmental Credit in any account that is not a Local Account.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u w:val="single" w:color="auto"/>
          <w:color w:val="auto"/>
        </w:rPr>
        <w:t>Formation or Acquisition of Subsidiaries</w:t>
      </w:r>
      <w:r>
        <w:rPr>
          <w:rFonts w:ascii="Times New Roman" w:cs="Times New Roman" w:eastAsia="Times New Roman" w:hAnsi="Times New Roman"/>
          <w:sz w:val="22"/>
          <w:szCs w:val="22"/>
          <w:color w:val="auto"/>
        </w:rPr>
        <w:t>. The Borrower shall not, and shall not permit any Obligor or any other Project Company to, form or acquire (including in connection with any Specified Acquisition), or create and hold equity interests in, any direct or indirect Subsidiary, or become a general or limited partner in any partnership or a joint venturer in any joint venture, in each case other than those which are in existence on the Closing Date.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1.30 </w:t>
      </w:r>
      <w:r>
        <w:rPr>
          <w:rFonts w:ascii="Times New Roman" w:cs="Times New Roman" w:eastAsia="Times New Roman" w:hAnsi="Times New Roman"/>
          <w:sz w:val="22"/>
          <w:szCs w:val="22"/>
          <w:u w:val="single" w:color="auto"/>
          <w:color w:val="auto"/>
        </w:rPr>
        <w:t>Change in Fiscal Dates or Accounting Practices</w:t>
      </w:r>
      <w:r>
        <w:rPr>
          <w:rFonts w:ascii="Times New Roman" w:cs="Times New Roman" w:eastAsia="Times New Roman" w:hAnsi="Times New Roman"/>
          <w:sz w:val="22"/>
          <w:szCs w:val="22"/>
          <w:color w:val="auto"/>
        </w:rPr>
        <w:t>. The Borrower shall not, and shall not permit any Obligor or other Project Company to, change its fiscal year or any of its fiscal quarters from those in effect on the date hereof or change any of its accounting or auditing policies, practices or procedures in effect on the date hereof, unless the Borrower has given the Administrative Agent not less than thirty days’ prior written notice of its intention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8" w:name="page119"/>
    <w:bookmarkEnd w:id="118"/>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Foreign Assets Control and Anti-Money Laundering Laws</w:t>
      </w:r>
      <w:r>
        <w:rPr>
          <w:rFonts w:ascii="Times New Roman" w:cs="Times New Roman" w:eastAsia="Times New Roman" w:hAnsi="Times New Roman"/>
          <w:sz w:val="22"/>
          <w:szCs w:val="22"/>
          <w:color w:val="auto"/>
        </w:rPr>
        <w:t>. The Borrower shall not, and shall not permit any Obligor or other Project Company to, engage in any business or activity in violation of the Trading with the Enemy Act or any other Sanctions, any Anti-Corruption Laws, any Anti-Money Laundering Law, or any other law, regulation, order or directive enforced by any Compliance Authority.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Name Changes, Charter Amendments, Etc.</w:t>
      </w:r>
      <w:r>
        <w:rPr>
          <w:rFonts w:ascii="Times New Roman" w:cs="Times New Roman" w:eastAsia="Times New Roman" w:hAnsi="Times New Roman"/>
          <w:sz w:val="22"/>
          <w:szCs w:val="22"/>
          <w:color w:val="auto"/>
        </w:rPr>
        <w:t xml:space="preserve"> The Borrower shall not, and shall not permit any Obligor to, (a) change its legal name, (b) change its form of legal entity (e.g., converting from a corporation to a limited liability company or vice versa), (c) change its jurisdiction of organization or become (or attempt or purport to become) organized in more than one jurisdiction, (d) otherwise amend, modify or waive any material term or provision of its organizational documents in any manner materially adverse to the rights or interests of the Credit Parties under the Loan Documents unless required by applicable Requirements of Law.</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Commencing on the Term Conversion Date and calculated as of the last day of each fiscal quarter of the Borrower thereafter, the Borrower shall maintain for each Calculation Period a Debt Service Coverage Ratio of not less than 1.20:1.00, subject to the Borrower’s rights to implement an Equity Cure; provided that the Borrower shall be permitted to implement an Equity Cure for no more than two (2) consecutive fiscal quarters and no more than four (4) fiscal quarters in the aggregate prior to the Maturity Date.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u w:val="single" w:color="auto"/>
          <w:color w:val="auto"/>
        </w:rPr>
        <w:t>Not Used.</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Upon and after the Term Conversion Date, the Borrower shall not, and shall not permit any Obligor or other Project Company to, make any Capital Expenditures other than (a) Capital Expenditures consistent with the Annual Operating Budget, (b) Emergency Operating Costs to the extent such costs are Capital Expenditures or (c) to the extent such Capital Expenditures are funded by additional equity contributions made to the Borrower or the applicable Obligor or other Project Company by or on behalf of Opal Fuels.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Hedge Agreements</w:t>
      </w:r>
      <w:r>
        <w:rPr>
          <w:rFonts w:ascii="Times New Roman" w:cs="Times New Roman" w:eastAsia="Times New Roman" w:hAnsi="Times New Roman"/>
          <w:sz w:val="22"/>
          <w:szCs w:val="22"/>
          <w:color w:val="auto"/>
        </w:rPr>
        <w:t xml:space="preserve">. The Borrower shall not, and shall not permit any Obligor or other Project Company to, enter into any Hedge Agreement other than (i) a Secured Hedge Agreement with a Permitted Hedge Counterparty and (ii) as permitted by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u w:val="single" w:color="auto"/>
          <w:color w:val="auto"/>
        </w:rPr>
        <w:t>Amendments to and Termination of Project Documents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(ad) The Borrower shall not, and shall not permit any Obligor or other Project Company to, without the prior written consent of the Administrative Agent (acting in consultation with the Independent Engineer), such consent not to be unreasonably withheld, amend or otherwise modify any Material Project Document to which it is a party or give any consent, waiver or approval (each such amendment or modification, consent, waiver or approval being referred to herein as a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 Modification</w:t>
      </w:r>
      <w:r>
        <w:rPr>
          <w:rFonts w:ascii="Times New Roman" w:cs="Times New Roman" w:eastAsia="Times New Roman" w:hAnsi="Times New Roman"/>
          <w:sz w:val="22"/>
          <w:szCs w:val="22"/>
          <w:color w:val="auto"/>
        </w:rPr>
        <w:t xml:space="preserve">”) thereunder (including any waiver of any default under or breach of any Material Project Document to which it is a party), or agree in any manner to any other amendment, modification or change of any term or condition of any Material Project Document to which it is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limitations in the succeeding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8"/>
        <w:spacing w:after="0" w:line="210" w:lineRule="auto"/>
        <w:tabs>
          <w:tab w:leader="none" w:pos="27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Project Document Modification for the purposes of incurring any expenditure permitted under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 xml:space="preserve">, (ii) any change order permitted under </w:t>
      </w:r>
      <w:r>
        <w:rPr>
          <w:rFonts w:ascii="Times New Roman" w:cs="Times New Roman" w:eastAsia="Times New Roman" w:hAnsi="Times New Roman"/>
          <w:sz w:val="22"/>
          <w:szCs w:val="22"/>
          <w:u w:val="single" w:color="auto"/>
          <w:color w:val="auto"/>
        </w:rPr>
        <w:t>Section 6.23(b)</w:t>
      </w:r>
      <w:r>
        <w:rPr>
          <w:rFonts w:ascii="Times New Roman" w:cs="Times New Roman" w:eastAsia="Times New Roman" w:hAnsi="Times New Roman"/>
          <w:sz w:val="22"/>
          <w:szCs w:val="22"/>
          <w:color w:val="auto"/>
        </w:rPr>
        <w:t>, (iii) the extension of the term of a Material Project Document on substantially the same terms and conditions then in effect (or on more favorable terms and conditions to the Borrower, any other Obligor or any other Project Company party thereto), (iv) any Project Document Modification which (x) is not, individually or in the aggregate when taken together with previously executed Project Document Modifications, materially adverse to the rights or the interests of the Borrower, any other Obligor or any other Project Company thereto, the applicable Project or the interests of the Credit Parties in the Collateral and (y) does not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19" w:name="page120"/>
    <w:bookmarkEnd w:id="119"/>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incremental expenditure by the Borrower or the Subsidiary party thereto of more than $1,000,000 in the aggregate, in each case, as certified by the Borrower, and the Borrower provides to the Administrative Agent a true, correct and complete copy of each such Project Document Modification, and (v) ministerial or administrative amendments, modifications, waivers, consents and approvals, shall not, in the case of each of the preceding clauses (i) through (v), require the consent of the Administrative Agent;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 any Project Document Modification that (1) extends or postpones the date of or amends the definition of “Substantial Completion”, “Final Acceptance”, “Guaranteed Substantial Completion Date”, “Guaranteed Final Acceptance Date” or any related concepts under the EPC Contracts, (2) extends the deadline for payment of any liquidated damages under the EPC Contracts, (3) modifies any performance guarantee to reduce in any material respect the level of such guaranteed performance thereunder, (4) reduces any liquidated damage amount under the EPC Contracts, (5) changes the definition of, procedures for or results of the Performance Tests, (6) modifies the limitations of liability, warranty, event of default or force majeure provisions of the EPC Contracts, (7) increases the fees or costs payable to Opal Fuels or any of its Affiliates under any construction management agreements or administrative management agreements, or (8) amends or modifies the Gas Supply Agreements or Gas Interconnection Agreements in any way, in the case of each of the preceding clauses (1) through (8), other than ministerial or administrative amendments, modifications, consents and approvals and, with respect to the preceding clauses (5), and (6) only, such amendments, modifications, waivers, consents and approvals as would not reasonably be expected to be adverse to the rights or the interests of any of the Credit Parties under the Loan Documents or in the Collateral), or (9) could otherwise reasonably be expected to have a Material Adverse Effect, shall in each case require the consent of the Required Lenders (in consultation with the Independent Engineer), such consent not to be unreasonably withheld, and (B) any Project Document Modification that adversely affects the rights of any LC Issuer shall require the consent of such LC Issuer, such consent not to be unreasonably withheld.</w:t>
      </w:r>
    </w:p>
    <w:p>
      <w:pPr>
        <w:spacing w:after="0" w:line="15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(ae) The Borrower shall not, and shall not permit any Obligor or other Project Company to, amend, supplement, waive or otherwise modify any Applicable Permit except for such actions that could not reasonably be expected to have a Material Adverse Effect.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(af) The Borrower shall not, and shall not permit any Obligor or other Project Company to, enter into any Additional Project Document (including in replacement of any Material Project Document), without the Required Lenders’ prior written consent, such consent not to be unreasonably withheld.</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u w:val="single" w:color="auto"/>
          <w:color w:val="auto"/>
        </w:rPr>
        <w:t>Hazardous Substances</w:t>
      </w:r>
      <w:r>
        <w:rPr>
          <w:rFonts w:ascii="Times New Roman" w:cs="Times New Roman" w:eastAsia="Times New Roman" w:hAnsi="Times New Roman"/>
          <w:sz w:val="21"/>
          <w:szCs w:val="21"/>
          <w:color w:val="auto"/>
        </w:rPr>
        <w:t>. Neither the Borrower nor any of its Subsidiaries shall Release any Hazardous Substances</w:t>
      </w:r>
    </w:p>
    <w:p>
      <w:pPr>
        <w:jc w:val="both"/>
        <w:ind w:firstLine="8"/>
        <w:spacing w:after="0" w:line="228" w:lineRule="auto"/>
        <w:tabs>
          <w:tab w:leader="none" w:pos="29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violation of any applicable Environmental Laws or Permits required under Environmental Laws or (b) in a quantity, type or location that would lead to liability pursuant to Environmental Laws Permits required under Environmental Laws, except in the case of either of the preceding clauses (a) and (b) as would not reasonably be expected to result in a Material Adverse Effect.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u w:val="single" w:color="auto"/>
          <w:color w:val="auto"/>
        </w:rPr>
        <w:t>Not Used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u w:val="single" w:color="auto"/>
          <w:color w:val="auto"/>
        </w:rPr>
        <w:t>Construction Budget Contingency; Change Orders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Changes to Construction Budget</w:t>
      </w:r>
      <w:r>
        <w:rPr>
          <w:rFonts w:ascii="Times New Roman" w:cs="Times New Roman" w:eastAsia="Times New Roman" w:hAnsi="Times New Roman"/>
          <w:sz w:val="22"/>
          <w:szCs w:val="22"/>
          <w:color w:val="auto"/>
        </w:rPr>
        <w:t xml:space="preserve">. The Borrower shall not, and shall not permit any Subsidiary to, amend or modify the Construction Budget for any Project, except for such changes as (i) expressly incorporate change orders approved or otherwise permitted pursuant to </w:t>
      </w:r>
      <w:r>
        <w:rPr>
          <w:rFonts w:ascii="Times New Roman" w:cs="Times New Roman" w:eastAsia="Times New Roman" w:hAnsi="Times New Roman"/>
          <w:sz w:val="22"/>
          <w:szCs w:val="22"/>
          <w:u w:val="single" w:color="auto"/>
          <w:color w:val="auto"/>
        </w:rPr>
        <w:t>Section 6.23(b)</w:t>
      </w:r>
      <w:r>
        <w:rPr>
          <w:rFonts w:ascii="Times New Roman" w:cs="Times New Roman" w:eastAsia="Times New Roman" w:hAnsi="Times New Roman"/>
          <w:sz w:val="22"/>
          <w:szCs w:val="22"/>
          <w:color w:val="auto"/>
        </w:rPr>
        <w:t xml:space="preserve"> or (ii) do not otherwise result, taking into account all prior amendments and modifications to the initial Construction Budget for such Project as previously approved pursuant to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color w:val="auto"/>
        </w:rPr>
        <w:t xml:space="preserve"> (with respect to any Initial Project) or </w:t>
      </w:r>
      <w:r>
        <w:rPr>
          <w:rFonts w:ascii="Times New Roman" w:cs="Times New Roman" w:eastAsia="Times New Roman" w:hAnsi="Times New Roman"/>
          <w:sz w:val="22"/>
          <w:szCs w:val="22"/>
          <w:u w:val="single" w:color="auto"/>
          <w:color w:val="auto"/>
        </w:rPr>
        <w:t>Section 4.3(a)(iii)</w:t>
      </w:r>
      <w:r>
        <w:rPr>
          <w:rFonts w:ascii="Times New Roman" w:cs="Times New Roman" w:eastAsia="Times New Roman" w:hAnsi="Times New Roman"/>
          <w:sz w:val="22"/>
          <w:szCs w:val="22"/>
          <w:color w:val="auto"/>
        </w:rPr>
        <w:t xml:space="preserve"> (with respect to any Additional Project), in a cumulative increase in the Project Costs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0" w:name="page121"/>
    <w:bookmarkEnd w:id="120"/>
    <w:p>
      <w:pPr>
        <w:jc w:val="both"/>
        <w:spacing w:after="0" w:line="220" w:lineRule="auto"/>
        <w:rPr>
          <w:sz w:val="20"/>
          <w:szCs w:val="20"/>
          <w:color w:val="auto"/>
        </w:rPr>
      </w:pPr>
      <w:r>
        <w:rPr>
          <w:rFonts w:ascii="Times New Roman" w:cs="Times New Roman" w:eastAsia="Times New Roman" w:hAnsi="Times New Roman"/>
          <w:sz w:val="22"/>
          <w:szCs w:val="22"/>
          <w:color w:val="auto"/>
        </w:rPr>
        <w:t>Project reflected in such initial Construction Budget of greater than fifteen percent (15.0%) (provided that any such cumulative increase in the Project Costs for such Project shall be funded by additional equity contributions made to the Borrower or the applicable Subsidiary by or on behalf of Opal Fuels), in each case without the prior consent of Required Lenders (in consultation with the Independent Engineer), such consent not to be unreasonably withheld.</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u w:val="single" w:color="auto"/>
          <w:color w:val="auto"/>
        </w:rPr>
        <w:t>Change Orders</w:t>
      </w:r>
      <w:r>
        <w:rPr>
          <w:rFonts w:ascii="Times New Roman" w:cs="Times New Roman" w:eastAsia="Times New Roman" w:hAnsi="Times New Roman"/>
          <w:sz w:val="22"/>
          <w:szCs w:val="22"/>
          <w:color w:val="auto"/>
        </w:rPr>
        <w:t xml:space="preserve">. The Borrower shall not, and shall not permit any Obligor or Project Company to, accept, approve or otherwise enter into any change order (or similar amendment) under any EPC Contract without the prior written consent of the Administrative Agent (in consultation with the Independent Engineer), such consent not to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consent shall not be required if: (i) such change order is (A) funded within the Construction Budget for such Project initially approved pursuant to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color w:val="auto"/>
        </w:rPr>
        <w:t xml:space="preserve"> (with respect to any Initial Project) or </w:t>
      </w:r>
      <w:r>
        <w:rPr>
          <w:rFonts w:ascii="Times New Roman" w:cs="Times New Roman" w:eastAsia="Times New Roman" w:hAnsi="Times New Roman"/>
          <w:sz w:val="22"/>
          <w:szCs w:val="22"/>
          <w:u w:val="single" w:color="auto"/>
          <w:color w:val="auto"/>
        </w:rPr>
        <w:t>Section 4.3(a)(iii)</w:t>
      </w:r>
      <w:r>
        <w:rPr>
          <w:rFonts w:ascii="Times New Roman" w:cs="Times New Roman" w:eastAsia="Times New Roman" w:hAnsi="Times New Roman"/>
          <w:sz w:val="22"/>
          <w:szCs w:val="22"/>
          <w:color w:val="auto"/>
        </w:rPr>
        <w:t xml:space="preserve"> (with respect to any Additional Project), as amended and modified to date in accordance with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 xml:space="preserve"> (without taking into account the requested change order), (B) immaterial, of a technical nature and without monetary impact or the monetary impact is less than $1,000,000 or (C) funded by additional equity contributions made to the Borrower or the applicable Subsidiary by or on behalf of Opal Fuels; (ii) the Borrower is in compliance with </w:t>
      </w:r>
      <w:r>
        <w:rPr>
          <w:rFonts w:ascii="Times New Roman" w:cs="Times New Roman" w:eastAsia="Times New Roman" w:hAnsi="Times New Roman"/>
          <w:sz w:val="22"/>
          <w:szCs w:val="22"/>
          <w:u w:val="single" w:color="auto"/>
          <w:color w:val="auto"/>
        </w:rPr>
        <w:t>Section 5.3(j)</w:t>
      </w:r>
      <w:r>
        <w:rPr>
          <w:rFonts w:ascii="Times New Roman" w:cs="Times New Roman" w:eastAsia="Times New Roman" w:hAnsi="Times New Roman"/>
          <w:sz w:val="22"/>
          <w:szCs w:val="22"/>
          <w:color w:val="auto"/>
        </w:rPr>
        <w:t>; and (iii) such change order will not result in any (1) extension of the “Substantial Completion Date”, the “Guaranteed Substantial Completion Date” or the “Guaranteed Final Acceptance Date” (in each case, as defined in each of the EPC Contracts, as applicable) beyond the Date Certain, (2) adverse change to any warranty, performance guarantee, or minimum performance levels under the EPC Contracts, (3) adverse change to the procedures for or results of any Performance Tests, (4) amendment of the definition of “Substantial Completion”, “Final Acceptance” (or any terms related to the foregoing) or “Event of Default” or the conditions, events or circumstances that give rise to an event of default under any Material Project Document, (5) change to the limitation of liability or force majeure provisions the EPC Contracts or (6) change to the amount or deadline for payment of any liquidated damages payable to the Borrower or any Subsidiary under the EPC Contracts.</w:t>
      </w:r>
    </w:p>
    <w:p>
      <w:pPr>
        <w:spacing w:after="0" w:line="16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Performance Tests; Substantial Completion</w:t>
      </w:r>
      <w:r>
        <w:rPr>
          <w:rFonts w:ascii="Times New Roman" w:cs="Times New Roman" w:eastAsia="Times New Roman" w:hAnsi="Times New Roman"/>
          <w:sz w:val="22"/>
          <w:szCs w:val="22"/>
          <w:color w:val="auto"/>
        </w:rPr>
        <w:t>. The Borrower shall not, and shall not permit any other Obligor or other Project Company to, materially revise any procedures in respect of the Performance Tests or accept the results of any Performance Test or any notice of Substantial Completion or Final Completion under the EPC Contracts without the prior consent of the Administrative Agent (in consultation with the Independent Engineer), such consent not to be unreasonably withheld.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Energy Regulatory Status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cause the Parent and each other Obligor or other Project Company not to, take any action or fail to act in any manner that would cause any Credit Party or any Affiliate of any Credit Party to become, solely as a result of the operation of a Project or the delivery or performance of any Loan Document or any transaction contemplated therein, subject to regulation under the NGA by FERC or under any state laws or any regulations applicable to a State Commission.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 and shall cause the Parent and each other Obligor or other Project not to, take any action or fail to act in any manner that would subject it to or cause it to not otherwise be exempt from, regulation by FERC as a “natural gas company” under the NGA or by a State Commission with respect to the transportation or sale of natural gas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a Project Company may be subject to regulation by FERC as a “natural gas company” solely with respect to wholesale sales of natural gas eligible for the Blanket Marketing Certificate, and (B) the Borrower shall not, and shall cause the Parent and each other Obligor not to, take any action or fail to act in any manner that would cause any such Project Company to fail to comply with the requirements of the Blanket Marketing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1" w:name="page122"/>
    <w:bookmarkEnd w:id="121"/>
    <w:p>
      <w:pPr>
        <w:ind w:left="4980"/>
        <w:spacing w:after="0"/>
        <w:rPr>
          <w:sz w:val="20"/>
          <w:szCs w:val="20"/>
          <w:color w:val="auto"/>
        </w:rPr>
      </w:pPr>
      <w:r>
        <w:rPr>
          <w:rFonts w:ascii="Times New Roman" w:cs="Times New Roman" w:eastAsia="Times New Roman" w:hAnsi="Times New Roman"/>
          <w:sz w:val="22"/>
          <w:szCs w:val="22"/>
          <w:color w:val="auto"/>
        </w:rPr>
        <w:t>Article 7</w:t>
      </w:r>
    </w:p>
    <w:p>
      <w:pPr>
        <w:ind w:left="4540"/>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15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The occurrence of any of the following events shall constitute an event of default (each,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hereunder:</w:t>
      </w:r>
    </w:p>
    <w:p>
      <w:pPr>
        <w:spacing w:after="0" w:line="150" w:lineRule="exact"/>
        <w:rPr>
          <w:sz w:val="20"/>
          <w:szCs w:val="20"/>
          <w:color w:val="auto"/>
        </w:rPr>
      </w:pPr>
    </w:p>
    <w:p>
      <w:pPr>
        <w:jc w:val="both"/>
        <w:ind w:firstLine="1304"/>
        <w:spacing w:after="0" w:line="220"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Any Obligor shall default (i) in the payment when due of any interest on any Loan or any LC Reimbursement Obligation, LC Fees or any Commitment Fee, or any fees or other amounts payable by it hereunder, under any Note or under any other Loan Document, and such default shall continue unremedied for a period of five (5) days or (ii) in the payment when due of any principal of any Loan or any LC Reimbursement Obligation;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Without Cure</w:t>
      </w:r>
      <w:r>
        <w:rPr>
          <w:rFonts w:ascii="Times New Roman" w:cs="Times New Roman" w:eastAsia="Times New Roman" w:hAnsi="Times New Roman"/>
          <w:sz w:val="22"/>
          <w:szCs w:val="22"/>
          <w:color w:val="auto"/>
        </w:rPr>
        <w:t xml:space="preserve">. Any Obligor shall default in the due observance or performance of any term, covenant or agreement contained in any of </w:t>
      </w:r>
      <w:r>
        <w:rPr>
          <w:rFonts w:ascii="Times New Roman" w:cs="Times New Roman" w:eastAsia="Times New Roman" w:hAnsi="Times New Roman"/>
          <w:sz w:val="22"/>
          <w:szCs w:val="22"/>
          <w:u w:val="single" w:color="auto"/>
          <w:color w:val="auto"/>
        </w:rPr>
        <w:t>Sections 5.1(a)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on its part to be observed or performed;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Any Obligor or (to the extent applicable) the Parent shall default in the due observance or performance of any other term, covenant or agreement contained in this Agreement or any other Loan Document on its part to be observed or performed and such default shall continue unremedied for a period of thirty (30) days after written notice of such default shall have been given to the Borrower by the Administrative Agent specifying such default and requiring it to be remedied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and so long as such default is reasonably capable of being cured, such thirty (30) day cure period shall be extended to sixty (60) days so long as the Obligors are diligently pursuing such cure);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Representations and Warranties</w:t>
      </w:r>
      <w:r>
        <w:rPr>
          <w:rFonts w:ascii="Times New Roman" w:cs="Times New Roman" w:eastAsia="Times New Roman" w:hAnsi="Times New Roman"/>
          <w:sz w:val="22"/>
          <w:szCs w:val="22"/>
          <w:color w:val="auto"/>
        </w:rPr>
        <w:t>. Any representation or warranty made by any Obligor or (to the extent applicable) the Parent herein or in any other Loan Document, or any statement or representation made in any certificate, report or opinion delivered by any Obligor or (to the extent applicable) the Parent, or any officer of an Obligor or the Parent, pursuant to this Agreement or any other Loan Document shall prove to have been incorrect or misleading in any material respect when made; or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Change of Control shall occur; or</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The Borrower, any other Obligor or any other Project Company shall fail to make any payment when due (after giving effect to any applicable grace periods) on Indebtedness (including any Hedge Termination Payment) aggregating at least $3,000,000 (“</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or any Material Indebtedness shall be accelerated or shall be required to be paid prior to the stated maturity thereof or prior to any regularly scheduled dates of payment, or shall be required to be purchased by the Borrower or any Subsidiary prior to its stated maturity or regularly scheduled date of payment; or the Borrower or any Subsidiary shall default in the payment or performance when due of any term contained in, or any event or condition shall exist under, any agreement or instrument pursuant to which it has outstanding any Indebtedness if the effect of such default, event or condition is to cause, or permit holder(s) of such Indebtedness to cause (i) Material Indebtedness to become due and payable prior to its stated maturity or regularly scheduled dates of payment or (ii) the Borrower or any Subsidiary to be required to purchase or otherwise acquire Material Indebtedness; or</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Insolvency; Suspension</w:t>
      </w:r>
      <w:r>
        <w:rPr>
          <w:rFonts w:ascii="Times New Roman" w:cs="Times New Roman" w:eastAsia="Times New Roman" w:hAnsi="Times New Roman"/>
          <w:sz w:val="22"/>
          <w:szCs w:val="22"/>
          <w:color w:val="auto"/>
        </w:rPr>
        <w:t>. Any Subject Party shall be insolvent or shall generally cease paying, or be unable to pay, its debts as they become due or shall make any admission in writing to the foregoing effect; or a substantial part of the operations or business of any Subject Party shall be suspended and such suspension shall, in the opinion of the Administrative Agent, have a material adverse effect on the condition (financial or otherwise) or operations of the Obligors (taken as a whole) or on the ability of the Parent and the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82" w:right="339" w:bottom="1440" w:gutter="0" w:footer="0" w:header="0"/>
        </w:sectPr>
      </w:pPr>
    </w:p>
    <w:bookmarkStart w:id="122" w:name="page123"/>
    <w:bookmarkEnd w:id="122"/>
    <w:p>
      <w:pPr>
        <w:jc w:val="both"/>
        <w:spacing w:after="0" w:line="209" w:lineRule="auto"/>
        <w:rPr>
          <w:sz w:val="20"/>
          <w:szCs w:val="20"/>
          <w:color w:val="auto"/>
        </w:rPr>
      </w:pPr>
      <w:r>
        <w:rPr>
          <w:rFonts w:ascii="Times New Roman" w:cs="Times New Roman" w:eastAsia="Times New Roman" w:hAnsi="Times New Roman"/>
          <w:sz w:val="22"/>
          <w:szCs w:val="22"/>
          <w:color w:val="auto"/>
        </w:rPr>
        <w:t>(taken as a whole) to repay the Obligations; or any Subject Party shall make an assignment for the benefit of creditors, or shall commence (as debtor) a case under the Debtor Relief Laws, or shall commence any proceeding with respect to itself, or a substantial portion of its properties or assets, under any other insolvency, bankruptcy, arrangement, reorganization, liquidation, dissolution or similar law of the United States or any other jurisdiction, or shall apply for a trustee, receiver or custodian (however named) for all or a substantial portion of its properties or assets for the purpose of general administration of such properties or assets for the benefit of creditors or for any other purpose or shall take any action to authorize any of the foregoing actions; or a court or competent jurisdiction in the premises shall enter an order for relief against any Subject Party as a debtor in a case or proceeding under the Debtor Relief Laws; or any case or proceeding under the Debtor Relief Laws shall be commenced against any Subject Party and such case or proceeding shall remain undismissed, undischarged or unbonded for sixty (60) days or any Subject Party shall consent to or admit in writing the material allegations against it in any such case or proceeding; or any trustee, receiver or similar officer, however named, shall be appointed for all or a substantial part of the property of any Subject Party and such Subject Party shall consent thereto or such trusteeship or receivership shall continue for a period of sixty (60) days; or</w:t>
      </w:r>
    </w:p>
    <w:p>
      <w:pPr>
        <w:spacing w:after="0" w:line="160" w:lineRule="exact"/>
        <w:rPr>
          <w:sz w:val="20"/>
          <w:szCs w:val="20"/>
          <w:color w:val="auto"/>
        </w:rPr>
      </w:pPr>
    </w:p>
    <w:p>
      <w:pPr>
        <w:jc w:val="both"/>
        <w:ind w:firstLine="1304"/>
        <w:spacing w:after="0" w:line="222" w:lineRule="auto"/>
        <w:tabs>
          <w:tab w:leader="none" w:pos="1939"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One or more judgment or judgments for the payment of money the uninsured portion of which exceeds $3,000,000 in the aggregate for the Borrower and all Obligors and other Project Companies shall be rendered against the Borrower, any Obligor or any other Project Company and shall not be stayed, released, discharged or fully bonded within sixty</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issuance thereof; or</w:t>
      </w:r>
    </w:p>
    <w:p>
      <w:pPr>
        <w:spacing w:after="0" w:line="155"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32"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(i) Any Person shall engage in any “prohibited transaction” (as defined in Section 406 of ERISA or Section 4975 of the Code) involving any Plan, (ii) any “accumulated funding deficiency” (as defined in Section 412 of the Code or Section 302 of ERISA), whether or not waived, shall exist with respect to any Plan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reasonably likely to result in the termination of such Plan for purposes of Title IV of ERISA (other than a standard termination pursuant to Section 4041(b) of ERISA), (iv) any Single Employer Plan shall terminate for purposes of Title IV of ERISA, (v) the Borrower or any Commonly Controlled Entity shall, or is reasonably likely to, incur any liability in connection with a withdrawal from, or the insolvency (within the meaning of Section 4245 of ERISA) or Reorganization of, a Multiemployer Plan, or (vi) the occurrence or expected occurrence of any event or condition which results or is reasonably likely to result in the Borrower’s or any Commonly Controlled Entity’s becoming responsible for any liability in respect of a Former Plan; and in each case in clauses</w:t>
      </w:r>
    </w:p>
    <w:p>
      <w:pPr>
        <w:spacing w:after="0" w:line="7" w:lineRule="exact"/>
        <w:rPr>
          <w:rFonts w:ascii="Times New Roman" w:cs="Times New Roman" w:eastAsia="Times New Roman" w:hAnsi="Times New Roman"/>
          <w:sz w:val="21"/>
          <w:szCs w:val="21"/>
          <w:color w:val="auto"/>
        </w:rPr>
      </w:pPr>
    </w:p>
    <w:p>
      <w:pPr>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through (vi) above, such event or condition, together with all other such events or conditions, if any, could result in liability which could reasonably be expected to have a Material Adverse Effect; or</w:t>
      </w:r>
    </w:p>
    <w:p>
      <w:pPr>
        <w:spacing w:after="0" w:line="149"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Unenforceability</w:t>
      </w:r>
      <w:r>
        <w:rPr>
          <w:rFonts w:ascii="Times New Roman" w:cs="Times New Roman" w:eastAsia="Times New Roman" w:hAnsi="Times New Roman"/>
          <w:sz w:val="22"/>
          <w:szCs w:val="22"/>
          <w:color w:val="auto"/>
        </w:rPr>
        <w:t>. Any material portion of any Security Document or any other Loan Document shall cease to be in full force and effect, any Security Document shall cease to be effective to grant to the Administrative Agent a perfected security interest in the Collateral described therein, with the priority purported to be created thereby (subject to Permitted Liens), or the Parent or any Obligor shall assert, or institute any proceedings seeking to establish, that any provision of any Loan Document is invalid, not binding or unenforceable;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Abandonment</w:t>
      </w:r>
      <w:r>
        <w:rPr>
          <w:rFonts w:ascii="Times New Roman" w:cs="Times New Roman" w:eastAsia="Times New Roman" w:hAnsi="Times New Roman"/>
          <w:sz w:val="22"/>
          <w:szCs w:val="22"/>
          <w:color w:val="auto"/>
        </w:rPr>
        <w:t>. (i) Borrower, any other Obligor or any other Project Company shall announce that it is abandoning any Initial Project or any other Funded Project, or (ii) the construction or operation of any Initial Project or any other Funded Project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3" w:name="page124"/>
    <w:bookmarkEnd w:id="123"/>
    <w:p>
      <w:pPr>
        <w:jc w:val="both"/>
        <w:spacing w:after="0" w:line="222" w:lineRule="auto"/>
        <w:rPr>
          <w:sz w:val="20"/>
          <w:szCs w:val="20"/>
          <w:color w:val="auto"/>
        </w:rPr>
      </w:pPr>
      <w:r>
        <w:rPr>
          <w:rFonts w:ascii="Times New Roman" w:cs="Times New Roman" w:eastAsia="Times New Roman" w:hAnsi="Times New Roman"/>
          <w:sz w:val="21"/>
          <w:szCs w:val="21"/>
          <w:color w:val="auto"/>
        </w:rPr>
        <w:t>abandoned for a period of more than ninety (90) consecutive days for any reason (other than force majeure, but only so long as Borrower, any other Obligor or any other Project Company is diligently attempting to end any outage resulting therefrom). For the avoidance of doubt, none of (A) scheduled maintenance of any Project, (B) repairs to any Project, whether or not scheduled,</w:t>
      </w:r>
    </w:p>
    <w:p>
      <w:pPr>
        <w:spacing w:after="0" w:line="2" w:lineRule="exact"/>
        <w:rPr>
          <w:sz w:val="20"/>
          <w:szCs w:val="20"/>
          <w:color w:val="auto"/>
        </w:rPr>
      </w:pPr>
    </w:p>
    <w:p>
      <w:pPr>
        <w:jc w:val="both"/>
        <w:ind w:firstLine="8"/>
        <w:spacing w:after="0" w:line="218" w:lineRule="auto"/>
        <w:tabs>
          <w:tab w:leader="none" w:pos="35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forced outage or scheduled outage of any Project, (D) a Casualty Event, (E) an Event of Eminent Domain or (F) any other event that is not caused by or due to the fault of any Obligor, shall constitute abandonment of such Project, so long as the Borrower is diligently attempting to end any outage resulting therefrom;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 Document Defaults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Obligor Breach</w:t>
      </w:r>
      <w:r>
        <w:rPr>
          <w:rFonts w:ascii="Times New Roman" w:cs="Times New Roman" w:eastAsia="Times New Roman" w:hAnsi="Times New Roman"/>
          <w:sz w:val="22"/>
          <w:szCs w:val="22"/>
          <w:color w:val="auto"/>
        </w:rPr>
        <w:t>. Any Obligor or any other Project Company shall be in breach in any material respect of, or in default in any material respect under, a Material Project Document and such breach or default shall continue unremedied for the period of time under such Material Project Document which any Obligor or any other Project Company has available to it in which to remedy such breach or default; or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Breach and Bankruptcy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600"/>
        <w:spacing w:after="0" w:line="209" w:lineRule="auto"/>
        <w:tabs>
          <w:tab w:leader="none" w:pos="3229" w:val="left"/>
        </w:tabs>
        <w:numPr>
          <w:ilvl w:val="3"/>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Selected Material Project Documents</w:t>
      </w:r>
      <w:r>
        <w:rPr>
          <w:rFonts w:ascii="Times New Roman" w:cs="Times New Roman" w:eastAsia="Times New Roman" w:hAnsi="Times New Roman"/>
          <w:sz w:val="22"/>
          <w:szCs w:val="22"/>
          <w:color w:val="auto"/>
        </w:rPr>
        <w:t xml:space="preserve">. Any counterparty to a Material Project Document shall be in breach of, or in default under, any Real Property Agreement, EPC Contract, Offtake Agreement, Gas Supply Agreement or Gas Interconnection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shall occur as a result of any such breach or default if (i) in the case of any breach or default not involving bankruptcy, insolvency or similar proceedings of such counterparty to a Material Project Document, (A) such breach or default is cured within ninety (90) days from the time the Borrower obtains knowledge of such breach or default or (B) the applicable Obligor or Project Company enters into a Replacement Project Document with a Replacement Obligor within such ninety (90) day period or (ii) in the case of a breach or default involving bankruptcy, insolvency or similar proceedings of such counterparty to a Material Project Document, (A) the applicable counterparty to a Material Project Document is substantially performing its remaining obligations with respect to the Material Project Documents to which it is a party, if any, and has affirmed, within the time prescribed by law (not to exceed thirty (30) days), any Real Property Agreement, EPC Contract, Offtake Agreement, Gas Supply Agreement or Gas Interconnection Agreement to which it is a party, as applicable, or (B) the applicable Obligor or Project Company enters into a Replacement Project Document with a Replacement Obligor within such thirty (30) day period; or</w:t>
      </w:r>
    </w:p>
    <w:p>
      <w:pPr>
        <w:spacing w:after="0" w:line="160"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1" w:val="left"/>
        </w:tabs>
        <w:numPr>
          <w:ilvl w:val="3"/>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Material Project Documents</w:t>
      </w:r>
      <w:r>
        <w:rPr>
          <w:rFonts w:ascii="Times New Roman" w:cs="Times New Roman" w:eastAsia="Times New Roman" w:hAnsi="Times New Roman"/>
          <w:sz w:val="21"/>
          <w:szCs w:val="21"/>
          <w:color w:val="auto"/>
        </w:rPr>
        <w:t xml:space="preserve">. Any counterparty to a Material Project Document shall be in breach of, or in default under, any other Material Project Document (for avoidance of doubt, not covered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such breach or default could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Event of Default shall occur as a result of any such breach or default if (i) in the case of any breach or default not involving bankruptcy, insolvency or similar proceedings of such counterparty to a Material Project Document (A) such breach or default is cured within ninety (90) days from the time Borrower obtains knowledge of such breach or default or (B) the applicable Obligor or Project Company enters into a Replacement Project Document with a Replacement Obligor within such ninety (90) day period or (ii) in the case of a breach or default involving bankruptcy, insolvency or similar proceedings of such counterparty to a Material Project Document, (A) the applicable counterparty to a Material Project Document is substantially performing its remaining obligations with respect to the Material Project Documents to which it is a party, if any, and has affirmed, within the time prescribed by law (not to exceed thirty (30) days), the Material Project Documents to which it is a party or (B) the applicable Obligor or Project Company enters into a Replacement Project Document with a Replacement Obligor within such thirty (30) day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4" w:name="page125"/>
    <w:bookmarkEnd w:id="124"/>
    <w:p>
      <w:pPr>
        <w:jc w:val="both"/>
        <w:ind w:firstLine="2600"/>
        <w:spacing w:after="0" w:line="209" w:lineRule="auto"/>
        <w:tabs>
          <w:tab w:leader="none" w:pos="3231"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Material Project Documents</w:t>
      </w:r>
      <w:r>
        <w:rPr>
          <w:rFonts w:ascii="Times New Roman" w:cs="Times New Roman" w:eastAsia="Times New Roman" w:hAnsi="Times New Roman"/>
          <w:sz w:val="22"/>
          <w:szCs w:val="22"/>
          <w:color w:val="auto"/>
        </w:rPr>
        <w:t>. (A) (x) Any Material Project Document shall terminate or shall be declared null and void (except upon fulfillment of such party’s obligations thereunder or the scheduled expiration of the term of such Material Project Document) or (y) any provision of any Material Project Document shall for any reason cease to be valid and binding on any party thereto (other than the applicable Obligor or Project Company party thereto), other than any such failure to be valid and binding which could not reasonably be expected to have a Material Adverse Effect and except, in the case of the foregoing clause (A)(x) or (y), to the extent that (1) such provision is restored or replaced by a replacement provision in form and substance (I) with respect to any EPC Contract, Offtake Agreement, Gas Supply Agreement or Gas Interconnection Agreement, reasonably acceptable to the Required Lenders within a thirty (30) day period thereafter or (II) with respect to any other Material Project Document, reasonably acceptable to the Administrative Agent within a ninety (90) day period thereafter, or (2) the applicable Obligor or Project Company enters into a Replacement Project Document with a Replacement Obligor within (I) with respect to any EPC Contract, Offtake Agreement, Gas Supply Agreement or Gas Interconnection Agreement, thirty (30) days thereafter or (II) with respect to any other Material Project Document, ninety (90) days thereafter; or</w:t>
      </w:r>
    </w:p>
    <w:p>
      <w:pPr>
        <w:spacing w:after="0" w:line="16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Any Material Permit shall have been revoked and (i) such Material Permit has not been reinstated or replaced or (ii) such revocation has not otherwise been cured within ninety (90) days thereof;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Certain</w:t>
      </w:r>
      <w:r>
        <w:rPr>
          <w:rFonts w:ascii="Times New Roman" w:cs="Times New Roman" w:eastAsia="Times New Roman" w:hAnsi="Times New Roman"/>
          <w:sz w:val="22"/>
          <w:szCs w:val="22"/>
          <w:color w:val="auto"/>
        </w:rPr>
        <w:t>. The Term Conversion Date has not occurred by the Date Certain; or</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Commitment Letters</w:t>
      </w:r>
      <w:r>
        <w:rPr>
          <w:rFonts w:ascii="Times New Roman" w:cs="Times New Roman" w:eastAsia="Times New Roman" w:hAnsi="Times New Roman"/>
          <w:sz w:val="22"/>
          <w:szCs w:val="22"/>
          <w:color w:val="auto"/>
        </w:rPr>
        <w:t>. (i) Any Equity Commitment Letter shall cease to be in full force and effect (except as a result of a termination in accordance with its terms upon Final Completion or repayment in full of the Obligations), or Parent or Opal Fuels shall assert, or institute any proceedings seeking to establish, that any provision of any Equity Commitment Letter is invalid, not binding or unenforceable; (ii) upon the occurrence and during the continuation of a “Cost Overrun” (as defined in an Equity Commitment Letter), Parent shall fail to make a “Contingent Incremental Equity Commitment Demand” (as defined in an Equity Commitment Letter) and such failure continues for five (5) Business Days; (iii) Opal Fuels shall default in the payment when due of any amount payable by it under any Equity Commitment Letter, and such default shall continue unremedied for a period of ten (10) Business Days; or (iv) Parent shall default in the due observance of performance of any term, covenant or agreement contained in Section 6(k) of the Non-Recourse Pledge Agreement on its part to be observed or performed.</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The Borrower hereby waives, to the extent permitted by applicable law, (a) all presentments, demands for performance, notices of nonperformance (except to the extent required by the provisions of this Agreement or of any other Loan Document), protests, notices of protest, notices of intent to accelerate and notices of dishonor in connection with the Notes and the Term Loans and (b) any requirement of diligence or promptness on the part of the Administrative Agent or any Lender in the enforcement of its rights under the provisions of this Agreement or any other Loan Document.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Allocation of Payments After Event of Default</w:t>
      </w:r>
      <w:r>
        <w:rPr>
          <w:rFonts w:ascii="Times New Roman" w:cs="Times New Roman" w:eastAsia="Times New Roman" w:hAnsi="Times New Roman"/>
          <w:sz w:val="22"/>
          <w:szCs w:val="22"/>
          <w:color w:val="auto"/>
        </w:rPr>
        <w:t xml:space="preserve">. Notwithstanding any other provisions of this Agreement or any other Loan Document to the contrary, and subject to all applicable Requirements of Law, after the exercise of remedies provided for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(or after the Term Loans have automatically become immediately due and payable and the Commitments have been automatically terminated as set forth in the proviso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any amounts received on account of the Obligations (including all amounts collected or received by Administrative Agent on account of the Obligations or in respect of the Collateral) shall,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xml:space="preserve">to the provisions of </w:t>
      </w:r>
      <w:r>
        <w:rPr>
          <w:rFonts w:ascii="Times New Roman" w:cs="Times New Roman" w:eastAsia="Times New Roman" w:hAnsi="Times New Roman"/>
          <w:sz w:val="22"/>
          <w:szCs w:val="22"/>
          <w:u w:val="single" w:color="auto"/>
          <w:color w:val="auto"/>
        </w:rPr>
        <w:t>Section 2.10.2</w:t>
      </w:r>
      <w:r>
        <w:rPr>
          <w:rFonts w:ascii="Times New Roman" w:cs="Times New Roman" w:eastAsia="Times New Roman" w:hAnsi="Times New Roman"/>
          <w:sz w:val="22"/>
          <w:szCs w:val="22"/>
          <w:color w:val="auto"/>
        </w:rPr>
        <w:t>, be applied by the Administrative Agent in the following order:</w:t>
      </w:r>
    </w:p>
    <w:p>
      <w:pPr>
        <w:spacing w:after="0" w:line="179" w:lineRule="exact"/>
        <w:rPr>
          <w:sz w:val="20"/>
          <w:szCs w:val="20"/>
          <w:color w:val="auto"/>
        </w:rPr>
      </w:pPr>
    </w:p>
    <w:p>
      <w:pPr>
        <w:jc w:val="both"/>
        <w:ind w:firstLine="1304"/>
        <w:spacing w:after="0" w:line="220" w:lineRule="auto"/>
        <w:tabs>
          <w:tab w:leader="none" w:pos="193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of all reasonable out-of-pocket costs and expenses (including reasonable attorneys’ fees) of the Agents in connection with enforcing its rights and the rights of Lenders under this Agreement and any other Loan Document, and any protective advances funded by Administrative Agent with respect to the Collateral under or pursuant to the terms of this Agreement or any other Loan Document;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payment of any fees owed to the Agents pursuant to the Loan Documents;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all reasonable and documented out-of-pocket costs and expenses (including reasonable attorneys’ fees) of each of the Lenders to the extent owing to such Lender pursuant to the terms of this Agreement or any other Loan Document;</w:t>
      </w:r>
    </w:p>
    <w:p>
      <w:pPr>
        <w:spacing w:after="0" w:line="152" w:lineRule="exact"/>
        <w:rPr>
          <w:rFonts w:ascii="Times New Roman" w:cs="Times New Roman" w:eastAsia="Times New Roman" w:hAnsi="Times New Roman"/>
          <w:sz w:val="22"/>
          <w:szCs w:val="22"/>
          <w:color w:val="auto"/>
        </w:rPr>
      </w:pPr>
    </w:p>
    <w:p>
      <w:pPr>
        <w:ind w:right="20" w:firstLine="1304"/>
        <w:spacing w:after="0" w:line="255" w:lineRule="auto"/>
        <w:tabs>
          <w:tab w:leader="none" w:pos="1932"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to the payment of all Obligations arising under this Agreement or any other Loan Document consisting of accrued fees and Interest Expense or ordinary course settlement payments (including Secured Hedge Obligations);</w:t>
      </w:r>
    </w:p>
    <w:p>
      <w:pPr>
        <w:spacing w:after="0" w:line="134"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to the payment of the outstanding principal amount or termination payments of the Obligations (including Secured Hedge Obligations) arising under this Agreement or any other Loan Document and to Cash Collateralize the LC Exposure under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to all other Obligations arising under this Agreement, the other Loan Documents or otherwise which shall have become due and payable and not repaid pursuant to clauses “FIRST” through “FIFTH” above; and</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payment of the surplus, if any, to whoever may be lawfully entitled to receive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surplus.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In carrying out the foregoing, (i) amounts received shall be applied in the numerical order provided until exhausted prior to application to the next succeeding category and (ii) each of the Lenders (so long as it is not a Defaulting Lender) shall receive (so long as it is not a Defaulting Lender) an amount equal to its Proportionate Share of amounts available to be applied pursuant to clauses “FOURTH”, “FIFTH” and “SIXTH” above.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Notwithstanding the foregoing, Secured Hedge Obligations shall be excluded from the application described above if the Administrative Agent has not received written notice thereof, together with such supporting documentation as the Administrative Agent may request, from the applicable holders thereof. Each holder of Secured Hedge Obligations that is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for itself and its Affiliates as if a “Lender” party hereto.</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Remedies Upon Event of Default</w:t>
      </w:r>
      <w:r>
        <w:rPr>
          <w:rFonts w:ascii="Times New Roman" w:cs="Times New Roman" w:eastAsia="Times New Roman" w:hAnsi="Times New Roman"/>
          <w:sz w:val="22"/>
          <w:szCs w:val="22"/>
          <w:color w:val="auto"/>
        </w:rPr>
        <w:t>. If any Event of Default occurs and is continuing, the Administrative Agent shall, at the request of, or may, with the consent of, the Required Lenders, take or direct the Collateral Agent to take any or all of the following actions:</w:t>
      </w:r>
    </w:p>
    <w:p>
      <w:pPr>
        <w:spacing w:after="0" w:line="153" w:lineRule="exact"/>
        <w:rPr>
          <w:sz w:val="20"/>
          <w:szCs w:val="20"/>
          <w:color w:val="auto"/>
        </w:rPr>
      </w:pPr>
    </w:p>
    <w:p>
      <w:pPr>
        <w:ind w:firstLine="1304"/>
        <w:spacing w:after="0" w:line="236"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to be terminated, whereupon such Commitments shall be terminated, or of each LC Issuer to issue, renew or extend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6" w:name="page127"/>
    <w:bookmarkEnd w:id="126"/>
    <w:p>
      <w:pPr>
        <w:jc w:val="both"/>
        <w:ind w:firstLine="1304"/>
        <w:spacing w:after="0" w:line="225"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or execute upon any amounts on deposit in any Depositary Account or Local Account, or any proceeds or any other moneys of the Borrower on deposit with Administrative Agent, Collateral Agent, Depositary Agent or any other Credit Party in the manner provided in the UCC and other relevant statutes and decisions and interpretations thereunder with respect to cash collateral; or draw upon any DSR Letter of Credit held by Administrative Agent, Collateral Agent or Depositary Agent as security;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 Cash Collateralize the LC Exposure in an amount equal to 102.5% of the outstanding amount thereof;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any obligation to do so, make disbursements or Loans to or on behalf of the Borrower or disburse amounts from any Depositary Account or Local Account to cure (i) any Default or Event of Default hereunder or (ii) any default and render any performance under any Project Document as the Required Lenders in their sole discretion may consider necessary or appropriate, to preserve or protect the Collateral or for any other reason. All amounts so expended, together with interest thereon at the Default Rate, shall be repaid by Borrower to the Administrative Agent or the Collateral Agent on demand and shall be secured by the Loan Documents, notwithstanding that such expenditures, together with the Loans, may exceed the aggregate Commitments; and</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and other Credit Parties, or direct the Collateral Agent to so exercise, any and all rights and remedies available to it, the Collateral Agent or the Lenders under the Loan Documents;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occurrence of an event described in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the Commitment of each Lender to make Loans and each LC Issuer to issue, renew or extend any Letter of Credit, shall automatically terminate, and the unpaid principal amount of all outstanding Loans and all interest and other amounts as aforesaid shall automatically become due and payable, in each case without further act of any Agent, any Lender or any LC Issuer.</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Determination of an Event of Default</w:t>
      </w:r>
      <w:r>
        <w:rPr>
          <w:rFonts w:ascii="Times New Roman" w:cs="Times New Roman" w:eastAsia="Times New Roman" w:hAnsi="Times New Roman"/>
          <w:sz w:val="22"/>
          <w:szCs w:val="22"/>
          <w:color w:val="auto"/>
        </w:rPr>
        <w:t xml:space="preserve">. Notwithstanding anything to the contrary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to the extent an event or circumstance solely related to a Project Company or a particular Project (including with respect to any actions taken or required to be taken hereunder by a Project Company or any Obligor in respect of such Project or such Project Company), other than in respect of an Initial Project, has occurred under any of </w:t>
      </w:r>
      <w:r>
        <w:rPr>
          <w:rFonts w:ascii="Times New Roman" w:cs="Times New Roman" w:eastAsia="Times New Roman" w:hAnsi="Times New Roman"/>
          <w:sz w:val="22"/>
          <w:szCs w:val="22"/>
          <w:u w:val="single" w:color="auto"/>
          <w:color w:val="auto"/>
        </w:rPr>
        <w:t>Sections 7.1(c), (d), (g), (h), (k), (l)</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that would, but for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trigger an Event of Default, such event or circumstance, at the Borrower’s written request to the Administrative Agent, which request shall be exercisable only once under this Agreement, shall not be, and shall not be deemed to have caused or result in, an Event of Default, Default, breach, default or other violation of this Agreement, for a period of time not to exceed (x) five (5) Business Days after the end of the applicable cure period specified in </w:t>
      </w:r>
      <w:r>
        <w:rPr>
          <w:rFonts w:ascii="Times New Roman" w:cs="Times New Roman" w:eastAsia="Times New Roman" w:hAnsi="Times New Roman"/>
          <w:sz w:val="22"/>
          <w:szCs w:val="22"/>
          <w:u w:val="single" w:color="auto"/>
          <w:color w:val="auto"/>
        </w:rPr>
        <w:t>Sections 7.1(c), (g), (h), (k), (l)(ii)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or (y) twenty (20) Business Days after the end of the applicable cure period specified in </w:t>
      </w:r>
      <w:r>
        <w:rPr>
          <w:rFonts w:ascii="Times New Roman" w:cs="Times New Roman" w:eastAsia="Times New Roman" w:hAnsi="Times New Roman"/>
          <w:sz w:val="22"/>
          <w:szCs w:val="22"/>
          <w:u w:val="single" w:color="auto"/>
          <w:color w:val="auto"/>
        </w:rPr>
        <w:t>Sections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(l)(i)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Specified Calculation Period</w:t>
      </w:r>
      <w:r>
        <w:rPr>
          <w:rFonts w:ascii="Times New Roman" w:cs="Times New Roman" w:eastAsia="Times New Roman" w:hAnsi="Times New Roman"/>
          <w:sz w:val="22"/>
          <w:szCs w:val="22"/>
          <w:color w:val="auto"/>
        </w:rPr>
        <w:t>”), if:</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(ag) the Base Case Projections Re-run performed after the occurrence of the relevant event or circumstance and before the end of the Specified Calculation Period results in the maximum aggregate amount of Term Loans meeting the Debt Service Sizing Parameters being equal to or greater than the then-outstanding or Term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7" w:name="page128"/>
    <w:bookmarkEnd w:id="127"/>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(ah) the Borrower makes a prepayment of the outstanding principal amount of the Obligations in accordance with </w:t>
      </w:r>
      <w:r>
        <w:rPr>
          <w:rFonts w:ascii="Times New Roman" w:cs="Times New Roman" w:eastAsia="Times New Roman" w:hAnsi="Times New Roman"/>
          <w:sz w:val="22"/>
          <w:szCs w:val="22"/>
          <w:u w:val="single" w:color="auto"/>
          <w:color w:val="auto"/>
        </w:rPr>
        <w:t>Section 2.1.7(c)(v)</w:t>
      </w:r>
      <w:r>
        <w:rPr>
          <w:rFonts w:ascii="Times New Roman" w:cs="Times New Roman" w:eastAsia="Times New Roman" w:hAnsi="Times New Roman"/>
          <w:sz w:val="22"/>
          <w:szCs w:val="22"/>
          <w:color w:val="auto"/>
        </w:rPr>
        <w:t xml:space="preserve"> and, taking into account the making of such prepayment of the Obligations, the Base Case Projections Re-run performed after the occurrence of the relevant event or circumstance and before the end of the Specified Calculation Period results in the maximum aggregate amount of Term Loans meeting the Debt Service Sizing Parameters being equal to or greater than the then outstanding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to the extent that the aggregate amount of such prepayment is equal to or less than $500,000, the Borrower may make such prepayment of the Obligations with and to the extent of amounts on deposit in the Revenue Account and the Distribution Suspense Account on the each Repayment Date that are available pursuant to priority </w:t>
      </w: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xml:space="preserve"> of Section 3.3(b) of the Depositary Agreement and Section 3.12(b) of the Depositary Agreement until such prepayment of the Obligations is made in full and (ii) the Borrower shall otherwise make such prepayment of the Obligations with additional equity contributions to the Borrower no later than ten (10) Business Days after the Independent Engineer has approved such Base Case Projections Re-run. Notwithstanding the above, if amounts on deposit in the Revenue Account are not sufficient to make such prepayment of the Obligations from funds available at priority </w:t>
      </w: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xml:space="preserve"> of Section 3.3(b) of the Depositary Agreement and Section 3.12(b) of the Depositary Agreement, in no event shall (A) additional equity contributions be required to be made to the Borrower to make such prepayment of the Obligations in part or full or (B) any failure by the Borrower to make such prepayment of the Obligations be in itself an additional Event of Default under this Agreement. So long as the Borrower timely makes the prepayment of the Obligations required by this </w:t>
      </w:r>
      <w:r>
        <w:rPr>
          <w:rFonts w:ascii="Times New Roman" w:cs="Times New Roman" w:eastAsia="Times New Roman" w:hAnsi="Times New Roman"/>
          <w:sz w:val="22"/>
          <w:szCs w:val="22"/>
          <w:u w:val="single" w:color="auto"/>
          <w:color w:val="auto"/>
        </w:rPr>
        <w:t>Section 7.5(b)</w:t>
      </w:r>
      <w:r>
        <w:rPr>
          <w:rFonts w:ascii="Times New Roman" w:cs="Times New Roman" w:eastAsia="Times New Roman" w:hAnsi="Times New Roman"/>
          <w:sz w:val="22"/>
          <w:szCs w:val="22"/>
          <w:color w:val="auto"/>
        </w:rPr>
        <w:t xml:space="preserve">, in no event shall there be an Event of Default, Default, breach, default or other violation of this Agreement arising from or otherwise attributable to such specific event or circumstance. If Base Case Projections Re-run is not performed by the end of the Specified Calculation Period or a mandatory prepayment is not timely made as required by this </w:t>
      </w:r>
      <w:r>
        <w:rPr>
          <w:rFonts w:ascii="Times New Roman" w:cs="Times New Roman" w:eastAsia="Times New Roman" w:hAnsi="Times New Roman"/>
          <w:sz w:val="22"/>
          <w:szCs w:val="22"/>
          <w:u w:val="single" w:color="auto"/>
          <w:color w:val="auto"/>
        </w:rPr>
        <w:t>Section 7.5(b)</w:t>
      </w:r>
      <w:r>
        <w:rPr>
          <w:rFonts w:ascii="Times New Roman" w:cs="Times New Roman" w:eastAsia="Times New Roman" w:hAnsi="Times New Roman"/>
          <w:sz w:val="22"/>
          <w:szCs w:val="22"/>
          <w:color w:val="auto"/>
        </w:rPr>
        <w:t>, and the relevant event or circumstance remains uncured, the event of circumstance shall constitute an Event of Default.</w:t>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8</w:t>
      </w:r>
    </w:p>
    <w:p>
      <w:pPr>
        <w:ind w:left="5020"/>
        <w:spacing w:after="0"/>
        <w:rPr>
          <w:sz w:val="20"/>
          <w:szCs w:val="20"/>
          <w:color w:val="auto"/>
        </w:rPr>
      </w:pPr>
      <w:r>
        <w:rPr>
          <w:rFonts w:ascii="Times New Roman" w:cs="Times New Roman" w:eastAsia="Times New Roman" w:hAnsi="Times New Roman"/>
          <w:sz w:val="22"/>
          <w:szCs w:val="22"/>
          <w:color w:val="auto"/>
        </w:rPr>
        <w:t>GUARANTY</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Guaranty of the Obligations</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the Guarantors jointly and severally hereby irrevocably and unconditionally guaranty to the Secured Parties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Contribution by Guarantors</w:t>
      </w:r>
      <w:r>
        <w:rPr>
          <w:rFonts w:ascii="Times New Roman" w:cs="Times New Roman" w:eastAsia="Times New Roman" w:hAnsi="Times New Roman"/>
          <w:sz w:val="22"/>
          <w:szCs w:val="22"/>
          <w:color w:val="auto"/>
        </w:rPr>
        <w:t>. All Guarantors desire to allocate among themselves (collectively, the “</w:t>
      </w:r>
      <w:r>
        <w:rPr>
          <w:rFonts w:ascii="Times New Roman" w:cs="Times New Roman" w:eastAsia="Times New Roman" w:hAnsi="Times New Roman"/>
          <w:sz w:val="22"/>
          <w:szCs w:val="22"/>
          <w:u w:val="single" w:color="auto"/>
          <w:color w:val="auto"/>
        </w:rPr>
        <w:t>Contributing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in a fair and equitable manner, their obligations arising under this Guaranty. Accordingly, in the event any payment or distribution is made on any date by a Guarantor (a “</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Times New Roman" w:cs="Times New Roman" w:eastAsia="Times New Roman" w:hAnsi="Times New Roman"/>
          <w:sz w:val="22"/>
          <w:szCs w:val="22"/>
          <w:u w:val="single" w:color="auto"/>
          <w:color w:val="auto"/>
        </w:rPr>
        <w:t>Fair Share Contribution Amount</w:t>
      </w:r>
      <w:r>
        <w:rPr>
          <w:rFonts w:ascii="Times New Roman" w:cs="Times New Roman" w:eastAsia="Times New Roman" w:hAnsi="Times New Roman"/>
          <w:sz w:val="22"/>
          <w:szCs w:val="22"/>
          <w:color w:val="auto"/>
        </w:rPr>
        <w:t>” means, with respect to a Contributing Guarantor as of any date of determination, the maximum aggregate amount of the obligations of such Contributing Guarantor under this Guaranty that would not render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subject to avoidance as a fraudulent transfer or conveyance under Section 548 of Title 11 of the United States Code or any comparable applicable provisions of state law; provided, solely for purposes of calculating the “Fair Share Contribution Amount” with respect to any Contributing Guarantor for purposes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22"/>
          <w:szCs w:val="22"/>
          <w:u w:val="single" w:color="auto"/>
          <w:color w:val="auto"/>
        </w:rPr>
        <w:t>Aggregate Payments</w:t>
      </w:r>
      <w:r>
        <w:rPr>
          <w:rFonts w:ascii="Times New Roman" w:cs="Times New Roman" w:eastAsia="Times New Roman" w:hAnsi="Times New Roman"/>
          <w:sz w:val="22"/>
          <w:szCs w:val="22"/>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in respect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minus (2) the aggregate amount of all payments received on or before such date by such Contributing Guarantor from the other Contributing Guarantors as contributions under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not be construed in any way to limit the liability of any Contributing Guarantor hereunder. Each Guarantor is a third party beneficiary to the contribution agreement set forth in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Payment by Guarantors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the Guarantors hereby jointly and severally agree, in furtherance of the foregoing and not in limitation of any other right which any Lender may have at law or in equity against any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the Administrative Agent,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the Lenders as aforesaid.</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Liability of Guarantors Absolute</w:t>
      </w:r>
      <w:r>
        <w:rPr>
          <w:rFonts w:ascii="Times New Roman" w:cs="Times New Roman" w:eastAsia="Times New Roman" w:hAnsi="Times New Roman"/>
          <w:sz w:val="22"/>
          <w:szCs w:val="22"/>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(other than contingent and indemnification obligations for which no claim has been asserted). In furtherance of the foregoing and without limiting the generality thereof, each Guarantor agrees as follows:</w:t>
      </w:r>
    </w:p>
    <w:p>
      <w:pPr>
        <w:spacing w:after="0" w:line="152" w:lineRule="exact"/>
        <w:rPr>
          <w:sz w:val="20"/>
          <w:szCs w:val="20"/>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guaranty of payment when due and not of collectability;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primary obligation of each Guarantor and not merely a contract of surety;</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enforce this Guaranty upon the occurrence of an Event of Default notwithstanding the existence of any dispute between the Borrower and the Administrative Agent or any Lender with respect to the existence of such Event of Default;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any of such other guarantors and whether or not the Borrower is joined in any such action or actions;</w:t>
      </w:r>
    </w:p>
    <w:p>
      <w:pPr>
        <w:spacing w:after="0" w:line="179" w:lineRule="exact"/>
        <w:rPr>
          <w:sz w:val="20"/>
          <w:szCs w:val="20"/>
          <w:color w:val="auto"/>
        </w:rPr>
      </w:pPr>
    </w:p>
    <w:p>
      <w:pPr>
        <w:jc w:val="both"/>
        <w:ind w:firstLine="1304"/>
        <w:spacing w:after="0" w:line="213" w:lineRule="auto"/>
        <w:tabs>
          <w:tab w:leader="none" w:pos="19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by any Guarantor of a portion, but not all, of the Guaranteed Obligations shall in no way limit, affect, modify or abridge any Guarantor’s liability for any portion of the Guaranteed Obligations which has not been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the generality of the foregoing, if any Lender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jc w:val="both"/>
        <w:ind w:firstLine="8"/>
        <w:spacing w:after="0" w:line="209" w:lineRule="auto"/>
        <w:tabs>
          <w:tab w:leader="none" w:pos="31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and apply any security now or hereafter held by or for the benefit of the Lenders in respect hereof or the Guaranteed Obligations and direct the order or manner of sale thereof, or exercise any other right or remedy that the Administrative Agent or any Lender may have against any such security, in each case as the Administrative Agent in its discretion may determine consistent herewith and any applicable security agreement, including foreclosure on any such security pursuant to one (1) or more judicial or nonjudicial sales, whether or not every aspect of any such sale is commercially reasonable, and even though such action operates to impair or extinguish any right of reimbursement or subrogation or other right or remedy of any Guarantor against the Borrower or any security for the Guaranteed Obligations; and (vi) exercise any other rights available to it under the Loan Documents;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Guaranty and the obligations of Guarantors hereunder shall be valid and enforceable and shall not be subject to any reduction, limitation, impairment, discharge or termination for any reason (other than payment in full of the Guaranteed Obligations (other than contingent and indemnification obligations for which no claim has been asserted)),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30" w:name="page131"/>
    <w:bookmarkEnd w:id="130"/>
    <w:p>
      <w:pPr>
        <w:jc w:val="both"/>
        <w:spacing w:after="0" w:line="209" w:lineRule="auto"/>
        <w:rPr>
          <w:sz w:val="20"/>
          <w:szCs w:val="20"/>
          <w:color w:val="auto"/>
        </w:rPr>
      </w:pPr>
      <w:r>
        <w:rPr>
          <w:rFonts w:ascii="Times New Roman" w:cs="Times New Roman" w:eastAsia="Times New Roman" w:hAnsi="Times New Roman"/>
          <w:sz w:val="22"/>
          <w:szCs w:val="22"/>
          <w:color w:val="auto"/>
        </w:rPr>
        <w:t>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the Administrative Agent might have elected to apply such payment to any part or all of the Guaranteed Obligations; (v) the Administrative Agent’s or any Lender’s consent to the change, reorganization or termination of the corporate structure or existence of the Parent, any Obligor or any Subsidiary of an Obligor and to any corresponding restructuring of the Guaranteed Obligations; (vi) any failure to perfect or continue perfection of a security interest in any collateral which secures any of the Guaranteed Obligations; (vii) any defenses, set offs or counterclaims which the Borrower may allege or assert against the Administrative Agent or any Lender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6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Waivers by Guarantors</w:t>
      </w:r>
      <w:r>
        <w:rPr>
          <w:rFonts w:ascii="Times New Roman" w:cs="Times New Roman" w:eastAsia="Times New Roman" w:hAnsi="Times New Roman"/>
          <w:sz w:val="21"/>
          <w:szCs w:val="21"/>
          <w:color w:val="auto"/>
        </w:rPr>
        <w:t xml:space="preserve">. Each Guarantor hereby waives, to the extent permitted by applicable law, for the benefit of the Administrative Agent and Lenders: (a) any right to require the Administrative Agent or any Lender,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the any Lender in favor of the Borrower or any other Person, or (iv) pursue any other remedy in the power of any Lender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the Administrative Agent’s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the Administrative Agent or any Lender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5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Guarantors’ Rights of Subrogation, Contribution, Etc.</w:t>
      </w:r>
      <w:r>
        <w:rPr>
          <w:rFonts w:ascii="Times New Roman" w:cs="Times New Roman" w:eastAsia="Times New Roman" w:hAnsi="Times New Roman"/>
          <w:sz w:val="22"/>
          <w:szCs w:val="22"/>
          <w:color w:val="auto"/>
        </w:rPr>
        <w:t xml:space="preserve"> Until the Guaranteed Obligations shall have been paid in full (other than contingent and indemnification obligations for which no claim has been asserted) in cash, each Guarantor hereby waives any claim, right or remedy, direct or indirect, that such Guarantor now has or may hereafter have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31" w:name="page132"/>
    <w:bookmarkEnd w:id="131"/>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the Borrower with respect to the Guaranteed Obligations, (b) any right to enforce, or to participate in, any claim, right or remedy that any Lender now has or may hereafter have against the Borrower, and (c) any benefit of, and any right to participate in, any collateral or security now or hereafter held by the Administrative Agent or any Lender. In addition, until the Guaranteed Obligations shall have been paid in full (other than contingent and indemnification obligations for which no claim has been asserted) in cash, each Guarantor shall withhold exercise of any right of contribution such Guarantor may have against any other guarantor (including any other Guarantor) of the Guaranteed Obligations, including any such right of contribution as contemplated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Lender may have against the Borrower, to all right, title and interest a Lender may have in any such collateral or security, and to any right the Administrative Agent or any Lender may have against such other guarantor. If any amount shall be paid to any Guarantor on account of any such subrogation, reimbursement, indemnification or contribution rights at any time when all Guaranteed Obligations shall not have been finally and paid in full (other than contingent and indemnification obligations for which no claim has been asserted) in cash, such amount shall be held in trust for the Administrative Agent and shall forthwith be paid over to the Administrative Agent to be credited and applied against the Guaranteed Obligations, whether matured or unmatured, in accordance with the terms hereof.</w:t>
      </w:r>
    </w:p>
    <w:p>
      <w:pPr>
        <w:spacing w:after="0" w:line="17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Subordination of Other Obligations</w:t>
      </w:r>
      <w:r>
        <w:rPr>
          <w:rFonts w:ascii="Times New Roman" w:cs="Times New Roman" w:eastAsia="Times New Roman" w:hAnsi="Times New Roman"/>
          <w:sz w:val="22"/>
          <w:szCs w:val="22"/>
          <w:color w:val="auto"/>
        </w:rPr>
        <w:t>. Any Indebtedness of the Borrower or any Guarantor now or hereafter held by any Guarantor (the “</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and Lenders and shall forthwith be paid over to the Administrative Agent to be credited and applied against the Guaranteed Obligations but without affecting, impairing or limiting in any manner the liability of the Obligee Guarantor under any other provision hereof.</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Continuing Guaranty</w:t>
      </w:r>
      <w:r>
        <w:rPr>
          <w:rFonts w:ascii="Times New Roman" w:cs="Times New Roman" w:eastAsia="Times New Roman" w:hAnsi="Times New Roman"/>
          <w:sz w:val="22"/>
          <w:szCs w:val="22"/>
          <w:color w:val="auto"/>
        </w:rPr>
        <w:t>. This Guaranty is a continuing guaranty and shall remain in effect until all of the Guaranteed Obligations shall have been indefeasibly paid in full (other than contingent and indemnification obligations for which no claim has been asserted). Each Guarantor hereby irrevocably waives any right to revoke this Guaranty as to future transactions giving rise to any Guaranteed Obligations.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Authority of Guarantors or the Borrower</w:t>
      </w:r>
      <w:r>
        <w:rPr>
          <w:rFonts w:ascii="Times New Roman" w:cs="Times New Roman" w:eastAsia="Times New Roman" w:hAnsi="Times New Roman"/>
          <w:sz w:val="22"/>
          <w:szCs w:val="22"/>
          <w:color w:val="auto"/>
        </w:rPr>
        <w:t>. It is not necessary for the Administrative Agent to inquire into the capacity or powers of any Guarantor or the Borrower or the officers, directors or any agents acting or purporting to act on behalf of any of them.</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Financial Condition of Borrower</w:t>
      </w:r>
      <w:r>
        <w:rPr>
          <w:rFonts w:ascii="Times New Roman" w:cs="Times New Roman" w:eastAsia="Times New Roman" w:hAnsi="Times New Roman"/>
          <w:sz w:val="22"/>
          <w:szCs w:val="22"/>
          <w:color w:val="auto"/>
        </w:rPr>
        <w:t>. Neither the Administrative Agent nor any Lender shall have an obligation to disclose or discuss with any Guarantor its assessment, or any Guarantor’s assessment, of the financial condition of the Borrower.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32" w:name="page133"/>
    <w:bookmarkEnd w:id="132"/>
    <w:p>
      <w:pPr>
        <w:jc w:val="both"/>
        <w:spacing w:after="0" w:line="225" w:lineRule="auto"/>
        <w:rPr>
          <w:sz w:val="20"/>
          <w:szCs w:val="20"/>
          <w:color w:val="auto"/>
        </w:rPr>
      </w:pPr>
      <w:r>
        <w:rPr>
          <w:rFonts w:ascii="Times New Roman" w:cs="Times New Roman" w:eastAsia="Times New Roman" w:hAnsi="Times New Roman"/>
          <w:sz w:val="22"/>
          <w:szCs w:val="22"/>
          <w:color w:val="auto"/>
        </w:rPr>
        <w:t>Guaranteed Obligations. Each Guarantor hereby waives and relinquishes any duty on the part of the Administrative Agent or any Lender to disclose any matter, fact or thing relating to the business, operations or conditions of the Borrower now known or hereafter known by the Administrative Agent or any Lender.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Bankruptcy, Etc.</w:t>
      </w:r>
    </w:p>
    <w:p>
      <w:pPr>
        <w:spacing w:after="0" w:line="179" w:lineRule="exact"/>
        <w:rPr>
          <w:sz w:val="20"/>
          <w:szCs w:val="20"/>
          <w:color w:val="auto"/>
        </w:rPr>
      </w:pPr>
    </w:p>
    <w:p>
      <w:pPr>
        <w:jc w:val="both"/>
        <w:ind w:firstLine="1304"/>
        <w:spacing w:after="0" w:line="213" w:lineRule="auto"/>
        <w:tabs>
          <w:tab w:leader="none" w:pos="19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Guaranteed Obligations remain outstanding, no Guarantor shall, without the prior written consent of the Administrative Agent, commence or join with any other Person in commencing any bankruptcy, reorganization or insolvency case or proceeding of or against the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56"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the Administrative Agent and Lenders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or any portion of the Guaranteed Obligations are paid by the Borrower, the obligations of Guarantors hereunder shall continue and remain in full force and effect or be reinstated, as the case may be, in the event that all or any part of such payment(s) are rescinded or recovered directly or indirectly from the Administrative Agent or any Lender as a preference, fraudulent transfer or otherwise, and any such payments which are so rescinded or recovered shall constitute Guaranteed Obligations for all purposes hereunder.</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Discharge of Guaranty Upon Sale of Guarantor</w:t>
      </w:r>
      <w:r>
        <w:rPr>
          <w:rFonts w:ascii="Times New Roman" w:cs="Times New Roman" w:eastAsia="Times New Roman" w:hAnsi="Times New Roman"/>
          <w:sz w:val="22"/>
          <w:szCs w:val="22"/>
          <w:color w:val="auto"/>
        </w:rPr>
        <w:t>. 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the Administrative Agent or any other Person effective as of the time of such sale.</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Keepwell</w:t>
      </w:r>
      <w:r>
        <w:rPr>
          <w:rFonts w:ascii="Times New Roman" w:cs="Times New Roman" w:eastAsia="Times New Roman" w:hAnsi="Times New Roman"/>
          <w:sz w:val="22"/>
          <w:szCs w:val="22"/>
          <w:color w:val="auto"/>
        </w:rPr>
        <w:t>. Each Qualified ECP Guarantor (as defined below) hereby jointly and severally, absolutely, unconditionally and irrevocably undertakes to provide such funds and other support as may be needed from time to time by each other Guarantor to honor all of its obligations under this Guaranty and the other Loan Documents in respect of Hedge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Qualified ECP Guarantor shall only be liable under this Section for the maximum amount of such liability that can be hereby incurred without rendering its obligations under this Section, or otherwise under this Agreement or any other Loan Document, voidable under Debtor Relief Laws and not for any greater amount). The obligations of each Qualified ECP Guarantor under this Section shall remain in full force and effect until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33" w:name="page134"/>
    <w:bookmarkEnd w:id="133"/>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Guaranteed Obligations and all the obligations of the Guarantors shall have been paid in full in cash and the Commitments terminated. Each Qualified ECP Guarantor intends that this Section constitute, and this Section shall be deemed to constitute, a “keepwell, support or other agreement” for the benefit of each other Guarantor that is not an “eligible contract participant” under Section 1a(18)(A)(v)(II) of the Commodity Exchange Act (determined prior to giving effect to this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for all purposes of Section 1a(18)(A)(v)(II) of the Commodity Exchange Act. For purposes of this Section, “</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means, in respect of any Hedge Obligation, each Guarantor that has total assets exceeding $10,000,000 at the time the relevant guarantee or grant of the relevant security interest becomes effective with respect to such Hedge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 (II) of the Commodity Exchange Act.</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9</w:t>
      </w:r>
    </w:p>
    <w:p>
      <w:pPr>
        <w:ind w:left="5260"/>
        <w:spacing w:after="0"/>
        <w:rPr>
          <w:sz w:val="20"/>
          <w:szCs w:val="20"/>
          <w:color w:val="auto"/>
        </w:rPr>
      </w:pPr>
      <w:r>
        <w:rPr>
          <w:rFonts w:ascii="Times New Roman" w:cs="Times New Roman" w:eastAsia="Times New Roman" w:hAnsi="Times New Roman"/>
          <w:sz w:val="22"/>
          <w:szCs w:val="22"/>
          <w:color w:val="auto"/>
        </w:rPr>
        <w:t>AGENT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Appointment and Authorization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(including in each case in its capacity as, or on behalf of its Affiliate that is, a holder of Secured Hedge Obligations) and LC Issuer hereby irrevocably appoints Bank of Montreal, Chicago Branch to act on its behalf as the Administrative Agent hereunder and under the other Loan Documents and authorizes the Administrative Agent to take such actions on its behalf and to exercise such powers as are delegated to the Administrative Agent by the terms hereof or thereof or are reasonably incidental thereto, as determined by the Administrative Agent. The provisions of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are for the benefit of the Agents and the Lenders and LC Issuers, and neither the Parent nor any Obligor shall have any rights as a third party beneficiary of any of such provisions. It is understood and agreed that the use of the term “agent” herein or in any other Loan Documents (or any other similar term) with reference to an Agent is not intended to connote any fiduciary or other implied (or express) obligations arising under agency doctrine of any Requirement of Law. Instead such term is used as a matter of market custom, and is intended to create or reflect only an administrative relationship between contracting parties.</w:t>
      </w:r>
    </w:p>
    <w:p>
      <w:pPr>
        <w:spacing w:after="0" w:line="151"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Wilmington Trust, National Association shall act as the “collateral agent” under the Loan Documents, and each of the Lenders (including in each case in its capacity as, or on behalf of its Affiliate that is, a holder of Secured Hedge Obligations, and any other Permitted Hedge Counterparties) and LC Issuers hereby irrevocably appoints and authorizes the Collateral Agent to act as the agent of such Lender or LC Issuer for purposes of acquiring, holding and enforcing any and all Liens on Collateral granted by any of the Obligors to secure any of the Obligations, together with such powers and discretion as are reasonably incidental thereto. In this connection, Wilmington Trust, National Association, as “collateral agent” and any co-agents, sub-agents and attorneys-in-fact appointed by the Collateral Agent pursuant to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u w:val="single" w:color="auto"/>
          <w:color w:val="auto"/>
        </w:rPr>
        <w:t>Rights as a Lender</w:t>
      </w:r>
      <w:r>
        <w:rPr>
          <w:rFonts w:ascii="Times New Roman" w:cs="Times New Roman" w:eastAsia="Times New Roman" w:hAnsi="Times New Roman"/>
          <w:sz w:val="21"/>
          <w:szCs w:val="21"/>
          <w:color w:val="auto"/>
        </w:rPr>
        <w:t>. The Person serving as the Administrative Agent hereunder shall have the same rights and powers in its capacity as a Lender (or if applicable LC Issuer) as any other Lender (or if applicable LC Issuer) and may exercise the same as though it were not the Administrative Agent and the term “Lender” or “Lenders” or “LC Issuers” shall,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34" w:name="page135"/>
    <w:bookmarkEnd w:id="134"/>
    <w:p>
      <w:pPr>
        <w:jc w:val="both"/>
        <w:spacing w:after="0" w:line="217" w:lineRule="auto"/>
        <w:rPr>
          <w:sz w:val="20"/>
          <w:szCs w:val="20"/>
          <w:color w:val="auto"/>
        </w:rPr>
      </w:pPr>
      <w:r>
        <w:rPr>
          <w:rFonts w:ascii="Times New Roman" w:cs="Times New Roman" w:eastAsia="Times New Roman" w:hAnsi="Times New Roman"/>
          <w:sz w:val="22"/>
          <w:szCs w:val="22"/>
          <w:color w:val="auto"/>
        </w:rPr>
        <w:t>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LC Issuers.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xml:space="preserve">. The Agents shall not have any duties or obligations except those expressly set forth herein and in the other Loan Documents, and their duties hereunder shall be administrative in nature. Without limiting the generality of the foregoing or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each Agent:</w:t>
      </w:r>
    </w:p>
    <w:p>
      <w:pPr>
        <w:spacing w:after="0" w:line="140" w:lineRule="exact"/>
        <w:rPr>
          <w:sz w:val="20"/>
          <w:szCs w:val="20"/>
          <w:color w:val="auto"/>
        </w:rPr>
      </w:pPr>
    </w:p>
    <w:p>
      <w:pPr>
        <w:ind w:left="1940" w:hanging="636"/>
        <w:spacing w:after="0"/>
        <w:tabs>
          <w:tab w:leader="none" w:pos="19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continuing;</w:t>
      </w:r>
    </w:p>
    <w:p>
      <w:pPr>
        <w:spacing w:after="0" w:line="155"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an Agent is required to exercise as directed in writing by the Required Lenders (or such other number or percentage of the Lenders and LC Issuers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an Agent shall not be required to take any action that, in its opinion or the opinion of its counsel, may expose an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or responsibility to disclose, and shall not be liable for the failure to disclose, to any Lender or LC Issuer, any credit or other information concerning the business, prospects, operations, property, financial and other condition or creditworthiness of any of the Parent or the Obligors or any of their Affiliates, that is communicated to, obtained by or in the possession of, an Agent or any of their Related Parties in any capacity, except for notices, reports and other documents expressly required to be furnished to the Lenders or LC Issuers by an Agent herein;</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liable for any action taken or not taken by it (i) with the consent or at the request of the Required Lenders (or such other number or percentage of the Lenders or LC Issuers as shall be necessary, or as an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or (ii) in the absence of its own gross negligence or willful misconduct as determined by a court of competent jurisdiction by final and nonappealable judgment. An Agent shall be deemed not to have knowledge of any Default unless and until notice describing such Default is given in writing to an Agent (in the case of the Collateral Agent and the Depositary Agent, to a Trust Officer) by the Borrower or a Lender or an LC Issuer; and</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elsewhere herein, other than to confirm receipt of items expressly required to be delivered to an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35" w:name="page136"/>
    <w:bookmarkEnd w:id="135"/>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Reliance by the Agent</w:t>
      </w:r>
      <w:r>
        <w:rPr>
          <w:rFonts w:ascii="Times New Roman" w:cs="Times New Roman" w:eastAsia="Times New Roman" w:hAnsi="Times New Roman"/>
          <w:sz w:val="21"/>
          <w:szCs w:val="21"/>
          <w:color w:val="auto"/>
        </w:rPr>
        <w:t>s. An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An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or LC Issuer, an Agent may presume that such condition is satisfactory to such Lender or LC Issuer unless an Agent shall have received notice to the contrary from such Lender or LC Issuer prior to the making of such Term Loan. An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An Agent may perform any and all of its duties and exercise its rights and powers hereunder or under any other Loan Document by or through any one or more sub-agents appointed by the Agent. An Agent and any such sub-agent may perform any and all of its duties and exercise its rights and powers by or through their respective Related Parties. The exculpatory provisions of this Article shall apply to any such sub-agent and to the Related Parties of an Agent and any such sub-agent, and shall apply to their respective activities in connection with the syndication of the credit facilities provided for herein as well as activities as Agent. An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Resignation of Administrative Agent or Collateral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1" w:lineRule="auto"/>
        <w:tabs>
          <w:tab w:leader="none" w:pos="193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Collateral Agent may at any time give notice of its resignation to the Lenders,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or Collateral Agent gives notice of its resignation (or such earlier day as shall be agreed by the Required Lenders) (the “</w:t>
      </w:r>
      <w:r>
        <w:rPr>
          <w:rFonts w:ascii="Times New Roman" w:cs="Times New Roman" w:eastAsia="Times New Roman" w:hAnsi="Times New Roman"/>
          <w:sz w:val="21"/>
          <w:szCs w:val="21"/>
          <w:u w:val="single" w:color="auto"/>
          <w:color w:val="auto"/>
        </w:rPr>
        <w:t>Resignation Effective Date</w:t>
      </w:r>
      <w:r>
        <w:rPr>
          <w:rFonts w:ascii="Times New Roman" w:cs="Times New Roman" w:eastAsia="Times New Roman" w:hAnsi="Times New Roman"/>
          <w:sz w:val="21"/>
          <w:szCs w:val="21"/>
          <w:color w:val="auto"/>
        </w:rPr>
        <w:t xml:space="preserve">”), then the retiring Administrative Agent or Collateral Agent may (but shall not be obligated to) on behalf of the Lenders and LC Issuers, appoint a successor Administrative Agent or Collateral Agent, as applicable, meeting the qualifications set forth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any such successor Administrative or Collateral Agent be a Defaulting Lender. Whether or not a successor has been appointed, such resignation shall become effective in accordance with such notice on the Resignation Effective Date.</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Person serving as Administrative Agent or Collateral Agent is a Defaulting Lender pursuant to clause</w:t>
      </w:r>
    </w:p>
    <w:p>
      <w:pPr>
        <w:jc w:val="both"/>
        <w:ind w:firstLine="8"/>
        <w:spacing w:after="0" w:line="211" w:lineRule="auto"/>
        <w:tabs>
          <w:tab w:leader="none" w:pos="31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the Required Lenders may, to the extent permitted by any Requirement of Law, by notice in writing to the Borrower and such Person remove such Person as Administrative Agent or Collateral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36" w:name="page137"/>
    <w:bookmarkEnd w:id="136"/>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With effect from the Resignation Effective Date or the Removal Effective Date (as applicable) (1) the retiring or removed Administrative Agent or Collateral Agent, as applicable, shall be discharged from its duties and obligations hereunder and under the other Loan Documents and (2) except for any indemnity payments or other amounts then owed to the retiring or removed Administrative Agent or Collateral Agent, as applicable, all payments, communications and determinations provided to be made by, to or through the Administrative Agent shall instead be made by or to each Lender and LC Issuer directly, until such time, if any, as the Required Lenders appoint a successor Administrative Agent or Collateral Agent, as applicable, as provided for above. Upon the acceptance of a successor’s appointment as Administrative Agent or Collateral Agent hereunder, such successor shall succeed to and become vested with all of the rights, powers, privileges and duties of the retiring or removed Administrative Agent or Collateral Agent (other than as provided in </w:t>
      </w:r>
      <w:r>
        <w:rPr>
          <w:rFonts w:ascii="Times New Roman" w:cs="Times New Roman" w:eastAsia="Times New Roman" w:hAnsi="Times New Roman"/>
          <w:sz w:val="21"/>
          <w:szCs w:val="21"/>
          <w:u w:val="single" w:color="auto"/>
          <w:color w:val="auto"/>
        </w:rPr>
        <w:t>Section 2.6.4(e)</w:t>
      </w:r>
      <w:r>
        <w:rPr>
          <w:rFonts w:ascii="Times New Roman" w:cs="Times New Roman" w:eastAsia="Times New Roman" w:hAnsi="Times New Roman"/>
          <w:sz w:val="21"/>
          <w:szCs w:val="21"/>
          <w:color w:val="auto"/>
        </w:rPr>
        <w:t xml:space="preserve"> and other than any rights to indemnity payments or other amounts owed to the retiring or removed Administrative Agent or Collateral Agent, as applicable, as of the Resignation Effective Date or the Removal Effective Date, as applicable), and the retiring or removed Administrative Agent or Collateral Agent shall be discharged from all of its duties and obligations hereunder or under the other Loan Documents (if not already discharged therefrom as provided above in this Section). The fees payable by the Borrower to a successor Administrative Agent or Collateral Agent shall be the same as those payable to its predecessor unless otherwise agreed between the Borrower and such successor. After the retiring or removed Administrative Agent’s or Collateral Agent’s resignation or removal hereunder and under the other Loan Documents, the provisions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shall continue in effect for the benefit of such retiring or removed Administrative Agent or Collateral Agent, its sub-agents and their respective Related Parties in respect of any actions taken or omitted to be taken by any of them (i) while the retiring or removed Administrative Agent or Collateral Agent was acting as Administrative Agent or Collateral Agent, respectively, and (ii) after such resignation or removal for as long as any of them continues to act in any capacity hereunder or under the other Loan Documents, including (x) acting as collateral agent or otherwise holding any collateral security on behalf of any of the Lenders or LC Issuers and (y) in respect of any actions taken in connection with transferring the agency to any successor Administrative Agent or Collateral Agent.</w:t>
      </w:r>
    </w:p>
    <w:p>
      <w:pPr>
        <w:spacing w:after="0" w:line="16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Any corporation or national association into which the Collateral Agent may be converted or merged, or with which it may be consolidated, or to which it may sell or transfer all or substantially all of its corporate trust business and assets as a whole or substantially as a whole, or any resulting from any such conversion, sale, merger, consolidation or transfer to which the Collateral Agent is a party, will be and become the successor Collateral Agent under this Agreement and will have and succeed to the rights, powers, duties, immunities and privileges as its predecessor, without the execution or filing of any instrument or paper or the performance of any further act.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1.20 </w:t>
      </w:r>
      <w:r>
        <w:rPr>
          <w:rFonts w:ascii="Times New Roman" w:cs="Times New Roman" w:eastAsia="Times New Roman" w:hAnsi="Times New Roman"/>
          <w:sz w:val="22"/>
          <w:szCs w:val="22"/>
          <w:u w:val="single" w:color="auto"/>
          <w:color w:val="auto"/>
        </w:rPr>
        <w:t>Non-Reliance on the Administrative Agent and the Other Lenders</w:t>
      </w:r>
      <w:r>
        <w:rPr>
          <w:rFonts w:ascii="Times New Roman" w:cs="Times New Roman" w:eastAsia="Times New Roman" w:hAnsi="Times New Roman"/>
          <w:sz w:val="22"/>
          <w:szCs w:val="22"/>
          <w:color w:val="auto"/>
        </w:rPr>
        <w:t>. Each Lender and LC Issuer expressly acknowledges that no Agent has made any representation or warranty to it, and that no act by an Agent hereafter taken, including any consent to, and acceptance of any assignment or review of the affairs of Opal Fuels, the Parent, any Obligor or any Affiliate thereof, shall be deemed to constitute any representation or warranty by the Agent to any Lender or LC Issuer as to any matter, including whether the Agent has disclosed material information in its (or its Related Parties’) possession. Each Lender and LC Issuer represents to each of the Agents that it has, independently and without reliance upon the Agent, any other Lender or LC Issuer or any of their Related Parties and based on such documents and information as it has deemed appropriate, made its own credit analysis of, appraisal of, and investigation into, the business, prospects, operations, property, financial and other condition and creditworthiness of the Parent, the Obligors and their Subsidiaries, and all applicable bank or other regulatory laws relating to the transactions contemplated hereby, and made its own decision to enter into this Agreement and to extend credit to the Borrower hereunder. Each Lender and LC Issuer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37" w:name="page138"/>
    <w:bookmarkEnd w:id="137"/>
    <w:p>
      <w:pPr>
        <w:jc w:val="both"/>
        <w:spacing w:after="0" w:line="209" w:lineRule="auto"/>
        <w:rPr>
          <w:sz w:val="20"/>
          <w:szCs w:val="20"/>
          <w:color w:val="auto"/>
        </w:rPr>
      </w:pPr>
      <w:r>
        <w:rPr>
          <w:rFonts w:ascii="Times New Roman" w:cs="Times New Roman" w:eastAsia="Times New Roman" w:hAnsi="Times New Roman"/>
          <w:sz w:val="22"/>
          <w:szCs w:val="22"/>
          <w:color w:val="auto"/>
        </w:rPr>
        <w:t>acknowledges that it will, independently and without reliance upon the Agents, any other Lender or LC Issuer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Opal Fuels, the Parent or the Obligors. Each Lender and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LC Issuer agrees not to assert a claim in contravention of the foregoing. Each Lender and LC Issuer represents and warrants that it is sophisticated with respect to decisions to make, acquire and hold commercial loans and to provide other facilities set forth herein, as may be applicable to such Lender or LC Issuer, and either it, or the Person exercising discretion in making its decision to make, acquire and hold such commercial loans or to provide such other facilities, is experienced in making, acquiring or holding such commercial loans or providing such other facilities.</w:t>
      </w:r>
    </w:p>
    <w:p>
      <w:pPr>
        <w:spacing w:after="0" w:line="15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xml:space="preserve"> Anything herein to the contrary notwithstanding, none of the Joint Lead Arrangers or any other agent or similar title listed on the cover page hereof shall have any powers, duties or responsibilities under this Agreement or any of the other Loan Documents, except in its capacity, as applicable, as the Administrative Agent or a Lender or LC Issuer hereunder.</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Administrative Agent May File Proofs of Claim; Credit Bidding</w:t>
      </w:r>
      <w:r>
        <w:rPr>
          <w:rFonts w:ascii="Times New Roman" w:cs="Times New Roman" w:eastAsia="Times New Roman" w:hAnsi="Times New Roman"/>
          <w:sz w:val="22"/>
          <w:szCs w:val="22"/>
          <w:color w:val="auto"/>
        </w:rPr>
        <w:t>. In case of the pendency of any proceeding under any Debtor Relief Law or any other judicial proceeding relative to Opal Fuels, the Parent or any Obligor, the Administrative Agent or the Collateral Agent (at the written direction of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2" w:lineRule="exact"/>
        <w:rPr>
          <w:sz w:val="20"/>
          <w:szCs w:val="20"/>
          <w:color w:val="auto"/>
        </w:rPr>
      </w:pPr>
    </w:p>
    <w:p>
      <w:pPr>
        <w:jc w:val="both"/>
        <w:ind w:firstLine="1304"/>
        <w:spacing w:after="0" w:line="215" w:lineRule="auto"/>
        <w:tabs>
          <w:tab w:leader="none" w:pos="193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LC Issuers and the Administrative Agent (including any claim for the reasonable compensation, expenses, disbursements and advances of the Lenders, LC Issuers and the Administrative Agent and their respective agents and counsel and all other amounts due the Lenders, LC Issuers and the Agents under </w:t>
      </w:r>
      <w:r>
        <w:rPr>
          <w:rFonts w:ascii="Times New Roman" w:cs="Times New Roman" w:eastAsia="Times New Roman" w:hAnsi="Times New Roman"/>
          <w:sz w:val="22"/>
          <w:szCs w:val="22"/>
          <w:u w:val="single" w:color="auto"/>
          <w:color w:val="auto"/>
        </w:rPr>
        <w:t>Sections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allowed in such judicial proceeding; and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the same;</w:t>
      </w:r>
    </w:p>
    <w:p>
      <w:pPr>
        <w:spacing w:after="0" w:line="15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LC Issuer to make such payments to an Agent and, in the event that the Agent shall consent to the making of such payments directly to the Lenders and LC Issuers,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2"/>
          <w:szCs w:val="22"/>
          <w:u w:val="single" w:color="auto"/>
          <w:color w:val="auto"/>
        </w:rPr>
        <w:t>Sections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38" w:name="page139"/>
    <w:bookmarkEnd w:id="138"/>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Nothing contained herein shall be deemed to authorize an Agent to authorize or consent to or accept or adopt on behalf of any Lender or LC Issuer any plan of reorganization, arrangement, adjustment or composition affecting the Obligations or the rights of any Lender or LC Issuer to authorize an Agent to vote in respect of the claim of any Lender or LC Issuer in any such proceeding.</w:t>
      </w:r>
    </w:p>
    <w:p>
      <w:pPr>
        <w:spacing w:after="0" w:line="152"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The Lenders and LC Issuers (including any Affiliate providing Secured Hedge Agreements)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Requirements of Law in any other jurisdictions to which the Parent or an Obligor is subject or (b) at any other sale or foreclosure or acceptance of collateral in lieu of debt conducted by (or with the consent or at the direction of) the Administrative Agent (whether by judicial action or otherwise) in accordance with any applicable Requirements of Law. In connection with any such credit bid and purchase,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(iii) the Administrative Agent shall be authorized to assign the relevant Obligations to any such acquisition vehicle pro rata, as a result of which each of the Lenders and LC Issuers shall be deemed to have received a pro rata portion of any Equity Interests or debt instruments issued by such an acquisition vehicle on account of the assignment of the Obligations to be credit bid, all without the need for any Lender, LC Issuer or other holder of Obligations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and LC Issuers pro rata and the Equity Interests or debt instruments issued by any acquisition vehicle on account of the Obligations that had been assigned to the acquisition vehicle shall automatically be cancelled, without the need for any Lender, LC Issuer or other holder of Obligations or any acquisition vehicle to take any further action.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Collateral and Guaranty Matters</w:t>
      </w:r>
      <w:r>
        <w:rPr>
          <w:rFonts w:ascii="Times New Roman" w:cs="Times New Roman" w:eastAsia="Times New Roman" w:hAnsi="Times New Roman"/>
          <w:sz w:val="22"/>
          <w:szCs w:val="22"/>
          <w:color w:val="auto"/>
        </w:rPr>
        <w:t xml:space="preserve">. Without limiting the provisions of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each Lender and LC Issuer (including in its capacity as a potential provider Secured Hedge Agreements) irrevocably authorizes the Collateral Agent (at the written direction of the Administrative Agent):</w:t>
      </w:r>
    </w:p>
    <w:p>
      <w:pPr>
        <w:spacing w:after="0" w:line="140" w:lineRule="exact"/>
        <w:rPr>
          <w:sz w:val="20"/>
          <w:szCs w:val="20"/>
          <w:color w:val="auto"/>
        </w:rPr>
      </w:pPr>
    </w:p>
    <w:p>
      <w:pPr>
        <w:ind w:left="1940" w:hanging="636"/>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Lien on any property granted to or held by the Collateral Agent under any Loan Document</w:t>
      </w:r>
    </w:p>
    <w:p>
      <w:pPr>
        <w:ind w:firstLine="8"/>
        <w:spacing w:after="0" w:line="225" w:lineRule="auto"/>
        <w:tabs>
          <w:tab w:leader="none" w:pos="32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aggregate Commitments and payment in full of all Obligations (other than (A) contingent indemnification obligations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39" w:name="page140"/>
    <w:bookmarkEnd w:id="139"/>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obligations and liabilities under Secured Hedge Agreements as to which arrangements satisfactory to the applicable provider of such products shall have been made), (ii) that is sold or otherwise disposed of or to be sold or otherwise disposed of as part of or in connection with any sale or other disposition permitted hereunder or under any other Loan Document to a Person that is not an Obligor, (iii) that constitutes an “Excluded Asset” (as such term is defined in the Security Agreement), or (iv) if approved, authorized or ratified in writing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w:t>
      </w:r>
    </w:p>
    <w:p>
      <w:pPr>
        <w:spacing w:after="0" w:line="152" w:lineRule="exact"/>
        <w:rPr>
          <w:sz w:val="20"/>
          <w:szCs w:val="20"/>
          <w:color w:val="auto"/>
        </w:rPr>
      </w:pPr>
    </w:p>
    <w:p>
      <w:pPr>
        <w:ind w:firstLine="1304"/>
        <w:spacing w:after="0" w:line="236" w:lineRule="auto"/>
        <w:tabs>
          <w:tab w:leader="none" w:pos="193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Guarantor from its obligations under the Guaranty if such Person ceases to be a Subsidiary as a result of a transaction permitted under the Loan Documents.</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Upon request by the Collateral Agent at any time, the Required Lenders (or the Administrative Agent acting at the direction of the Required Lenders) will confirm in writing the Collateral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9.10</w:t>
      </w:r>
      <w:r>
        <w:rPr>
          <w:rFonts w:ascii="Times New Roman" w:cs="Times New Roman" w:eastAsia="Times New Roman" w:hAnsi="Times New Roman"/>
          <w:sz w:val="22"/>
          <w:szCs w:val="22"/>
          <w:color w:val="auto"/>
        </w:rPr>
        <w:t xml:space="preserve">. In each case as specified in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the Collateral Agent will, at the Borrower’s expense, execute and deliver to the applicable Grantor such documents as such Grantor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The Collateral Agent shall not be responsible for the validity, sufficiency, value, genuineness, ownership or transferability of, or have a duty to ascertain or inquire into any representation or warranty regarding the existence, value or collectability of the Collateral, the existence, priority or perfection of the Collateral Agent’s Lien thereon, or any certificate prepared by the Parent or any Obligor in connection therewith, nor shall the Collateral Agent be responsible or liable to the Lenders or LC Issuers for any failure to monitor or maintain any portion of the Collateral. The Collateral Agent shall have no obligation to give, execute, deliver, file, record, authorize or obtain any financing statements, notices, instruments, documents, agreements, consents or other papers as shall be necessary to (i) create, preserve, perfect or validate the security interest granted to the Collateral Agent pursuant to the Loan Documents or (ii) enable the Collateral Agent to exercise and enforce its rights under the Loan Documents with respect to such pledge and security interest. In addition, the Collateral Agent shall have no responsibility or liability (i) in connection with the acts or omissions of the Borrower in respect of the foregoing or (ii) for or with respect to the legality, validity and enforceability of any security interest created in the Collateral or the perfection and priority of such security interest.</w:t>
      </w:r>
    </w:p>
    <w:p>
      <w:pPr>
        <w:spacing w:after="0" w:line="15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Collateral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Collateral Agent obeys or complies with any such writ, order or decree it shall not be liable to any of the other parties hereto or to any other person, firm or corporation, should, by reason of such compliance notwithstanding, such writ, order or decree be subsequently reversed, modified, annulled, set aside or vacated.</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Secured Hedge Agreements</w:t>
      </w:r>
      <w:r>
        <w:rPr>
          <w:rFonts w:ascii="Times New Roman" w:cs="Times New Roman" w:eastAsia="Times New Roman" w:hAnsi="Times New Roman"/>
          <w:sz w:val="22"/>
          <w:szCs w:val="22"/>
          <w:color w:val="auto"/>
        </w:rPr>
        <w:t xml:space="preserve">. No holder of Secured Hedge Obligations that obtains the benefits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the Guaranty or any Collateral by virtue of the provisions hereof or of the Guaranty or any Security Document shall have any right to notice of any action or to consent to, direct or object to any action hereunder or under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0" w:name="page141"/>
    <w:bookmarkEnd w:id="140"/>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otherwise in respect of the Collateral (including the release or impairment of any Collateral) other than in its capacity as a Lender or LC Issuer and, in such case, only to the extent expressly provided in the Loan Documents. Notwithstanding any other provision of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to the contrary, the Administrative Agent shall not be required to verify the payment of, or that other satisfactory arrangements have been made with respect to, Obligations arising under Secured Hedge Agreements unless the Administrative Agent has received written notice of such Obligations, together with such supporting documentation as the Administrative Agent may request, from the applicable holder thereof, as the case may be.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36" w:lineRule="auto"/>
        <w:tabs>
          <w:tab w:leader="none" w:pos="1939"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LC Issuer (x) represents and warrants, as of the date such Person became a Lender or LC Issuer party hereto, to, and (y) covenants, from the date such Person became a Lender or LC Issuer party hereto to the date such Person ceases being a Lender or LC Issuer (as applicable) party hereto, that at least one of the following is and will be true:</w:t>
      </w:r>
    </w:p>
    <w:p>
      <w:pPr>
        <w:spacing w:after="0" w:line="151"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8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or LC Issuer is not using “plan assets” (within the meaning of Section 3(42) of ERISA or otherwise) of one or more Benefit Plans with respect to such Lender’s or LC Issuer’s entrance into, participation in, administration of and performance of the Term Loans, the Commitments or this Agreement;</w:t>
      </w:r>
    </w:p>
    <w:p>
      <w:pPr>
        <w:spacing w:after="0" w:line="152"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6"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Commitments and this Agreement;</w:t>
      </w:r>
    </w:p>
    <w:p>
      <w:pPr>
        <w:spacing w:after="0" w:line="156"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92"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or LC Issuer is an investment fund managed by a “Qualified Professional Asset Manager” (within the meaning of Part VI of PTE 84-14), (B) such Qualified Professional Asset Manager made the investment decision on behalf of such Lender or such LC Issuer to enter into, participate in, administer and perform the Term Loans, the Commitments and this Agreement, (C) the entrance into, participation in, administration of and performance of the Term Loans, the Commitments and this Agreement satisfies the requirements of sub-sections (b) through (g) of Part I of PTE 84-14 and (D) to the best knowledge of such Lender or LC Issuer, the requirements of subsection (a) of Part I of PTE 84-14 are satisfied with respect to such Lender’s or such LC Issuer’s entrance into, participation in, administration of and performance of the Term Loans, the Commitments and this Agreement; or</w:t>
      </w:r>
    </w:p>
    <w:p>
      <w:pPr>
        <w:spacing w:after="0" w:line="156"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 or LC Issuer.</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clause (i) in the immediately preceding subsection (a) is true with respect to a Lender or LC Issuer or (2) a Lender or LC Issuer has provided another representation, warranty and covenant in accordance with clause (iv) in the immediately preceding subsection (a), such Lender LC or Issuer further (x) represents and warrants, as of the date such Person became a Lender or LC Issuer party hereto, to, and (y) covenants, from the date such Person became a Lender or an LC Issuer party hereto to the date such Person ceases being a Lender or LC Issuer (as applicable) party hereto, for the benefit of, the Administrative Agent and not, for the avoidance of doubt, to or for the benefit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1" w:name="page142"/>
    <w:bookmarkEnd w:id="141"/>
    <w:p>
      <w:pPr>
        <w:jc w:val="both"/>
        <w:spacing w:after="0" w:line="220" w:lineRule="auto"/>
        <w:rPr>
          <w:sz w:val="20"/>
          <w:szCs w:val="20"/>
          <w:color w:val="auto"/>
        </w:rPr>
      </w:pPr>
      <w:r>
        <w:rPr>
          <w:rFonts w:ascii="Times New Roman" w:cs="Times New Roman" w:eastAsia="Times New Roman" w:hAnsi="Times New Roman"/>
          <w:sz w:val="22"/>
          <w:szCs w:val="22"/>
          <w:color w:val="auto"/>
        </w:rPr>
        <w:t>the Borrower or any other Obligor, that the Administrative Agent is not a fiduciary with respect to the assets of such Lender or LC Issuer involved in such Lender’s or LC Issuer’s entrance into, participation in, administration of and performance of the Term Loans, the Commitments and this Agreement (including in connection with the reservation or exercise of any rights by the Administrative Agent under this Agreement, any Loan Document or any documents related hereto or thereto).</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u w:val="single" w:color="auto"/>
          <w:color w:val="auto"/>
        </w:rPr>
        <w:t>Additional Collateral Agent Exculpatory Provisions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a Federal Reserve Bank wire or telex or other wire or communication facility;</w:t>
      </w:r>
    </w:p>
    <w:p>
      <w:pPr>
        <w:spacing w:after="0" w:line="153" w:lineRule="exact"/>
        <w:rPr>
          <w:rFonts w:ascii="Times New Roman" w:cs="Times New Roman" w:eastAsia="Times New Roman" w:hAnsi="Times New Roman"/>
          <w:sz w:val="21"/>
          <w:szCs w:val="21"/>
          <w:color w:val="auto"/>
        </w:rPr>
      </w:pPr>
    </w:p>
    <w:p>
      <w:pPr>
        <w:ind w:right="20" w:firstLine="1952"/>
        <w:spacing w:after="0" w:line="236" w:lineRule="auto"/>
        <w:tabs>
          <w:tab w:leader="none" w:pos="258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required to expend or risk its own funds or otherwise incur any financial liability in the performance of any of its duties or in the exercise of any of its rights or powers hereunder;</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under no obligation to exercise any of the rights or powers vested in it by this Agreement at the request or direction of the applicable Person pursuant to the provisions of this Agreement unless such Person shall have offered to the Collateral Agent security or indemnity (satisfactory to the Collateral Agent in its sole and absolute discretion) against the costs, expenses and liabilities which may be incurred by it in compliance with such request or direction;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responsible or liable for special, indirect, punitive, incidental or consequential loss or damage of any kind whatsoever (including, but not limited to, loss of profit) irrespective of whether the Collateral Agent has been advised of the likelihood of such loss or damage and regardless of the form of action;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no responsibility or liability for any loss which may result from any investment or sale of investment made pursuant to this Agreement. The Collateral Agent is hereby authorized, in making or disposing of any investment permitted by this Agreement, to deal with itself (in its individual capacity) or with any one or more of its affiliates, whether it or any such affiliate is acting as agent of the Collateral Agent or for any third person or dealing as principal for its own account. The parties hereto acknowledge that the Collateral Agent is not providing investment supervision, recommendations, or advice.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rights of a Collateral Agent to do things enumerated in this Agreement shall not be construed as a duty and, with respect to such permissive rights, the Collateral Agent shall not be answerable for other than its gross negligence or willful misconduct.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the Collateral Agent shall have no duty to prepare or file any Federal or state tax report or return with respect to any funds held pursuant to this Agreement or any income earned thereon, except for the delivery and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of tax information reporting forms required to be delivered and filed with the Internal Revenue Service.</w:t>
      </w:r>
    </w:p>
    <w:p>
      <w:pPr>
        <w:spacing w:after="0" w:line="179" w:lineRule="exact"/>
        <w:rPr>
          <w:sz w:val="20"/>
          <w:szCs w:val="20"/>
          <w:color w:val="auto"/>
        </w:rPr>
      </w:pPr>
    </w:p>
    <w:p>
      <w:pPr>
        <w:jc w:val="both"/>
        <w:ind w:firstLine="1304"/>
        <w:spacing w:after="0" w:line="211" w:lineRule="auto"/>
        <w:tabs>
          <w:tab w:leader="none" w:pos="194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conflict, disagreement or dispute arises between, among, or involving any of the parties hereto concerning the meaning or validity of any provision hereunder or concerning any other matter relating to this Agreement, or the Collateral Agent is in doubt as to the action to be taken hereunder, the Collateral Agent may, at its option, after sending written notice of the same to the Administrative Agent and the Borrower, refuse to act until such time as it (a) receives a final non-appealable order of a court of competent jurisdiction or (b) receives a written instruction, executed by each of the parties involved in such disagreement or dispute, in a form reasonably acceptable to the Collateral Agent. The Collateral Agent will be entitled to act on any such written instruction or final, non-appealable order of a court of competent jurisdiction without further question, inquiry or consent. The Collateral Agent may file an interpleader action in a state or federal court, and upon the filing thereof, the Collateral Agent will be relieved of all liability and will be entitled to recover reasonable and documented out-of-pocket attorneys’ fees, expenses and other costs incurred in commencing and maintaining any such interpleader action.</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Collateral Agent nor any of its directors, officers, employees, agents or affiliates shall be responsible for nor have any duty to monitor the performance or any action of any other party to the Loan Documents, or any of their directors, members, officers, agents, affiliates or employee, nor shall it have any liability in connection with the malfeasance or nonfeasance by such party. The Collateral Agent may assume performance by all such Persons of their respective obligations. The Collateral Agent shall have no enforcement or notification obligations relating to breaches of representations or warranties of any other Person. The Collateral Agent shall neither be responsible for, nor chargeable with, knowledge of the terms and conditions of any other agreement, instrument, or document other than the Loan Documents to which it is a not party, whether or not an original or a copy of such agreement has been provided to the Collateral Agent.</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10</w:t>
      </w: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Notices; Effectiveness; Electronic Communications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in each case, if to the Borrower, any Agent, any Lender or LC Issuer,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below shall be effective as provided in such subsection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3" w:name="page144"/>
    <w:bookmarkEnd w:id="143"/>
    <w:p>
      <w:pPr>
        <w:jc w:val="both"/>
        <w:ind w:firstLine="1304"/>
        <w:spacing w:after="0" w:line="211"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Notices and other materials and/or information provided by or on behalf of the Borrower to the Credit Parties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may be delivered or furnished by electronic communication (including e-mail, FpML messaging, and Internet or intranet websites), including by posting communications to Debt Domain, IntraLinks,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LC Issuer pursuant to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if such Lender or LC Issuer has notified the Administrative Agent that it is incapable of receiving notices under such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by electronic communication. Any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5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56" w:lineRule="exact"/>
        <w:rPr>
          <w:sz w:val="20"/>
          <w:szCs w:val="20"/>
          <w:color w:val="auto"/>
        </w:rPr>
      </w:pPr>
    </w:p>
    <w:p>
      <w:pPr>
        <w:jc w:val="both"/>
        <w:ind w:firstLine="1304"/>
        <w:spacing w:after="0" w:line="210"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Platform</w:t>
      </w:r>
      <w:r>
        <w:rPr>
          <w:rFonts w:ascii="Times New Roman" w:cs="Times New Roman" w:eastAsia="Times New Roman" w:hAnsi="Times New Roman"/>
          <w:sz w:val="22"/>
          <w:szCs w:val="2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the Borrower, any Lender, an LC Issuer or any other Person for losses, claims, damages, liabilities or expenses of any kind (whether in tort, contract or otherwise) arising out of the Parent’s, the Borrower’s, any Obligor’s or the Administrative Agent’s transmission of Borrower Materials or notices through the Platform, any other electronic platform or electronic messaging service, or through the Internet.</w:t>
      </w:r>
    </w:p>
    <w:p>
      <w:pPr>
        <w:spacing w:after="0" w:line="151"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xml:space="preserve"> Each of the Borrower and the Administrative Agent may change its address, facsimile or telephone number for notices and other communications hereunder by notice to the other parties hereto. The Collateral Agent and each other Lender or LC Issuer may change its address, facsimile or telephone number for notices and other communications hereunder by notice to the Borrower and the Administrative Agent. In addition, each Lender and LC Issuer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or LC Issuer.</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Agents and Lenders</w:t>
      </w:r>
      <w:r>
        <w:rPr>
          <w:rFonts w:ascii="Times New Roman" w:cs="Times New Roman" w:eastAsia="Times New Roman" w:hAnsi="Times New Roman"/>
          <w:sz w:val="22"/>
          <w:szCs w:val="22"/>
          <w:color w:val="auto"/>
        </w:rPr>
        <w:t>. The Agents and the Lenders and LC Issuers shall be entitled to rely and act upon any notices (including telephonic notices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4" w:name="page145"/>
    <w:bookmarkEnd w:id="144"/>
    <w:p>
      <w:pPr>
        <w:jc w:val="both"/>
        <w:spacing w:after="0" w:line="213" w:lineRule="auto"/>
        <w:rPr>
          <w:sz w:val="20"/>
          <w:szCs w:val="20"/>
          <w:color w:val="auto"/>
        </w:rPr>
      </w:pPr>
      <w:r>
        <w:rPr>
          <w:rFonts w:ascii="Times New Roman" w:cs="Times New Roman" w:eastAsia="Times New Roman" w:hAnsi="Times New Roman"/>
          <w:sz w:val="22"/>
          <w:szCs w:val="22"/>
          <w:color w:val="auto"/>
        </w:rPr>
        <w:t>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Obligors shall indemnify each Agent, each Lender, each LC Issuer and the Related Parties of each of them from all losses, costs, expenses and liabilities resulting from the reliance by such Person on each notice purportedly given by or on behalf of the Borrower. All telephonic notices to and other telephonic communications with an Agent may be recorded by the Agent, and each of the parties hereto hereby consents to such recording.</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Expenses, Indemnity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8" w:lineRule="auto"/>
        <w:tabs>
          <w:tab w:leader="none" w:pos="194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Obligors jointly and severally agree to pay, promptly upon demand of any Agent or any Lender or LC Issuer, as applicable, whether or not the transactions contemplated hereby are consummated, the following fees, out-of-pocket disbursements, costs and other expenses, Taxes and charges: (i) the reasonable and documented fees and disbursements of counsel for such Person in connection with the preparation of this Agreement and the other Loan Documents and the transactions contemplated hereby and thereby, (ii) the reasonable fees and disbursements of counsel for such Person in connection with any amendment, supplement or modification of this Agreement or any other Loan Document, and any consent or waiver hereunder or thereunder (or any such instrument which is proposed but not executed and delivered); (iii) all reasonable costs and expenses incurred by such Person in connection with due diligence, (iv) all inspection, appraisal, environmental and technical fees, survey charges, title premiums and any other charges and fees incurred in connection with perfecting the Collateral Agent’s security interests in the Collateral; and other reasonable expenses incurred by any Agent or any Lender or LC Issuer in connection with the Loan, (v) all expenses and administrative fees incurred by such Person in connection with the performance of any inspections, field examinations or audits performed by such Person or any of its agents or representatives with respect to the Parent, any Obligor, its books and records, or any of its assets (including the inspections, examinations and audits referred to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and the preparation of reports with respect thereto as set forth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the occurrence of an Event of Default, the Obligors shall only pay such fees and expenses for one such inspection, examination or audit in any calendar year), and (vi) all Other Taxes. The Obligors further jointly and severally agree to pay, promptly upon demand by any Agent, all expenses incurred by any Agent or any Lender or LC Issuer, as applicable, in connection with the enforcement or preservation of any rights and remedies with respect to the Obligor or any of its assets hereunder or under any other Loan Document, including all costs of collection, all reasonable fees and disbursements of counsel, and all out-of-pocket expenses of such Person.</w:t>
      </w:r>
    </w:p>
    <w:p>
      <w:pPr>
        <w:spacing w:after="0" w:line="152"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other Obligor shall indemnify each Agent (and any sub-agent thereof), each Lender, each LC Issuer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against, and hold each Indemnitee harmless from, any and all losses, claims, damages, liabilities and related expenses (including the reasonable and documented fees and out-of-pocket charges and disbursements of any counsel for any Indemnitee) incurred by any Indemnitee or asserted against any Indemnitee by any Person (including the Parent, the Borrower or any other Obligor) other than such Indemnitee and its Related Parties,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Term Loan or the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5" w:name="page146"/>
    <w:bookmarkEnd w:id="145"/>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or proposed use of the proceeds therefrom, (iii) any actual or alleged presence or Release of Hazardous Substances at, on, under or emanating from any property owned, leased or operated by the Borrower or any of its Subsidiaries, or any liability arising under Environmental Laws related in any way to the Projects, the Borrower or any of its Subsidiaries, or (iv) any actual or prospective claim, litigation, investigation or proceeding relating to any of the foregoing, whether based on contract, tort or any other theory, whether brought by a third party or by the Parent, the Borrower or any other Obligor,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52" w:lineRule="exact"/>
        <w:rPr>
          <w:sz w:val="20"/>
          <w:szCs w:val="20"/>
          <w:color w:val="auto"/>
        </w:rPr>
      </w:pPr>
    </w:p>
    <w:p>
      <w:pPr>
        <w:jc w:val="both"/>
        <w:ind w:firstLine="1304"/>
        <w:spacing w:after="0" w:line="210" w:lineRule="auto"/>
        <w:tabs>
          <w:tab w:leader="none" w:pos="194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Obligors for any reason fails to indefeasibly pay any amount required under subsection (a) or (b) of this Section to be paid by it to an Agent (or any sub-agent thereof) or any Related Party thereof, each Lender and LC Issuer severally agrees to pay to the Agent (or any such sub-agent) or such Related Party, as the case may be, such Lender’s or such LC Issuer’s pro rata share (determined as of the time that the applicable unreimbursed expense or indemnity payment is sought based on each Lender’s or LC Issuer’s share of the aggregate unused Commitments and outstanding Term Loans at such time) of such unpaid amount (including any such unpaid amount in respect of a claim asserted by such Lender or LC Issuer), such payment to be made severally among them based on such Lender’s or LC Issuer’s Proportionate Share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Agent (or any such sub-agent) in its capacity as such, or against any Related Party thereof acting for the Agent (or any such sub-agent) in connection with such capacity. The obligations of the Lenders and LC Issuers under this subsection (c) are subject to the provisions of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Requirements of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4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not later than ten (10) Business Days after demand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therefor.</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agreements in this Section and the indemnity provisions of </w:t>
      </w:r>
      <w:r>
        <w:rPr>
          <w:rFonts w:ascii="Times New Roman" w:cs="Times New Roman" w:eastAsia="Times New Roman" w:hAnsi="Times New Roman"/>
          <w:sz w:val="22"/>
          <w:szCs w:val="22"/>
          <w:u w:val="single" w:color="auto"/>
          <w:color w:val="auto"/>
        </w:rPr>
        <w:t>Section 10.1(e)</w:t>
      </w:r>
      <w:r>
        <w:rPr>
          <w:rFonts w:ascii="Times New Roman" w:cs="Times New Roman" w:eastAsia="Times New Roman" w:hAnsi="Times New Roman"/>
          <w:sz w:val="22"/>
          <w:szCs w:val="22"/>
          <w:color w:val="auto"/>
        </w:rPr>
        <w:t xml:space="preserve"> shall survive the resignation of any Agent, the replacement of any Lender or LC Issuer, the termination of the Commitments and the repayment, satisfaction or discharge of all the other Obligations, and shall be in addition to any other obligations or liabilities of the Parent or the Obligors to any Agent or any Lender or LC Issuer hereunder, under any other Loan Document, or at common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6" w:name="page147"/>
    <w:bookmarkEnd w:id="146"/>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No amendment or waiver of any provision of this Agreement or any other Loan Document, and no consent to any departure by the Borrower, the Parent or any other Obligor therefrom, shall be effective unless in writing signed by the Administrative Agent, the Required Lenders and the Borrower or the applicable other Obligor, as the case may be,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amendment, waiver or consent shall:</w:t>
      </w:r>
    </w:p>
    <w:p>
      <w:pPr>
        <w:spacing w:after="0" w:line="139" w:lineRule="exact"/>
        <w:rPr>
          <w:sz w:val="20"/>
          <w:szCs w:val="20"/>
          <w:color w:val="auto"/>
        </w:rPr>
      </w:pPr>
    </w:p>
    <w:p>
      <w:pPr>
        <w:ind w:left="1960" w:hanging="656"/>
        <w:spacing w:after="0"/>
        <w:tabs>
          <w:tab w:leader="none" w:pos="19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condition set forth in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without the written consent of all Lenders and LC</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party hereto;</w:t>
      </w:r>
    </w:p>
    <w:p>
      <w:pPr>
        <w:spacing w:after="0" w:line="14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or increase any Commitment of any Lender or LC Issuer without the written consent of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or LC Issuer;</w:t>
      </w:r>
    </w:p>
    <w:p>
      <w:pPr>
        <w:spacing w:after="0" w:line="155"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of principal, interest, fees or other amounts due to Lenders or LC Issuers (or any of them) hereunder or under any other Loan Document without the written consent of each Lender and LC Issuer directly affected thereby;</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the Loans or any fees or other amounts payable hereunder or under any other Loan Document, without the written consent of each Lender and LC Issuer directly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or any fee payable hereunder;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definition of the term Proportionate Share without the written consent of each Lender and LC</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this Section or the definition of “Lenders”, “LC Issuers” or “Required Lenders” or any other provision hereof specifying the number or percentage of Lenders or LC Issuers required to amend, waive, consent or otherwise modify any rights hereunder or under any other Loan Document or make any determination or grant any consent hereunder, without the written consent of each Lender or LC Issuer, as applicable;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pro rata treatment of payment under the Loan Documents, including any provision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without the written consent of each Lender and LC Issuer;</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Guarantor from its Guarantee Obligations hereunder or under the Guaranties or release the Liens under any of the Security Documents on all or substantially all of the Collateral in any transaction or series of related transactions except in accordance with the terms of any Loan Document, without the written consent of each Lender and LC Issuer;</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waive or modify the definitions of “Acceptable Credit Provider” or “Eligible Bank”, without the written consent of each Lender;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definitions or any other provision in a manner that would alter the nature of the secured position of the Lenders or LC Issuers or a Lender’s or LC Issuer’s entitlement to a pro rata allocation of the Collateral securing the Obligations upon a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or acceleration of the Obligations, without the prior written consent of each Lender and LC Issuer;</w:t>
      </w:r>
    </w:p>
    <w:p>
      <w:pPr>
        <w:spacing w:after="0" w:line="179" w:lineRule="exact"/>
        <w:rPr>
          <w:sz w:val="20"/>
          <w:szCs w:val="20"/>
          <w:color w:val="auto"/>
        </w:rPr>
      </w:pPr>
    </w:p>
    <w:p>
      <w:pPr>
        <w:ind w:firstLine="1304"/>
        <w:spacing w:after="0" w:line="236" w:lineRule="auto"/>
        <w:tabs>
          <w:tab w:leader="none" w:pos="19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stated expiration date of a Letter of Credit beyond the Term Conversion Date or the Maturity Date, as applicable, without the prior written consent of each Lender directly affected thereby and the applicable LC Issuer;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order of priority of payments set forth in Sections 3.1(b) and 3.3(b) of the Depositary Agreement, without the prior written consent of each Lender and LC Issuer adversely affected thereby;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otherwise affect the rights, powers, immunities, privileges or duties of an Agent or an LC Issuer without the prior written consent of such Agent or such LC Issuer, as applicable;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or otherwise amend the definitions of “DSR Availability Period”, “Term Loan Availability Period” or “Term Loan Availability Period Termination Date”, without the prior written consent of each Lender and LC Issuer adversely affected thereby;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change the definition of “Target Debt Balance” or “Required Target Debt Balance Amortization Payment” or amend Section 3.3(b)(vii) of the Depositary Agreement, without the written consent of each Lender;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each Lender and LC Issuer directly affected thereby, subordinate, or have the effect of subordinating, the Obligations hereunder to any other Indebtedness or other obligation, including by subordination of the Liens on any material portion of the Collateral under the Loan Documents;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modify or waive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 xml:space="preserve"> in any manner that would permit an assignment by Borrower of its rights or obligations under this Agreement except as expressly permitted hereunder;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3"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extend the Date Certain (or amend the definition of “Substantial Completion Date” in a way that allows for it to occur after the Date Certain or of “Term Conversion” in a way that allows for it to occur after the Date Certain) or the Maturity Date or reduce the principal amount of any outstanding Loans or Notes or reduce the rate or change the time of payment of interest due on any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the consent of the Required Lenders shall be necessary to amend the definition of “Default Rate” (but not to a rate less than zero) or to waive any obligation of Borrower to pay interest at the Default Rate;</w:t>
      </w:r>
    </w:p>
    <w:p>
      <w:pPr>
        <w:spacing w:after="0" w:line="15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no amendment, waiver or consent shall, unless in writing and signed by an Agent in addition to the Lenders and LC Issuers required above, affect the rights, powers, immunities, privileges or duties of such Agent under this Agreement or any other Loan Document. Notwithstanding anything to the contrary herein, (i) no Defaulting Lender shall have any right to approve or disapprove any amendment, waiver or consent hereunder, except that no Commitment of such Lender or LC Issuer may be increased or extended without the consent of such Lender or LC Issuer and the principal amount owing to any Defaulting Lender shall not be reduced without its consent, and (ii) at the discretion of any Lender or LC Issuer, such Lender or LC Issuer may purchase the interest of any Defaulting Lender hereunder at par and obtain an assignment of one hundred percent such Lender’s or such LC Issuer’s right, title and interest under this Agreement and the other Loan Documents. Notwithstanding the fact that the consent of all the Lenders and LC Issuers is required in certain circumstances as set forth above, (A) each Lender and LC Issuer is entitled to vote as such Lender or LC Issuer sees fit on any reorganization plan that affects the Loans or LC Exposure, and each Lender and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8" w:name="page149"/>
    <w:bookmarkEnd w:id="148"/>
    <w:p>
      <w:pPr>
        <w:jc w:val="both"/>
        <w:spacing w:after="0" w:line="225" w:lineRule="auto"/>
        <w:rPr>
          <w:sz w:val="20"/>
          <w:szCs w:val="20"/>
          <w:color w:val="auto"/>
        </w:rPr>
      </w:pPr>
      <w:r>
        <w:rPr>
          <w:rFonts w:ascii="Times New Roman" w:cs="Times New Roman" w:eastAsia="Times New Roman" w:hAnsi="Times New Roman"/>
          <w:sz w:val="22"/>
          <w:szCs w:val="22"/>
          <w:color w:val="auto"/>
        </w:rPr>
        <w:t>acknowledges that the provisions of Section 1126(c) of the Bankruptcy Code supersede the unanimous consent provisions set forth herein and (B) the Required Lenders may consent to allow the Borrower to use cash collateral in the context of a bankruptcy or insolvency proceeding.</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No Waiver; Cumulative Remedies</w:t>
      </w:r>
      <w:r>
        <w:rPr>
          <w:rFonts w:ascii="Times New Roman" w:cs="Times New Roman" w:eastAsia="Times New Roman" w:hAnsi="Times New Roman"/>
          <w:sz w:val="22"/>
          <w:szCs w:val="22"/>
          <w:color w:val="auto"/>
        </w:rPr>
        <w:t>. No failure by any Lender or LC Issuer or any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hereunder and in the other Loan Documents (or in any amendment, modification or supplement hereto or thereto) and in any certificate or other document delivered pursuant hereto or such other Loan Documents or in connection herewith or therewith shall survive the execution and delivery of this Agreement and the other Loan Documents and the making of the Loan hereunder, and unless specified otherwise, shall continue in full force and effect until the Term Loans and all other Obligations shall have been indefeasibly paid in full and all Commitments have terminated. All such representations and warranties have been or will be relied upon by the Agents and each Lender and LC Issuer, regardless of any investigation made by any Agent or any Lender or LC Issuer or on their behalf and notwithstanding that any Agent or any Lender or LC Issuer may have had notice or knowledge of any Default at the time of any Loan.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assigns permitted hereby, except that neither the Parent, the Borrower nor any other Obligor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(ii) by way of participation in accordance with the provisions of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 xml:space="preserve"> or (iii) by way of pledge or assignment of a security interest subject to the restrictions of </w:t>
      </w:r>
      <w:r>
        <w:rPr>
          <w:rFonts w:ascii="Times New Roman" w:cs="Times New Roman" w:eastAsia="Times New Roman" w:hAnsi="Times New Roman"/>
          <w:sz w:val="22"/>
          <w:szCs w:val="22"/>
          <w:u w:val="single" w:color="auto"/>
          <w:color w:val="auto"/>
        </w:rPr>
        <w:t>Section 10.7(f)</w:t>
      </w:r>
      <w:r>
        <w:rPr>
          <w:rFonts w:ascii="Times New Roman" w:cs="Times New Roman" w:eastAsia="Times New Roman" w:hAnsi="Times New Roman"/>
          <w:sz w:val="22"/>
          <w:szCs w:val="22"/>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or LC Issuer may at any time assign to one or more assignees all or a portion of its rights and obligations under this Agreement (including all or a portion of its Commitments and the Loans and LC Reimbursement Obligations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DSR Lender which sells,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49" w:name="page150"/>
    <w:bookmarkEnd w:id="149"/>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assigns, transfers, negotiates or otherwise disposes of a portion of one or more of its DSR Loan Commitments (including, for purposes of this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LC Loans made hereunder and LC Reimbursement Obligations), the consent of any LC Issuers shall be required (such consent not to be unreasonably withheld);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52" w:lineRule="exact"/>
        <w:rPr>
          <w:sz w:val="20"/>
          <w:szCs w:val="20"/>
          <w:color w:val="auto"/>
        </w:rPr>
      </w:pPr>
    </w:p>
    <w:p>
      <w:pPr>
        <w:ind w:left="2580" w:hanging="628"/>
        <w:spacing w:after="0"/>
        <w:tabs>
          <w:tab w:leader="none" w:pos="25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5"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(if any) of the assigning Lender’s or LC Issuer’s Commitments and all Loans or LC Reimbursement Obligations under any Facility at the time owing to it or in the case of an assignment to a Lender or LC Issuer, an Affiliate of a Lender or LC Issuer or an Approved Fund, no minimum amount need be assigned;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35"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case not described in </w:t>
      </w:r>
      <w:r>
        <w:rPr>
          <w:rFonts w:ascii="Times New Roman" w:cs="Times New Roman" w:eastAsia="Times New Roman" w:hAnsi="Times New Roman"/>
          <w:sz w:val="22"/>
          <w:szCs w:val="22"/>
          <w:u w:val="single" w:color="auto"/>
          <w:color w:val="auto"/>
        </w:rPr>
        <w:t>subparagraph (i)(1)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the aggregate amount of the Commitments and principal outstanding balance of the Loan of a particular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$3,000,000, unless each of the Administrative Agent and, so long as no Event of Default has occurred and is continuing, the Borrower otherwise consents (each such consent not to be unreasonably withheld or delayed);</w:t>
      </w:r>
    </w:p>
    <w:p>
      <w:pPr>
        <w:spacing w:after="0" w:line="152"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of the Borrower or Administrative Agent shall be required for any assignment nor shall any other consent be required except: (1) the consent of the Borrower (such consent not to be unreasonably withheld or delayed) will be required unless (A) an Event of Default has occurred and is continuing at the time of such assignment, or (B) such assignment is to a Lender or LC Issuer, an Affiliate of a Lender or LC Issuer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will be deemed to have consented to any such assignment unless it objects thereto by written notice to the Administrative Agent within five (5) Business Days after having received notice thereof, and (2) the consent of the Administrative Agent (such consent not to be unreasonably withheld or delayed) shall be required for assignments to a Person who is not a Lender or LC Issuer, an Affiliate of a Lender or LC Issuer or an Approved Fund.</w:t>
      </w:r>
    </w:p>
    <w:p>
      <w:pPr>
        <w:spacing w:after="0" w:line="156"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9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only one such fee will be payable in connection with simultaneous assignments to two or more Approved Funds by a Lender or LC Issuer). The assignee, if it is not a Lender or LC Issuer, shall deliver to the Administrative Agent an Administrative Questionnaire.</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xml:space="preserve">. No such assignment shall be made (A) to the Borrower or any of the Borrower’s Affiliates or Subsidiaries or (B) to any Defaulting Lender or any of its Subsidiaries, or any Person who, upon becoming a Lender or LC Issuer hereunder, would constitute any of the foregoing Persons described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Natural Persons</w:t>
      </w:r>
      <w:r>
        <w:rPr>
          <w:rFonts w:ascii="Times New Roman" w:cs="Times New Roman" w:eastAsia="Times New Roman" w:hAnsi="Times New Roman"/>
          <w:sz w:val="22"/>
          <w:szCs w:val="22"/>
          <w:color w:val="auto"/>
        </w:rPr>
        <w:t>. No such assignment shall be made to a natural Person (or a holding company, investment vehicle or trust for, or owned and operated by or for the primary benefit of one or more natural Persons).</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with respect to any Facility shall be made as an assignment of a proportionate part of all the assigning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50" w:name="page151"/>
    <w:bookmarkEnd w:id="150"/>
    <w:p>
      <w:pPr>
        <w:spacing w:after="0" w:line="236" w:lineRule="auto"/>
        <w:rPr>
          <w:sz w:val="20"/>
          <w:szCs w:val="20"/>
          <w:color w:val="auto"/>
        </w:rPr>
      </w:pPr>
      <w:r>
        <w:rPr>
          <w:rFonts w:ascii="Times New Roman" w:cs="Times New Roman" w:eastAsia="Times New Roman" w:hAnsi="Times New Roman"/>
          <w:sz w:val="22"/>
          <w:szCs w:val="22"/>
          <w:color w:val="auto"/>
        </w:rPr>
        <w:t>or LC Issuer’s rights and obligations under this Agreement with respect to the Class of Loans and Commitment assigned under such Facility.</w:t>
      </w:r>
    </w:p>
    <w:p>
      <w:pPr>
        <w:spacing w:after="0" w:line="150" w:lineRule="exact"/>
        <w:rPr>
          <w:sz w:val="20"/>
          <w:szCs w:val="20"/>
          <w:color w:val="auto"/>
        </w:rPr>
      </w:pPr>
    </w:p>
    <w:p>
      <w:pPr>
        <w:jc w:val="both"/>
        <w:ind w:firstLine="1952"/>
        <w:spacing w:after="0" w:line="209" w:lineRule="auto"/>
        <w:tabs>
          <w:tab w:leader="none" w:pos="2586"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of the applicable Facility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under the applicable Facility in accordance with its Proportionate Share with respect to such Facility. Notwithstanding the foregoing, in the event that any assignment of rights and obligations of any Defaulting Lender hereunder shall become effective under applicable Requirements of Law without compliance with the provisions of this subsection, then the assignee of such interest shall be deemed to be a Defaulting Lender for all purposes of this Agreement until such compliance occurs.</w:t>
      </w:r>
    </w:p>
    <w:p>
      <w:pPr>
        <w:spacing w:after="0" w:line="160" w:lineRule="exact"/>
        <w:rPr>
          <w:rFonts w:ascii="Times New Roman" w:cs="Times New Roman" w:eastAsia="Times New Roman" w:hAnsi="Times New Roman"/>
          <w:sz w:val="22"/>
          <w:szCs w:val="22"/>
          <w:color w:val="auto"/>
        </w:rPr>
      </w:pPr>
    </w:p>
    <w:p>
      <w:pPr>
        <w:jc w:val="both"/>
        <w:ind w:firstLine="1952"/>
        <w:spacing w:after="0" w:line="209" w:lineRule="auto"/>
        <w:tabs>
          <w:tab w:leader="none" w:pos="2592"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10.7(c)</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16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to each Facility of, and principal amounts (and stated interest) of the Loans of each Facility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(but only to the extent of entries in the Register that are applicable to such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51" w:name="page152"/>
    <w:bookmarkEnd w:id="151"/>
    <w:p>
      <w:pPr>
        <w:jc w:val="both"/>
        <w:ind w:firstLine="1304"/>
        <w:spacing w:after="0" w:line="210" w:lineRule="auto"/>
        <w:tabs>
          <w:tab w:leader="none" w:pos="193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the Borrower, Administrative Agent or any LC Issuer,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or the Loans or LC Reimbursement Obligations owing to it under either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LC Issuers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 xml:space="preserve"> without regard to the existence of any participation.</w:t>
      </w:r>
    </w:p>
    <w:p>
      <w:pPr>
        <w:spacing w:after="0" w:line="15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or modification described in the first proviso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that directly affects such Participant and could not be affected by a vote of the Required Lenders. Subject to </w:t>
      </w:r>
      <w:r>
        <w:rPr>
          <w:rFonts w:ascii="Times New Roman" w:cs="Times New Roman" w:eastAsia="Times New Roman" w:hAnsi="Times New Roman"/>
          <w:sz w:val="22"/>
          <w:szCs w:val="22"/>
          <w:u w:val="single" w:color="auto"/>
          <w:color w:val="auto"/>
        </w:rPr>
        <w:t>Section 10.7(e)</w:t>
      </w:r>
      <w:r>
        <w:rPr>
          <w:rFonts w:ascii="Times New Roman" w:cs="Times New Roman" w:eastAsia="Times New Roman" w:hAnsi="Times New Roman"/>
          <w:sz w:val="22"/>
          <w:szCs w:val="22"/>
          <w:color w:val="auto"/>
        </w:rPr>
        <w:t xml:space="preserve">, the Borrower agrees that each Participant shall be entitled to the benefits of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To the extent permitted by applicable law, each Participant also shall be entitled to the benefits of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Participant agrees to be subject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as though it were a Lender. Each Lender that sells a participation will, acting solely for this purpose as a non-fiduciary agent of the Borrower, maintain a register on which it enters the name and address of each Participant and the principal amounts of (and stated interest on) of each Participant’s interest in the Term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will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will treat each Person whose name is recorded in the Participant Register as the owner of such participation for all purposes of this Agreement notwithstanding any notice to the contrary. The Administrative Agent (in its capacity as Administrative Agent) will have no responsibility for maintaining a Participant Register.</w:t>
      </w:r>
    </w:p>
    <w:p>
      <w:pPr>
        <w:spacing w:after="0" w:line="154" w:lineRule="exact"/>
        <w:rPr>
          <w:sz w:val="20"/>
          <w:szCs w:val="20"/>
          <w:color w:val="auto"/>
        </w:rPr>
      </w:pPr>
    </w:p>
    <w:p>
      <w:pPr>
        <w:jc w:val="both"/>
        <w:ind w:firstLine="1304"/>
        <w:spacing w:after="0" w:line="227" w:lineRule="auto"/>
        <w:tabs>
          <w:tab w:leader="none" w:pos="1932"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upon Participant Rights</w:t>
      </w:r>
      <w:r>
        <w:rPr>
          <w:rFonts w:ascii="Times New Roman" w:cs="Times New Roman" w:eastAsia="Times New Roman" w:hAnsi="Times New Roman"/>
          <w:sz w:val="21"/>
          <w:szCs w:val="21"/>
          <w:color w:val="auto"/>
        </w:rPr>
        <w:t xml:space="preserve">. A Participant shall not be entitled to receive any greater payment under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sale of the participation to such Participant is made with the Borrower’s prior written consent. No Participant shall be entitled to the benefits of </w:t>
      </w:r>
      <w:r>
        <w:rPr>
          <w:rFonts w:ascii="Times New Roman" w:cs="Times New Roman" w:eastAsia="Times New Roman" w:hAnsi="Times New Roman"/>
          <w:sz w:val="21"/>
          <w:szCs w:val="21"/>
          <w:u w:val="single" w:color="auto"/>
          <w:color w:val="auto"/>
        </w:rPr>
        <w:t>Section 2.6.4</w:t>
      </w:r>
      <w:r>
        <w:rPr>
          <w:rFonts w:ascii="Times New Roman" w:cs="Times New Roman" w:eastAsia="Times New Roman" w:hAnsi="Times New Roman"/>
          <w:sz w:val="21"/>
          <w:szCs w:val="21"/>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1"/>
          <w:szCs w:val="21"/>
          <w:u w:val="single" w:color="auto"/>
          <w:color w:val="auto"/>
        </w:rPr>
        <w:t>Section 2.6.5</w:t>
      </w:r>
      <w:r>
        <w:rPr>
          <w:rFonts w:ascii="Times New Roman" w:cs="Times New Roman" w:eastAsia="Times New Roman" w:hAnsi="Times New Roman"/>
          <w:sz w:val="21"/>
          <w:szCs w:val="21"/>
          <w:color w:val="auto"/>
        </w:rPr>
        <w:t xml:space="preserve"> as though it were a Lender.</w:t>
      </w:r>
    </w:p>
    <w:p>
      <w:pPr>
        <w:spacing w:after="0" w:line="153"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32"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xml:space="preserve">. Any Lender may at any time pledge or assign a security interest in all or any portion of its rights under this Agreement (including under its Note, if any) to secure obligations of such Lender, including without limitation any pledge or assignment to secure obligations to a Federal Reserve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4" w:right="339" w:bottom="1440" w:gutter="0" w:footer="0" w:header="0"/>
        </w:sectPr>
      </w:pPr>
    </w:p>
    <w:bookmarkStart w:id="152" w:name="page153"/>
    <w:bookmarkEnd w:id="152"/>
    <w:p>
      <w:pPr>
        <w:jc w:val="both"/>
        <w:spacing w:after="0" w:line="236" w:lineRule="auto"/>
        <w:rPr>
          <w:sz w:val="20"/>
          <w:szCs w:val="20"/>
          <w:color w:val="auto"/>
        </w:rPr>
      </w:pPr>
      <w:r>
        <w:rPr>
          <w:rFonts w:ascii="Times New Roman" w:cs="Times New Roman" w:eastAsia="Times New Roman" w:hAnsi="Times New Roman"/>
          <w:sz w:val="22"/>
          <w:szCs w:val="22"/>
          <w:color w:val="auto"/>
        </w:rPr>
        <w:t>release such Lender from any of its obligations hereunder or substitute any such pledgee or assignee for such Lender as a party hereto.</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In addition to any rights and remedies of the Agents and Lenders provided by applicable law, each Agent, each Lender and each LC Issuer shall have the right, with the express consent of the Administrative Agent and without prior notice to the Parent or any Obligor, any such notice being expressly waived by the Parent and each Obligor, to the extent permitted by applicable law, upon the occurrence of an Event of Default to set off and appropriate and apply against any amount then due and payable by the Parent or any Obligor to any Agent, any Lender and any LC Issuer hereunder or under any other Loan Document, any and all deposits (general or special, time or demand, provisional or final), and any other credits, indebtedness or claims, in each case whether direct or indirect, absolute or contingent, matured or unmatured, at any time held or owing by the Administrative Agent, any Lender or LC Issuer or any branch or agency thereof to or for the credit or the account of the Parent or such Obligor.</w:t>
      </w:r>
    </w:p>
    <w:p>
      <w:pPr>
        <w:spacing w:after="0" w:line="15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INTERPRETED AND ENFORCED IN ACCORDANCE WITH, THE LAWS OF THE STATE OF NEW YORK WITHOUT REFERENCE TO ITS PRINCIPLES OF CONFLICTS OF LAW, OTHER THAN SECTIONS 5-1401 AND 5-1402 OF THE NEW YORK GENERAL OBLIGATIONS LAW.</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JUDICIAL PROCEEDINGS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8" w:lineRule="auto"/>
        <w:tabs>
          <w:tab w:leader="none" w:pos="1939"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IRREVOCABLY AND UNCONDITIONALLY AGREES THAT IT WILL NOT COMMENCE ANY ACTION, LITIGATION OR PROCEEDING OF ANY KIND OR DESCRIPTION, WHETHER IN LAW OR EQUITY, WHETHER IN CONTRACT OR IN TORT OR OTHERWISE, AGAINST ANY AGENT, ANY LENDER, ANY LC ISSUER OR ANY RELATED PARTY OF THE FOREGOING IN ANY WAY RELATING TO THIS AGREEMENT OR ANY OTHER LOAN DOCUMENT OR THE TRANSACTIONS RELATING HERETO OR THERETO, IN ANY FORUM OTHER THAN THE COURTS OF THE STATE OF NEW YORK AND OF THE UNITED STATES DISTRICT COURT OF THE SOUTHERN DISTRICT OF NEW YORK, IN EACH CASE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REQUIREMENTS OF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OR LC ISSUER MAY OTHERWISE HAVE TO BRING ANY ACTION OR PROCEEDING RELATING TO THIS AGREEMENT OR ANY OTHER LOAN DOCUMENT AGAINST THE PARENT OR ANY OBLIGOR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3" w:name="page154"/>
    <w:bookmarkEnd w:id="153"/>
    <w:p>
      <w:pPr>
        <w:jc w:val="both"/>
        <w:ind w:firstLine="1304"/>
        <w:spacing w:after="0" w:line="213" w:lineRule="auto"/>
        <w:tabs>
          <w:tab w:leader="none" w:pos="193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SUBSECTION (a) OF THIS SECTION. EACH OF THE PARTIES HERETO HEREBY IRREVOCABLY WAIVES, TO THE FULLEST EXTENT PERMITTED BY APPLICABLE REQUIREMENTS OF LAW, THE DEFENSE OF AN INCONVENIENT FORUM TO THE MAINTENANCE OF SUCH ACTION OR PROCEEDING IN ANY SUCH COURT.</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REQUIREMENTS OF LAW.</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 EXTENT PERMITTED BY APPLICABLE REQUIREMENTS OF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At any time and from time to time, upon the request of Administrative Agent, the Parent or the Borrower shall, and shall cause each other Obligor to, execute, deliver and acknowledge, or cause to be executed, delivered and acknowledged, such further documents and instruments, and shall take or refrain from taking such other action, as such Person may reasonably request in order to fully effect the purposes of this Agreement, the other Loan Documents and any other agreements, instruments and documents delivered pursuant hereto or in connection with the Loan.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Integration Clause</w:t>
      </w:r>
      <w:r>
        <w:rPr>
          <w:rFonts w:ascii="Times New Roman" w:cs="Times New Roman" w:eastAsia="Times New Roman" w:hAnsi="Times New Roman"/>
          <w:sz w:val="22"/>
          <w:szCs w:val="22"/>
          <w:color w:val="auto"/>
        </w:rPr>
        <w:t>. This Agreement and the other Loan Documents embody the entire agreement and understanding among the Parent, the Obligors, the Agents, the LC Issuers and the Lenders and supersede all prior agreements and understandings, whether written or oral, between the parties hereto relating to the subject matter of this Agreement.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If any part of this Agreement is contrary to, prohibited by, or deemed invalid under, any applicable law of any jurisdiction, such provision shall, as to such jurisdiction, be inapplicable and deemed omitted to the extent so contrary, prohibited or invalid, without invalidating the remainder hereof or affecting the validity or enforceability of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10.14</w:t>
      </w:r>
      <w:r>
        <w:rPr>
          <w:rFonts w:ascii="Times New Roman" w:cs="Times New Roman" w:eastAsia="Times New Roman" w:hAnsi="Times New Roman"/>
          <w:sz w:val="21"/>
          <w:szCs w:val="21"/>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4" w:name="page155"/>
    <w:bookmarkEnd w:id="154"/>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Counterparts; Electronic Signatures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6" w:lineRule="auto"/>
        <w:tabs>
          <w:tab w:leader="none" w:pos="1939"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any Loan Document and any other Communication, including Communications required to be in writing, may be in the form of an Electronic Record and may be executed using Electronic Signatures. Each Obligor and each Agent and each Lender and LC Issuer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21"/>
          <w:szCs w:val="21"/>
          <w:u w:val="single" w:color="auto"/>
          <w:color w:val="auto"/>
        </w:rPr>
        <w:t>Section 10.15(a)</w:t>
      </w:r>
      <w:r>
        <w:rPr>
          <w:rFonts w:ascii="Times New Roman" w:cs="Times New Roman" w:eastAsia="Times New Roman" w:hAnsi="Times New Roman"/>
          <w:sz w:val="21"/>
          <w:szCs w:val="21"/>
          <w:color w:val="auto"/>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or retention. The Agents and each of the Lenders and LC Issuers may, at its option, create one or more copies of any Communication in the form of an imaged Electronic Record (“</w:t>
      </w:r>
      <w:r>
        <w:rPr>
          <w:rFonts w:ascii="Times New Roman" w:cs="Times New Roman" w:eastAsia="Times New Roman" w:hAnsi="Times New Roman"/>
          <w:sz w:val="21"/>
          <w:szCs w:val="21"/>
          <w:u w:val="single" w:color="auto"/>
          <w:color w:val="auto"/>
        </w:rPr>
        <w:t>Electronic Copy</w:t>
      </w:r>
      <w:r>
        <w:rPr>
          <w:rFonts w:ascii="Times New Roman" w:cs="Times New Roman" w:eastAsia="Times New Roman" w:hAnsi="Times New Roman"/>
          <w:sz w:val="21"/>
          <w:szCs w:val="21"/>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Agents are not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foregoing,</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31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Administrative Agent has agreed to accept such Electronic Signature, each Agent and each of the Lenders and LC Issuers shall be entitled to rely on any such Electronic Signature purportedly given by or on behalf of any Obligor or any Lender without further verification and (b) upon the request of any Agent or any Lender or LC Issuer, any Electronic Signature shall be promptly followed by such manually executed counterpart.</w:t>
      </w:r>
    </w:p>
    <w:p>
      <w:pPr>
        <w:spacing w:after="0" w:line="153"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and each Lender and LC Issuer hereby waives (i) any argument, defense or right to contest the legal effect, validity or enforceability of this Agreement and any other Loan Document based solely on the lack of paper original copies of this Agreement or such other Loan Document, and (ii) waives any claim against each Agent, each Lender, each LC Issuer and each Related Party for any liabilities arising solely from the Administrative Agent’s or any Lender’s or LC Issuer’s reliance on or use of Electronic Signatures, including any liabilities arising as a result of the failure of the Parent or any Obligor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5" w:name="page156"/>
    <w:bookmarkEnd w:id="155"/>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Each Obligor hereby acknowledges that:</w:t>
      </w:r>
    </w:p>
    <w:p>
      <w:pPr>
        <w:spacing w:after="0" w:line="179" w:lineRule="exact"/>
        <w:rPr>
          <w:sz w:val="20"/>
          <w:szCs w:val="20"/>
          <w:color w:val="auto"/>
        </w:rPr>
      </w:pPr>
    </w:p>
    <w:p>
      <w:pPr>
        <w:ind w:firstLine="1304"/>
        <w:spacing w:after="0" w:line="236" w:lineRule="auto"/>
        <w:tabs>
          <w:tab w:leader="none" w:pos="194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represented and advised by counsel in the negotiation, execution and delivery of this Agreement and the other Loan Documents;</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(ab) neither any Agent nor any Lender nor any LC Issuer has any fiduciary relationship with or duty to it arising out of or in connection with this Agreement or any of the other Loan Documents, and the relationship between such Persons, on one hand, and the Parent or such Obligor, on the other hand, in connection herewith or therewith is solely that of creditor and debtor;</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(ac) no joint venture is created hereby or by the other Loan Document or otherwise exists by virtue of the transactions contemplated hereby between or among the Parent, any Obligor, any Agent or any Lender or LC Issuer; and</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(ad) this Agreement contains a waiver of trial by jury. In waiving trial by jury, the Parent and each Obligor hereby knowingly, intentionally, voluntarily, and unconditionally waives any and all rights it has or may have to prior notice and an opportunity for hearing and to trial by jury under the constitutions and laws of the United States and the State of New York.</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USA Patriot Act Notice</w:t>
      </w:r>
      <w:r>
        <w:rPr>
          <w:rFonts w:ascii="Times New Roman" w:cs="Times New Roman" w:eastAsia="Times New Roman" w:hAnsi="Times New Roman"/>
          <w:sz w:val="22"/>
          <w:szCs w:val="22"/>
          <w:color w:val="auto"/>
        </w:rPr>
        <w:t>. Each Lender and LC Issuer that is subject to the Patriot Act (as hereinafter defined) and each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the Parent, the Borrower and each other Obligor, which information includes the name and address of Opal Fuels, the Parent, the Borrower and each other Obligor and other information that will allow such Lender, LC Issuer or such Agent, as applicable, to identify the Parent, the Borrower and each other Obligor in accordance with the Patriot Act. The Borrower and each other Obligor shall, promptly following a request by any Agent or any Lender or LC Issuer, provide all documentation and other information that the Agent or such Lender or LC Issuer requests in order to comply with its ongoing obligations under applicable “know your customer” and anti-money laundering rules and regulations, including the Patriot Act, any Anti-Money Laundering Law and Sanctions.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Waiver of Subrogation</w:t>
      </w:r>
      <w:r>
        <w:rPr>
          <w:rFonts w:ascii="Times New Roman" w:cs="Times New Roman" w:eastAsia="Times New Roman" w:hAnsi="Times New Roman"/>
          <w:sz w:val="22"/>
          <w:szCs w:val="22"/>
          <w:color w:val="auto"/>
        </w:rPr>
        <w:t>. Each Obligor expressly waives any and all rights of subrogation, reimbursement, indemnity, exoneration, contribution of any other claim which the Obligor may now or hereafter have against any other Person directly or contingently liable for the Obligations hereunder, or against or with respect to any other Person’s property (including any property which is Collateral for the Obligations), arising from the existence or performance of this Agreement, until termination of this Agreement and repayment in full of the Obligations.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Accord and Satisfaction</w:t>
      </w:r>
      <w:r>
        <w:rPr>
          <w:rFonts w:ascii="Times New Roman" w:cs="Times New Roman" w:eastAsia="Times New Roman" w:hAnsi="Times New Roman"/>
          <w:sz w:val="22"/>
          <w:szCs w:val="22"/>
          <w:color w:val="auto"/>
        </w:rPr>
        <w:t>. The Borrower agrees not to send Administrative Agent or any Lender or LC Issuer payments marked “paid in full,” “without recourse,” or similar language. If the Borrower sends such a payment, the Administrative Agent or such Lender may accept it without losing any of its rights under this Agreement or any Note, and the Borrower will remain obligated to pay any further amounts owed or that may become owed to the Administrative Agent or such Lender or LC Issuer.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1.20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of the parties hereto, each party hereto acknowledges that any liability of any Affected Financial Institution arising under any Loan Document, to the extent such liability is unsecured, may be subject to the Write-Down and Conversion Powers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the applicable Resolution Authority and agrees and consents to, and acknowledges and agrees to be bound by:</w:t>
      </w:r>
    </w:p>
    <w:p>
      <w:pPr>
        <w:spacing w:after="0" w:line="179" w:lineRule="exact"/>
        <w:rPr>
          <w:sz w:val="20"/>
          <w:szCs w:val="20"/>
          <w:color w:val="auto"/>
        </w:rPr>
      </w:pPr>
    </w:p>
    <w:p>
      <w:pPr>
        <w:ind w:firstLine="1304"/>
        <w:spacing w:after="0" w:line="255" w:lineRule="auto"/>
        <w:tabs>
          <w:tab w:leader="none" w:pos="193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Resolution Authority.</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56" w:lineRule="exact"/>
        <w:rPr>
          <w:sz w:val="20"/>
          <w:szCs w:val="20"/>
          <w:color w:val="auto"/>
        </w:rPr>
      </w:pPr>
    </w:p>
    <w:p>
      <w:pPr>
        <w:jc w:val="both"/>
        <w:ind w:firstLine="1304"/>
        <w:spacing w:after="0" w:line="209" w:lineRule="auto"/>
        <w:tabs>
          <w:tab w:leader="none" w:pos="194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of the Parent, the Borrower or any Subsidiary of Borrower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7" w:name="page158"/>
    <w:bookmarkEnd w:id="157"/>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 the following terms have the following meanings:</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Payment Set Aside</w:t>
      </w:r>
      <w:r>
        <w:rPr>
          <w:rFonts w:ascii="Times New Roman" w:cs="Times New Roman" w:eastAsia="Times New Roman" w:hAnsi="Times New Roman"/>
          <w:sz w:val="22"/>
          <w:szCs w:val="22"/>
          <w:color w:val="auto"/>
        </w:rPr>
        <w:t>. To the extent that any payment by or on behalf of the Borrower is made to the Administrative Agent or any Lender or LC Issuer, or any Agent or any Lender or LC Issuer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or LC Issuer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LC Issuers under clause (b) of the preceding sentence shall survive the payment in full of the Obligations and the termination of this Agreement.</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In connection with all aspects of each transaction contemplated hereby (including in connection with any amendment, waiver or other modification hereof or of any other Loan Document), each Obligor acknowledges and agrees, and acknowledges its Affiliates’ understanding, that: (i) (A) the arranging and other services regarding this Agreement provided by the Agents and the Lenders are arm’s-length commercial transactions between the Parent, the Obligors and their respective Affiliates, on the one hand, and the Agents and the Lenders, on the other hand, (B) the Parent and each Obligor has consulted its own legal, accounting, regulatory and tax advisors to the extent it has deemed appropriate, and</w:t>
      </w:r>
    </w:p>
    <w:p>
      <w:pPr>
        <w:spacing w:after="0" w:line="4" w:lineRule="exact"/>
        <w:rPr>
          <w:sz w:val="20"/>
          <w:szCs w:val="20"/>
          <w:color w:val="auto"/>
        </w:rPr>
      </w:pPr>
    </w:p>
    <w:p>
      <w:pPr>
        <w:jc w:val="both"/>
        <w:ind w:firstLine="8"/>
        <w:spacing w:after="0" w:line="214" w:lineRule="auto"/>
        <w:tabs>
          <w:tab w:leader="none" w:pos="368"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and each Obligor is capable of evaluating, and understands and accepts, the terms, risks and conditions of the transactions contemplated hereby and by the other Loan Documents; (ii) (A) the Agents and the Lenders each is and has been acting solely as a principal and, except as expressly agreed in writing by the relevant parties, has not been, is not, and will not be acting as an advisor, agent or fiduciary for the Parent or any Obligor or any of their respective Affiliates, or any other Person and</w:t>
      </w:r>
    </w:p>
    <w:p>
      <w:pPr>
        <w:spacing w:after="0" w:line="2" w:lineRule="exact"/>
        <w:rPr>
          <w:rFonts w:ascii="Times New Roman" w:cs="Times New Roman" w:eastAsia="Times New Roman" w:hAnsi="Times New Roman"/>
          <w:sz w:val="21"/>
          <w:szCs w:val="21"/>
          <w:color w:val="auto"/>
        </w:rPr>
      </w:pPr>
    </w:p>
    <w:p>
      <w:pPr>
        <w:jc w:val="both"/>
        <w:ind w:firstLine="8"/>
        <w:spacing w:after="0" w:line="209" w:lineRule="auto"/>
        <w:tabs>
          <w:tab w:leader="none" w:pos="357"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Agent nor any Lender has any obligation to the Parent or any Obligor or any of their respective Affiliates with respect to the transactions contemplated hereby except those obligations expressly set forth herein and in the other Loan Documents; and (iii) the Agents, the Lenders, and their respective Affiliates may be engaged in a broad range of transactions that involve interests that differ from those of the Parent, the Borrower, the other Obligors and their respective Affiliates, and neither any Agent nor any Lender has any obligation to disclose any of such interests to the Parent, the Borrower, any other Obligor or any of their respective Affiliates. To the fullest extent permitted by law, the Parent and each Obligor hereby waives and releases any claims that it may have against the Agents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8" w:name="page159"/>
    <w:bookmarkEnd w:id="158"/>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to the contrary contained in any Loan Document, the interest paid or agreed to be paid under the Loan Documents shall not exceed the maximum rate of non-usurious interest permitted by applicable Requirements of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the Administrative Agent or a Lender exceeds the Maximum Rate, such Person may, to the extent permitted by any Requirement of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Treatment of Certain Information; Confidentiality</w:t>
      </w:r>
      <w:r>
        <w:rPr>
          <w:rFonts w:ascii="Times New Roman" w:cs="Times New Roman" w:eastAsia="Times New Roman" w:hAnsi="Times New Roman"/>
          <w:sz w:val="21"/>
          <w:szCs w:val="21"/>
          <w:color w:val="auto"/>
        </w:rPr>
        <w:t>. Each of the Agents and the Lenders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any Requirement of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Information (x) becomes publicly available other than as a result of a breach of this Section, (y) becomes available to any Agent, any Lender, or any of their respective Affiliates on a nonconfidential basis from a source other than the Borrower or (z) is independently discovered or developed by a party hereto without utilizing any Information received from the Borrower or violating the terms of this Section.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6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(including financial information) received from the Borrower or any Subsidiary relating to the Borrower or any Subsidiary or any of their respective businesses assets, operations or condition (financial or otherwise),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59" w:name="page160"/>
    <w:bookmarkEnd w:id="159"/>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Each of the Agents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Requirements of Law, including United States Federal and state securities laws.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94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LC Issuer hereby agrees that if the Administrative Agent notifies a Lender, LC Issuer or other Credit Party who has received funds on behalf of a Lender, LC Issuer or other Credit Party (any such Lender, LC Issuer or other Credit Party (and each of their respective successors and assigns),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the Administrative Agent has determined in its sole discretion that any funds (as set forth in such notice from the Administrative Agent) received by such Payment Recipient from the Administrative Agent, any of its sub-agents or any of its Affiliates were erroneously or mistakenly transmitted to, or otherwise erroneously or mistakenly received by, such Payment Recipient (whether or not known to such Lender, LC Issuer, other Credit Party or other Payment Recipient on its behalf) (any such funds, whether transmitted or received as a payment, prepayment or repayment of principal, interest, fees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demands the return of such Erroneous Payment (or a portion thereof), such Lender, LC Issuer or other Credit Party shall (or, with respect to any Payment Recipient who received such funds on its behalf, shall cause such Payment Recipient to) promptly, but in no event later than one (1) Business Day thereafter, return to the Administrative Agent (or its sub-agent)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(or its sub-agent) in same day funds at the greater of the Base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 xml:space="preserve"> shall be conclusive, absent manifest error. For avoidance of doubt, for purposes of this </w:t>
      </w:r>
      <w:r>
        <w:rPr>
          <w:rFonts w:ascii="Times New Roman" w:cs="Times New Roman" w:eastAsia="Times New Roman" w:hAnsi="Times New Roman"/>
          <w:sz w:val="22"/>
          <w:szCs w:val="22"/>
          <w:u w:val="single" w:color="auto"/>
          <w:color w:val="auto"/>
        </w:rPr>
        <w:t>Section 10.26</w:t>
      </w:r>
      <w:r>
        <w:rPr>
          <w:rFonts w:ascii="Times New Roman" w:cs="Times New Roman" w:eastAsia="Times New Roman" w:hAnsi="Times New Roman"/>
          <w:sz w:val="22"/>
          <w:szCs w:val="22"/>
          <w:color w:val="auto"/>
        </w:rPr>
        <w:t xml:space="preserve">, any payments made by the Administrative Agent shall include payments made by its sub-agent (including any paying agent) and payments made from any account of such sub-agent (including any paying agent) in accordance with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 each Lender, LC Issuer or other Credit Party (and each of their respective successors and assigns) hereby further agrees that if it receives an Erroneous Payment from the Administrative Agent (or any of its sub-agents or Affiliates) (x) that is in a different amount than, or on a different date from, that specified in a notice of payment sent by the Administrative Agent (or any of its sub-agents or Affiliates) with respect to such Erroneous Payment, (y) that was not preceded or accompanied by a notice of payment, prepayment or repayment sent by the Administrative Agent (or any of its sub-agents or Affiliates), or (z) that such Lender, LC Issuer or other Credit Party otherwise becomes aware was transmitted, or received, in error or by mistake (in whole or in part), then in each such case, it acknowledges and agrees that an error and mistake has been made (and that it is deemed to have knowledge of such error at the time of receipt of such Erroneous Payment) with respect to such Erroneous Payment, and to the extent permitted by applicable law, such Lender, LC Issuer or other Credit Party shall not assert any right or claim to the Erroneous Payment, and hereby waives, any claim, counterclaim, defense or right of set-off or recoupment with respect to any demand, claim or counterclaim by the Administrative Agent (or any of its sub-agents or Affiliates) for the return of any Erroneous Payments received, including without limitation waiver of any defense based on “discharge for value” or any similar doctrine. Each Lender, LC Issuer or other Credit Party agrees that, in each such case, it shall promptly (and, in all events, within one (1) Business Day of its knowledge (or deemed knowledge) of such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60" w:name="page161"/>
    <w:bookmarkEnd w:id="160"/>
    <w:p>
      <w:pPr>
        <w:jc w:val="both"/>
        <w:spacing w:after="0" w:line="213" w:lineRule="auto"/>
        <w:rPr>
          <w:sz w:val="20"/>
          <w:szCs w:val="20"/>
          <w:color w:val="auto"/>
        </w:rPr>
      </w:pPr>
      <w:r>
        <w:rPr>
          <w:rFonts w:ascii="Times New Roman" w:cs="Times New Roman" w:eastAsia="Times New Roman" w:hAnsi="Times New Roman"/>
          <w:sz w:val="22"/>
          <w:szCs w:val="22"/>
          <w:color w:val="auto"/>
        </w:rPr>
        <w:t>notify the Administrative Agent of such occurrence and, upon demand from the Administrative Agent, it shall promptly, but in all events no later than one (1) Business Day thereafter, return to the Administrative Agent or its sub-agent or Affiliate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LC Issuer or other Credit Party to the date such amount is repaid to the Administrative Agent (or its sub-agent or Affiliate) in same day funds at the greater of the Base Rate and a rate determined by the Administrative Agent in accordance with banking industry rules on interbank compensation from time to time in effect.</w:t>
      </w:r>
    </w:p>
    <w:p>
      <w:pPr>
        <w:spacing w:after="0" w:line="156" w:lineRule="exact"/>
        <w:rPr>
          <w:sz w:val="20"/>
          <w:szCs w:val="20"/>
          <w:color w:val="auto"/>
        </w:rPr>
      </w:pPr>
    </w:p>
    <w:p>
      <w:pPr>
        <w:jc w:val="both"/>
        <w:ind w:firstLine="1304"/>
        <w:spacing w:after="0" w:line="212" w:lineRule="auto"/>
        <w:tabs>
          <w:tab w:leader="none" w:pos="194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Obligors hereby agree that (x) in the event an Erroneous Payment (or portion thereof) is not recovered from any Lender, LC Issuer or other Credit Party that has received such Erroneous Payment (or portion thereof) for any reason, the Administrative Agent shall be subrogated to all the rights of such Lender, LC Issuer or other Credit Party with respect to such amount and (y) an Erroneous Payment shall not pay, prepay, repay, discharge or otherwise satisfy any Obligations owed by the Obligors unless, for the avoidance of doubt, such Erroneous Payment (or portion thereof) that is not recovered from such Lender, LC Issuer or other Credit Party is with respect to any funds paid by any Obligor to the Administrative Agent, in which case such Erroneous Payment shall be deemed to be an optional prepayment of the Obligations owed to such Lender, LC Issuer or other Credit Party paid in accordance with this Agreement.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the event that an Erroneous Payment (or portion thereof) is not recovered by the Administrative Agent for any reason, after demand therefor in accordance with immediately preceding clause (a), from any Lender or LC Issuer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upon the Administrative Agent’s notice to such Lender or LC Issuer at any time, then effective immediately (with the consideration therefor being acknowledged by the parties hereto), (A) such Lender or LC Issuer shall be deemed to have assigned its Loans (but not its Commitments) of the relevant Class with respect to which such Erroneous Payment was made (the “</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LC Issuer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or LC Issuer, as applicable, hereunder with respect to such Erroneous Payment Deficiency Assignment and the assigning Lender or assigning LC Issuer shall cease to be a Lender or LC Issuer, as applicable, hereunder with respect to and to the extent of such Erroneous Payment Deficiency Assignment, excluding, for the avoidance of doubt, its obligations under the indemnification provisions of this Agreement and its applicable Commitments which shall survive as to such assigning Lender or assigning LC Issuer, (D) the Administrative Agent and the Borrower shall each be deemed to have waived any consents required under this Agreement to any such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61" w:name="page162"/>
    <w:bookmarkEnd w:id="161"/>
    <w:p>
      <w:pPr>
        <w:jc w:val="both"/>
        <w:spacing w:after="0" w:line="220" w:lineRule="auto"/>
        <w:rPr>
          <w:sz w:val="20"/>
          <w:szCs w:val="20"/>
          <w:color w:val="auto"/>
        </w:rPr>
      </w:pPr>
      <w:r>
        <w:rPr>
          <w:rFonts w:ascii="Times New Roman" w:cs="Times New Roman" w:eastAsia="Times New Roman" w:hAnsi="Times New Roman"/>
          <w:sz w:val="22"/>
          <w:szCs w:val="22"/>
          <w:color w:val="auto"/>
        </w:rPr>
        <w:t>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52" w:lineRule="exact"/>
        <w:rPr>
          <w:sz w:val="20"/>
          <w:szCs w:val="20"/>
          <w:color w:val="auto"/>
        </w:rPr>
      </w:pPr>
    </w:p>
    <w:p>
      <w:pPr>
        <w:jc w:val="both"/>
        <w:ind w:firstLine="1952"/>
        <w:spacing w:after="0" w:line="221" w:lineRule="auto"/>
        <w:tabs>
          <w:tab w:leader="none" w:pos="258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10.7(b)(ii)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the Administrative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Administrative Agent shall retain all other rights, remedies and claims against such Lender or LC Issuer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52" w:lineRule="exact"/>
        <w:rPr>
          <w:rFonts w:ascii="Times New Roman" w:cs="Times New Roman" w:eastAsia="Times New Roman" w:hAnsi="Times New Roman"/>
          <w:sz w:val="21"/>
          <w:szCs w:val="21"/>
          <w:color w:val="auto"/>
        </w:rPr>
      </w:pPr>
    </w:p>
    <w:p>
      <w:pPr>
        <w:jc w:val="both"/>
        <w:ind w:firstLine="1304"/>
        <w:spacing w:after="0" w:line="208" w:lineRule="auto"/>
        <w:tabs>
          <w:tab w:leader="none" w:pos="193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other Credit Party, to the rights and interests of such Lender, LC Issuer or Credit Party, as the case may be) under the Loan Documents with respect to such amount (the “</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Obligors’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10.26(e)</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6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its sub-agents or Affiliates) for the return of any Erroneous Payment received, including without limitation, any defense based on “discharge for value” or any similar doctrine.</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agreements and waivers under this </w:t>
      </w:r>
      <w:r>
        <w:rPr>
          <w:rFonts w:ascii="Times New Roman" w:cs="Times New Roman" w:eastAsia="Times New Roman" w:hAnsi="Times New Roman"/>
          <w:sz w:val="21"/>
          <w:szCs w:val="21"/>
          <w:u w:val="single" w:color="auto"/>
          <w:color w:val="auto"/>
        </w:rPr>
        <w:t>Section 10.26</w:t>
      </w:r>
      <w:r>
        <w:rPr>
          <w:rFonts w:ascii="Times New Roman" w:cs="Times New Roman" w:eastAsia="Times New Roman" w:hAnsi="Times New Roman"/>
          <w:sz w:val="21"/>
          <w:szCs w:val="21"/>
          <w:color w:val="auto"/>
        </w:rPr>
        <w:t xml:space="preserve"> of each of the Administrative Agent (together with its sub-agents and Affiliates), Lenders or LC Issuers shall survive the resignation or replacement of the Administrative Agent, any transfer of rights or obligations by, or the replacement of, a Lender or LC Issuer, the 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62" w:name="page163"/>
    <w:bookmarkEnd w:id="162"/>
    <w:p>
      <w:pPr>
        <w:spacing w:after="0" w:line="236" w:lineRule="auto"/>
        <w:rPr>
          <w:sz w:val="20"/>
          <w:szCs w:val="20"/>
          <w:color w:val="auto"/>
        </w:rPr>
      </w:pPr>
      <w:r>
        <w:rPr>
          <w:rFonts w:ascii="Times New Roman" w:cs="Times New Roman" w:eastAsia="Times New Roman" w:hAnsi="Times New Roman"/>
          <w:sz w:val="22"/>
          <w:szCs w:val="22"/>
          <w:color w:val="auto"/>
        </w:rPr>
        <w:t>Commitments and/or the repayment, satisfaction or discharge of all Obligations (or any portion thereof) under any Loan Document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[Balance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63" w:name="page164"/>
    <w:bookmarkEnd w:id="163"/>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duly authorized representatives, as of the day and year first above written.</w:t>
      </w:r>
    </w:p>
    <w:p>
      <w:pPr>
        <w:spacing w:after="0" w:line="1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1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OPAL FUELS INTERMEDIATE</w:t>
      </w:r>
    </w:p>
    <w:p>
      <w:pPr>
        <w:ind w:left="4540"/>
        <w:spacing w:after="0" w:line="204" w:lineRule="auto"/>
        <w:rPr>
          <w:sz w:val="20"/>
          <w:szCs w:val="20"/>
          <w:color w:val="auto"/>
        </w:rPr>
      </w:pPr>
      <w:r>
        <w:rPr>
          <w:rFonts w:ascii="Times New Roman" w:cs="Times New Roman" w:eastAsia="Times New Roman" w:hAnsi="Times New Roman"/>
          <w:sz w:val="22"/>
          <w:szCs w:val="22"/>
          <w:color w:val="auto"/>
        </w:rPr>
        <w:t>HOLDCO 2 LLC,</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s/s Ann Anthony</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Ann Anthony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Representative</w:t>
      </w:r>
    </w:p>
    <w:p>
      <w:pPr>
        <w:spacing w:after="0" w:line="200" w:lineRule="exact"/>
        <w:rPr>
          <w:sz w:val="20"/>
          <w:szCs w:val="20"/>
          <w:color w:val="auto"/>
        </w:rPr>
      </w:pPr>
    </w:p>
    <w:p>
      <w:pPr>
        <w:spacing w:after="0" w:line="2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1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PRINCE WILLIAM RNG LLC,</w:t>
      </w: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s/s Ann Anthony</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Ann Anthony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Representative</w:t>
      </w:r>
    </w:p>
    <w:p>
      <w:pPr>
        <w:spacing w:after="0" w:line="16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ARBOR HILLS RNG LLC,</w:t>
      </w: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s/s Ann Anthony</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Ann Anthony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240"/>
          </w:cols>
          <w:pgMar w:left="320" w:top="1395" w:right="339" w:bottom="1440" w:gutter="0" w:footer="0" w:header="0"/>
        </w:sectPr>
      </w:pPr>
    </w:p>
    <w:bookmarkStart w:id="164" w:name="page165"/>
    <w:bookmarkEnd w:id="164"/>
    <w:p>
      <w:pPr>
        <w:ind w:left="4540"/>
        <w:spacing w:after="0"/>
        <w:rPr>
          <w:sz w:val="20"/>
          <w:szCs w:val="20"/>
          <w:color w:val="auto"/>
        </w:rPr>
      </w:pPr>
      <w:r>
        <w:rPr>
          <w:rFonts w:ascii="Times New Roman" w:cs="Times New Roman" w:eastAsia="Times New Roman" w:hAnsi="Times New Roman"/>
          <w:sz w:val="22"/>
          <w:szCs w:val="22"/>
          <w:color w:val="auto"/>
        </w:rPr>
        <w:t>OPAL EMERALD RNG LLC,</w:t>
      </w: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s/s Ann Anthony</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Ann Anthony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0139"/>
          </w:cols>
          <w:pgMar w:left="320" w:top="1382" w:right="1440" w:bottom="1440" w:gutter="0" w:footer="0" w:header="0"/>
        </w:sectPr>
      </w:pPr>
    </w:p>
    <w:bookmarkStart w:id="165" w:name="page166"/>
    <w:bookmarkEnd w:id="165"/>
    <w:p>
      <w:pPr>
        <w:ind w:left="4540"/>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BANKOFMONTREAL,CHICAGO BRANCH,</w:t>
      </w:r>
    </w:p>
    <w:p>
      <w:pPr>
        <w:jc w:val="center"/>
        <w:ind w:right="-59"/>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By:_s/s Timothy Chin</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Timothy chin</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COLLATERAL AGENT: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WILMINGTON TRUST, NATIONAL ASSOCIATION, as Collateral Agent</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By:_s/s Kevin Pennant</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Kevin Pennant</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AVP Project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1140"/>
          </w:cols>
          <w:pgMar w:left="320" w:top="1391" w:right="439" w:bottom="1440" w:gutter="0" w:footer="0" w:header="0"/>
        </w:sectPr>
      </w:pPr>
    </w:p>
    <w:bookmarkStart w:id="166" w:name="page167"/>
    <w:bookmarkEnd w:id="166"/>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MONTREAL, CHICAGO BRANCH,</w:t>
      </w:r>
    </w:p>
    <w:p>
      <w:pPr>
        <w:jc w:val="center"/>
        <w:ind w:right="39"/>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By:_s/s Timothy Chin</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Timothy chin</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0139"/>
          </w:cols>
          <w:pgMar w:left="320" w:top="1391" w:right="1440" w:bottom="1440" w:gutter="0" w:footer="0" w:header="0"/>
        </w:sectPr>
      </w:pPr>
    </w:p>
    <w:bookmarkStart w:id="167" w:name="page168"/>
    <w:bookmarkEnd w:id="167"/>
    <w:p>
      <w:pPr>
        <w:spacing w:after="0" w:line="1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INVESTEC BANK PLC</w:t>
      </w:r>
      <w:r>
        <w:rPr>
          <w:rFonts w:ascii="Times New Roman" w:cs="Times New Roman" w:eastAsia="Times New Roman" w:hAnsi="Times New Roman"/>
          <w:sz w:val="22"/>
          <w:szCs w:val="22"/>
          <w:b w:val="1"/>
          <w:bCs w:val="1"/>
          <w:color w:val="auto"/>
        </w:rPr>
        <w:t>,</w:t>
      </w:r>
    </w:p>
    <w:p>
      <w:pPr>
        <w:ind w:left="454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s/s Steven Cowland_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Steven Cowland</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Shelagh Kirkland_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Shelagh Kirkland</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0139"/>
          </w:cols>
          <w:pgMar w:left="320" w:top="1440" w:right="1440" w:bottom="1440" w:gutter="0" w:footer="0" w:header="0"/>
        </w:sectPr>
      </w:pPr>
    </w:p>
    <w:bookmarkStart w:id="168" w:name="page169"/>
    <w:bookmarkEnd w:id="168"/>
    <w:p>
      <w:pPr>
        <w:spacing w:after="0" w:line="1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COMERICA BANK</w:t>
      </w:r>
      <w:r>
        <w:rPr>
          <w:rFonts w:ascii="Times New Roman" w:cs="Times New Roman" w:eastAsia="Times New Roman" w:hAnsi="Times New Roman"/>
          <w:sz w:val="22"/>
          <w:szCs w:val="22"/>
          <w:b w:val="1"/>
          <w:bCs w:val="1"/>
          <w:color w:val="auto"/>
        </w:rPr>
        <w:t>,</w:t>
      </w:r>
    </w:p>
    <w:p>
      <w:pPr>
        <w:ind w:left="454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Tony G Rice_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Tony G Rice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0139"/>
          </w:cols>
          <w:pgMar w:left="320" w:top="1440" w:right="1440" w:bottom="1440" w:gutter="0" w:footer="0" w:header="0"/>
        </w:sectPr>
      </w:pPr>
    </w:p>
    <w:bookmarkStart w:id="169" w:name="page170"/>
    <w:bookmarkEnd w:id="16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Acknowledged and Accepted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80"/>
        <w:spacing w:after="0"/>
        <w:rPr>
          <w:sz w:val="20"/>
          <w:szCs w:val="20"/>
          <w:color w:val="auto"/>
        </w:rPr>
      </w:pPr>
      <w:r>
        <w:rPr>
          <w:rFonts w:ascii="Times New Roman" w:cs="Times New Roman" w:eastAsia="Times New Roman" w:hAnsi="Times New Roman"/>
          <w:sz w:val="22"/>
          <w:szCs w:val="22"/>
          <w:color w:val="auto"/>
        </w:rPr>
        <w:t>as Depositary Agent</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By:_Kevin Pennant</w:t>
      </w:r>
    </w:p>
    <w:p>
      <w:pPr>
        <w:ind w:left="80"/>
        <w:spacing w:after="0" w:line="204" w:lineRule="auto"/>
        <w:rPr>
          <w:sz w:val="20"/>
          <w:szCs w:val="20"/>
          <w:color w:val="auto"/>
        </w:rPr>
      </w:pPr>
      <w:r>
        <w:rPr>
          <w:rFonts w:ascii="Times New Roman" w:cs="Times New Roman" w:eastAsia="Times New Roman" w:hAnsi="Times New Roman"/>
          <w:sz w:val="22"/>
          <w:szCs w:val="22"/>
          <w:color w:val="auto"/>
        </w:rPr>
        <w:t>Name: Kevin Pennant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AVP Project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i w:val="1"/>
          <w:iCs w:val="1"/>
          <w:color w:val="auto"/>
        </w:rPr>
        <w:t>Signature Page to Credit and Guaranty Agreement (Opal Fuels Intermediate HoldCo 2 LLC)</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KE 84627654</w:t>
      </w:r>
    </w:p>
    <w:p>
      <w:pPr>
        <w:sectPr>
          <w:pgSz w:w="11900" w:h="16838" w:orient="portrait"/>
          <w:cols w:equalWidth="0" w:num="1">
            <w:col w:w="10219"/>
          </w:cols>
          <w:pgMar w:left="240" w:top="1440"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4018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Closing of $105 Million</w:t>
      </w:r>
    </w:p>
    <w:p>
      <w:pPr>
        <w:jc w:val="center"/>
        <w:spacing w:after="0"/>
        <w:rPr>
          <w:sz w:val="20"/>
          <w:szCs w:val="20"/>
          <w:color w:val="auto"/>
        </w:rPr>
      </w:pPr>
      <w:r>
        <w:rPr>
          <w:rFonts w:ascii="Times New Roman" w:cs="Times New Roman" w:eastAsia="Times New Roman" w:hAnsi="Times New Roman"/>
          <w:sz w:val="29"/>
          <w:szCs w:val="29"/>
          <w:b w:val="1"/>
          <w:bCs w:val="1"/>
          <w:color w:val="auto"/>
        </w:rPr>
        <w:t>Senior Secured Term Loan</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WHITE PLAINS, N.Y. – (August 8, 2022) – OPAL Fuels Inc. (Nasdaq: OPAL), a vertically integrated producer and distributor of renewable natural gas (RNG), today announced the closing of a five-year, $105 million senior secured debt facility. The facility provides construction financing for designated OPAL Fuels projects upon achieving certain milestones. The lending syndicate is comprised of Investec, Bank of Montreal, and Comerica Bank.</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closing of our senior secured debt facility today, combined with the $215.8 million generated from the recent completion of our business combination with ArcLight Clean Transition Corp. II, will facilitate execution of our growth plan,” said Adam Comora, Co-CEO of OPAL Fuels. “We believe these transactions are a testament to the strength of our vertically integrated RNG platform and continued awareness of the pivotal role that RNG plays in decarbonizing the heavy-duty transportation industry now.”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OPAL Fuels Inc. (Nasdaq: OPAL),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10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highlight w:val="white"/>
        </w:rPr>
        <w:t>Certain statements in this communication may be considered forward-looking statements. Forward-looking statements are statements that are not historical facts and generally relate to future events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proxy statement/prospectus filed on June 27, 2022 in connection with our Registration Statement on Form S-4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OPAL Fuels expressly disclaims any obligations or undertaking to release publicly any updates or revisions to any forward-looking statements contained herein to reflect any change in OPAL Fuels’ expectations with respect thereto or any change in events, conditions or circumstances on which any statement is based.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0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OPAL Fuels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204" w:lineRule="auto"/>
        <w:rPr>
          <w:sz w:val="20"/>
          <w:szCs w:val="20"/>
          <w:color w:val="auto"/>
        </w:rPr>
      </w:pPr>
      <w:r>
        <w:rPr>
          <w:rFonts w:ascii="Times New Roman" w:cs="Times New Roman" w:eastAsia="Times New Roman" w:hAnsi="Times New Roman"/>
          <w:sz w:val="22"/>
          <w:szCs w:val="22"/>
          <w:color w:val="auto"/>
        </w:rPr>
        <w:t>Jason Stewart</w:t>
      </w:r>
    </w:p>
    <w:p>
      <w:pPr>
        <w:spacing w:after="0" w:line="205" w:lineRule="auto"/>
        <w:rPr>
          <w:sz w:val="20"/>
          <w:szCs w:val="20"/>
          <w:color w:val="auto"/>
        </w:rPr>
      </w:pPr>
      <w:r>
        <w:rPr>
          <w:rFonts w:ascii="Times New Roman" w:cs="Times New Roman" w:eastAsia="Times New Roman" w:hAnsi="Times New Roman"/>
          <w:sz w:val="22"/>
          <w:szCs w:val="22"/>
          <w:color w:val="auto"/>
        </w:rPr>
        <w:t>Senior Director Public Relations &amp; Marketing</w:t>
      </w:r>
    </w:p>
    <w:p>
      <w:pPr>
        <w:spacing w:after="0" w:line="205" w:lineRule="auto"/>
        <w:rPr>
          <w:sz w:val="20"/>
          <w:szCs w:val="20"/>
          <w:color w:val="auto"/>
        </w:rPr>
      </w:pPr>
      <w:r>
        <w:rPr>
          <w:rFonts w:ascii="Times New Roman" w:cs="Times New Roman" w:eastAsia="Times New Roman" w:hAnsi="Times New Roman"/>
          <w:sz w:val="22"/>
          <w:szCs w:val="22"/>
          <w:color w:val="auto"/>
        </w:rPr>
        <w:t>914-421-5336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jstewart@opalfuels.com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rPr>
          <w:sz w:val="20"/>
          <w:szCs w:val="20"/>
          <w:color w:val="auto"/>
        </w:rPr>
      </w:pPr>
      <w:r>
        <w:rPr>
          <w:rFonts w:ascii="Times New Roman" w:cs="Times New Roman" w:eastAsia="Times New Roman" w:hAnsi="Times New Roman"/>
          <w:sz w:val="22"/>
          <w:szCs w:val="22"/>
          <w:color w:val="auto"/>
        </w:rPr>
        <w:t>OPALFuelsPR@icrinc.com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04" w:lineRule="auto"/>
        <w:rPr>
          <w:sz w:val="20"/>
          <w:szCs w:val="20"/>
          <w:color w:val="auto"/>
        </w:rPr>
      </w:pPr>
      <w:r>
        <w:rPr>
          <w:rFonts w:ascii="Times New Roman" w:cs="Times New Roman" w:eastAsia="Times New Roman" w:hAnsi="Times New Roman"/>
          <w:sz w:val="22"/>
          <w:szCs w:val="22"/>
          <w:color w:val="auto"/>
        </w:rPr>
        <w:t>Todd Firestone</w:t>
      </w:r>
    </w:p>
    <w:p>
      <w:pPr>
        <w:spacing w:after="0" w:line="205" w:lineRule="auto"/>
        <w:rPr>
          <w:sz w:val="20"/>
          <w:szCs w:val="20"/>
          <w:color w:val="auto"/>
        </w:rPr>
      </w:pPr>
      <w:r>
        <w:rPr>
          <w:rFonts w:ascii="Times New Roman" w:cs="Times New Roman" w:eastAsia="Times New Roman" w:hAnsi="Times New Roman"/>
          <w:sz w:val="22"/>
          <w:szCs w:val="22"/>
          <w:color w:val="auto"/>
        </w:rPr>
        <w:t>Vice President Investor Relations &amp; Corporate Development</w:t>
      </w:r>
    </w:p>
    <w:p>
      <w:pPr>
        <w:spacing w:after="0" w:line="205" w:lineRule="auto"/>
        <w:rPr>
          <w:sz w:val="20"/>
          <w:szCs w:val="20"/>
          <w:color w:val="auto"/>
        </w:rPr>
      </w:pPr>
      <w:r>
        <w:rPr>
          <w:rFonts w:ascii="Times New Roman" w:cs="Times New Roman" w:eastAsia="Times New Roman" w:hAnsi="Times New Roman"/>
          <w:sz w:val="22"/>
          <w:szCs w:val="22"/>
          <w:color w:val="auto"/>
        </w:rPr>
        <w:t>914-705-4001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1)"/>
      <w:numFmt w:val="lowerRoman"/>
      <w:start w:val="10"/>
    </w:lvl>
  </w:abstractNum>
  <w:abstractNum w:abstractNumId="2">
    <w:nsid w:val="5F3534A4"/>
    <w:multiLevelType w:val="hybridMultilevel"/>
    <w:lvl w:ilvl="0">
      <w:lvlJc w:val="left"/>
      <w:lvlText w:val="%1"/>
      <w:numFmt w:val="lowerLetter"/>
      <w:start w:val="1"/>
    </w:lvl>
    <w:lvl w:ilvl="1">
      <w:lvlJc w:val="left"/>
      <w:lvlText w:val="(%2)"/>
      <w:numFmt w:val="lowerLetter"/>
      <w:start w:val="1"/>
    </w:lvl>
  </w:abstractNum>
  <w:abstractNum w:abstractNumId="3">
    <w:nsid w:val="73A1821B"/>
    <w:multiLevelType w:val="hybridMultilevel"/>
    <w:lvl w:ilvl="0">
      <w:lvlJc w:val="left"/>
      <w:lvlText w:val="(%1)"/>
      <w:numFmt w:val="lowerLetter"/>
      <w:start w:val="3"/>
    </w:lvl>
    <w:lvl w:ilvl="1">
      <w:lvlJc w:val="left"/>
      <w:lvlText w:val="%2"/>
      <w:numFmt w:val="lowerLetter"/>
      <w:start w:val="1"/>
    </w:lvl>
  </w:abstractNum>
  <w:abstractNum w:abstractNumId="4">
    <w:nsid w:val="7DE67713"/>
    <w:multiLevelType w:val="hybridMultilevel"/>
    <w:lvl w:ilvl="0">
      <w:lvlJc w:val="left"/>
      <w:lvlText w:val="(%1)"/>
      <w:numFmt w:val="lowerLetter"/>
      <w:start w:val="1"/>
    </w:lvl>
  </w:abstractNum>
  <w:abstractNum w:abstractNumId="5">
    <w:nsid w:val="555C55B5"/>
    <w:multiLevelType w:val="hybridMultilevel"/>
    <w:lvl w:ilvl="0">
      <w:lvlJc w:val="left"/>
      <w:lvlText w:val="(%1)"/>
      <w:numFmt w:val="lowerLetter"/>
      <w:start w:val="2"/>
    </w:lvl>
  </w:abstractNum>
  <w:abstractNum w:abstractNumId="6">
    <w:nsid w:val="3FA62ACA"/>
    <w:multiLevelType w:val="hybridMultilevel"/>
    <w:lvl w:ilvl="0">
      <w:lvlJc w:val="left"/>
      <w:lvlText w:val="(%1)"/>
      <w:numFmt w:val="lowerLetter"/>
      <w:start w:val="1"/>
    </w:lvl>
  </w:abstractNum>
  <w:abstractNum w:abstractNumId="7">
    <w:nsid w:val="14FCE74E"/>
    <w:multiLevelType w:val="hybridMultilevel"/>
    <w:lvl w:ilvl="0">
      <w:lvlJc w:val="left"/>
      <w:lvlText w:val="(%1)"/>
      <w:numFmt w:val="lowerLetter"/>
      <w:start w:val="1"/>
    </w:lvl>
  </w:abstractNum>
  <w:abstractNum w:abstractNumId="8">
    <w:nsid w:val="6A3DD3E8"/>
    <w:multiLevelType w:val="hybridMultilevel"/>
    <w:lvl w:ilvl="0">
      <w:lvlJc w:val="left"/>
      <w:lvlText w:val="(%1)"/>
      <w:numFmt w:val="lowerLetter"/>
      <w:start w:val="2"/>
    </w:lvl>
  </w:abstractNum>
  <w:abstractNum w:abstractNumId="9">
    <w:nsid w:val="71C91298"/>
    <w:multiLevelType w:val="hybridMultilevel"/>
    <w:lvl w:ilvl="0">
      <w:lvlJc w:val="left"/>
      <w:lvlText w:val="(%1)"/>
      <w:numFmt w:val="lowerLetter"/>
      <w:start w:val="8"/>
    </w:lvl>
  </w:abstractNum>
  <w:abstractNum w:abstractNumId="10">
    <w:nsid w:val="9DAF632"/>
    <w:multiLevelType w:val="hybridMultilevel"/>
    <w:lvl w:ilvl="0">
      <w:lvlJc w:val="left"/>
      <w:lvlText w:val="(%1)"/>
      <w:numFmt w:val="lowerRoman"/>
      <w:start w:val="1"/>
    </w:lvl>
  </w:abstractNum>
  <w:abstractNum w:abstractNumId="11">
    <w:nsid w:val="53299938"/>
    <w:multiLevelType w:val="hybridMultilevel"/>
    <w:lvl w:ilvl="0">
      <w:lvlJc w:val="left"/>
      <w:lvlText w:val="(%1)"/>
      <w:numFmt w:val="lowerLetter"/>
      <w:start w:val="1"/>
    </w:lvl>
  </w:abstractNum>
  <w:abstractNum w:abstractNumId="12">
    <w:nsid w:val="1FBFE8E0"/>
    <w:multiLevelType w:val="hybridMultilevel"/>
    <w:lvl w:ilvl="0">
      <w:lvlJc w:val="left"/>
      <w:lvlText w:val="(%1)"/>
      <w:numFmt w:val="lowerLetter"/>
      <w:start w:val="2"/>
    </w:lvl>
  </w:abstractNum>
  <w:abstractNum w:abstractNumId="13">
    <w:nsid w:val="5092CA79"/>
    <w:multiLevelType w:val="hybridMultilevel"/>
    <w:lvl w:ilvl="0">
      <w:lvlJc w:val="left"/>
      <w:lvlText w:val="(%1)"/>
      <w:numFmt w:val="lowerLetter"/>
      <w:start w:val="1"/>
    </w:lvl>
  </w:abstractNum>
  <w:abstractNum w:abstractNumId="14">
    <w:nsid w:val="1D545C4D"/>
    <w:multiLevelType w:val="hybridMultilevel"/>
    <w:lvl w:ilvl="0">
      <w:lvlJc w:val="left"/>
      <w:lvlText w:val="(%1)"/>
      <w:numFmt w:val="lowerLetter"/>
      <w:start w:val="1"/>
    </w:lvl>
  </w:abstractNum>
  <w:abstractNum w:abstractNumId="15">
    <w:nsid w:val="59ADEA3D"/>
    <w:multiLevelType w:val="hybridMultilevel"/>
    <w:lvl w:ilvl="0">
      <w:lvlJc w:val="left"/>
      <w:lvlText w:val="(%1)"/>
      <w:numFmt w:val="lowerLetter"/>
      <w:start w:val="2"/>
    </w:lvl>
  </w:abstractNum>
  <w:abstractNum w:abstractNumId="16">
    <w:nsid w:val="288F1A34"/>
    <w:multiLevelType w:val="hybridMultilevel"/>
    <w:lvl w:ilvl="0">
      <w:lvlJc w:val="left"/>
      <w:lvlText w:val="(%1)"/>
      <w:numFmt w:val="lowerLetter"/>
      <w:start w:val="1"/>
    </w:lvl>
  </w:abstractNum>
  <w:abstractNum w:abstractNumId="17">
    <w:nsid w:val="2A155DBC"/>
    <w:multiLevelType w:val="hybridMultilevel"/>
    <w:lvl w:ilvl="0">
      <w:lvlJc w:val="left"/>
      <w:lvlText w:val="(%1)"/>
      <w:numFmt w:val="lowerLetter"/>
      <w:start w:val="2"/>
    </w:lvl>
  </w:abstractNum>
  <w:abstractNum w:abstractNumId="18">
    <w:nsid w:val="1D9F6E5F"/>
    <w:multiLevelType w:val="hybridMultilevel"/>
    <w:lvl w:ilvl="0">
      <w:lvlJc w:val="left"/>
      <w:lvlText w:val="(%1)"/>
      <w:numFmt w:val="lowerLetter"/>
      <w:start w:val="1"/>
    </w:lvl>
    <w:lvl w:ilvl="1">
      <w:lvlJc w:val="left"/>
      <w:lvlText w:val="(%2)"/>
      <w:numFmt w:val="lowerLetter"/>
      <w:start w:val="9"/>
    </w:lvl>
  </w:abstractNum>
  <w:abstractNum w:abstractNumId="19">
    <w:nsid w:val="97E1B4E"/>
    <w:multiLevelType w:val="hybridMultilevel"/>
    <w:lvl w:ilvl="0">
      <w:lvlJc w:val="left"/>
      <w:lvlText w:val="(%1)"/>
      <w:numFmt w:val="lowerRoman"/>
      <w:start w:val="2"/>
    </w:lvl>
  </w:abstractNum>
  <w:abstractNum w:abstractNumId="20">
    <w:nsid w:val="51088277"/>
    <w:multiLevelType w:val="hybridMultilevel"/>
    <w:lvl w:ilvl="0">
      <w:lvlJc w:val="left"/>
      <w:lvlText w:val="(%1)"/>
      <w:numFmt w:val="lowerLetter"/>
      <w:start w:val="2"/>
    </w:lvl>
  </w:abstractNum>
  <w:abstractNum w:abstractNumId="21">
    <w:nsid w:val="1CA0C5FA"/>
    <w:multiLevelType w:val="hybridMultilevel"/>
    <w:lvl w:ilvl="0">
      <w:lvlJc w:val="left"/>
      <w:lvlText w:val="(%1)"/>
      <w:numFmt w:val="upperLetter"/>
      <w:start w:val="2"/>
    </w:lvl>
    <w:lvl w:ilvl="1">
      <w:lvlJc w:val="left"/>
      <w:lvlText w:val="(%2)"/>
      <w:numFmt w:val="lowerRoman"/>
      <w:start w:val="2"/>
    </w:lvl>
  </w:abstractNum>
  <w:abstractNum w:abstractNumId="22">
    <w:nsid w:val="53584BCB"/>
    <w:multiLevelType w:val="hybridMultilevel"/>
    <w:lvl w:ilvl="0">
      <w:lvlJc w:val="left"/>
      <w:lvlText w:val="(%1)"/>
      <w:numFmt w:val="lowerLetter"/>
      <w:start w:val="3"/>
    </w:lvl>
    <w:lvl w:ilvl="1">
      <w:lvlJc w:val="left"/>
      <w:lvlText w:val="(%2)"/>
      <w:numFmt w:val="lowerRoman"/>
      <w:start w:val="1"/>
    </w:lvl>
  </w:abstractNum>
  <w:abstractNum w:abstractNumId="23">
    <w:nsid w:val="415E286C"/>
    <w:multiLevelType w:val="hybridMultilevel"/>
    <w:lvl w:ilvl="0">
      <w:lvlJc w:val="left"/>
      <w:lvlText w:val="(%1)"/>
      <w:numFmt w:val="lowerLetter"/>
      <w:start w:val="5"/>
    </w:lvl>
    <w:lvl w:ilvl="1">
      <w:lvlJc w:val="left"/>
      <w:lvlText w:val="(%2)"/>
      <w:numFmt w:val="lowerRoman"/>
      <w:start w:val="4"/>
    </w:lvl>
  </w:abstractNum>
  <w:abstractNum w:abstractNumId="24">
    <w:nsid w:val="7C58FD05"/>
    <w:multiLevelType w:val="hybridMultilevel"/>
    <w:lvl w:ilvl="0">
      <w:lvlJc w:val="left"/>
      <w:lvlText w:val="(%1)"/>
      <w:numFmt w:val="upperLetter"/>
      <w:start w:val="2"/>
    </w:lvl>
    <w:lvl w:ilvl="1">
      <w:lvlJc w:val="left"/>
      <w:lvlText w:val="(%2)"/>
      <w:numFmt w:val="lowerRoman"/>
      <w:start w:val="2"/>
    </w:lvl>
  </w:abstractNum>
  <w:abstractNum w:abstractNumId="25">
    <w:nsid w:val="23D86AAC"/>
    <w:multiLevelType w:val="hybridMultilevel"/>
    <w:lvl w:ilvl="0">
      <w:lvlJc w:val="left"/>
      <w:lvlText w:val="(%1)"/>
      <w:numFmt w:val="lowerRoman"/>
      <w:start w:val="4"/>
    </w:lvl>
  </w:abstractNum>
  <w:abstractNum w:abstractNumId="26">
    <w:nsid w:val="45E6D486"/>
    <w:multiLevelType w:val="hybridMultilevel"/>
    <w:lvl w:ilvl="0">
      <w:lvlJc w:val="left"/>
      <w:lvlText w:val="(%1)"/>
      <w:numFmt w:val="lowerLetter"/>
      <w:start w:val="7"/>
    </w:lvl>
    <w:lvl w:ilvl="1">
      <w:lvlJc w:val="left"/>
      <w:lvlText w:val="(%2)"/>
      <w:numFmt w:val="lowerRoman"/>
      <w:start w:val="1"/>
    </w:lvl>
  </w:abstractNum>
  <w:abstractNum w:abstractNumId="27">
    <w:nsid w:val="5C10FE21"/>
    <w:multiLevelType w:val="hybridMultilevel"/>
    <w:lvl w:ilvl="0">
      <w:lvlJc w:val="left"/>
      <w:lvlText w:val="(%1)"/>
      <w:numFmt w:val="lowerRoman"/>
      <w:start w:val="1"/>
    </w:lvl>
  </w:abstractNum>
  <w:abstractNum w:abstractNumId="28">
    <w:nsid w:val="E7FFA2B"/>
    <w:multiLevelType w:val="hybridMultilevel"/>
    <w:lvl w:ilvl="0">
      <w:lvlJc w:val="left"/>
      <w:lvlText w:val="(%1)"/>
      <w:numFmt w:val="lowerLetter"/>
      <w:start w:val="10"/>
    </w:lvl>
  </w:abstractNum>
  <w:abstractNum w:abstractNumId="29">
    <w:nsid w:val="3C5991AA"/>
    <w:multiLevelType w:val="hybridMultilevel"/>
    <w:lvl w:ilvl="0">
      <w:lvlJc w:val="left"/>
      <w:lvlText w:val="(%1)"/>
      <w:numFmt w:val="lowerLetter"/>
      <w:start w:val="13"/>
    </w:lvl>
  </w:abstractNum>
  <w:abstractNum w:abstractNumId="30">
    <w:nsid w:val="4BD8591A"/>
    <w:multiLevelType w:val="hybridMultilevel"/>
    <w:lvl w:ilvl="0">
      <w:lvlJc w:val="left"/>
      <w:lvlText w:val="(%1)"/>
      <w:numFmt w:val="lowerLetter"/>
      <w:start w:val="16"/>
    </w:lvl>
  </w:abstractNum>
  <w:abstractNum w:abstractNumId="31">
    <w:nsid w:val="78DF6A55"/>
    <w:multiLevelType w:val="hybridMultilevel"/>
    <w:lvl w:ilvl="0">
      <w:lvlJc w:val="left"/>
      <w:lvlText w:val="(%1)"/>
      <w:numFmt w:val="lowerRoman"/>
      <w:start w:val="1"/>
    </w:lvl>
  </w:abstractNum>
  <w:abstractNum w:abstractNumId="32">
    <w:nsid w:val="39B7AAA2"/>
    <w:multiLevelType w:val="hybridMultilevel"/>
    <w:lvl w:ilvl="0">
      <w:lvlJc w:val="left"/>
      <w:lvlText w:val="(%1)"/>
      <w:numFmt w:val="lowerLetter"/>
      <w:start w:val="17"/>
    </w:lvl>
    <w:lvl w:ilvl="1">
      <w:lvlJc w:val="left"/>
      <w:lvlText w:val="(%2)"/>
      <w:numFmt w:val="lowerRoman"/>
      <w:start w:val="1"/>
    </w:lvl>
  </w:abstractNum>
  <w:abstractNum w:abstractNumId="33">
    <w:nsid w:val="2B0D8DBE"/>
    <w:multiLevelType w:val="hybridMultilevel"/>
    <w:lvl w:ilvl="0">
      <w:lvlJc w:val="left"/>
      <w:lvlText w:val="%1"/>
      <w:numFmt w:val="decimal"/>
      <w:start w:val="1"/>
    </w:lvl>
    <w:lvl w:ilvl="1">
      <w:lvlJc w:val="left"/>
      <w:lvlText w:val="(%2)"/>
      <w:numFmt w:val="upperLetter"/>
      <w:start w:val="1"/>
    </w:lvl>
  </w:abstractNum>
  <w:abstractNum w:abstractNumId="34">
    <w:nsid w:val="6C80EC70"/>
    <w:multiLevelType w:val="hybridMultilevel"/>
    <w:lvl w:ilvl="0">
      <w:lvlJc w:val="left"/>
      <w:lvlText w:val="(%1)"/>
      <w:numFmt w:val="decimal"/>
      <w:start w:val="1"/>
    </w:lvl>
    <w:lvl w:ilvl="1">
      <w:lvlJc w:val="left"/>
      <w:lvlText w:val="%2"/>
      <w:numFmt w:val="upperLetter"/>
      <w:start w:val="1"/>
    </w:lvl>
  </w:abstractNum>
  <w:abstractNum w:abstractNumId="35">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36">
    <w:nsid w:val="69E373"/>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37">
    <w:nsid w:val="2C27173B"/>
    <w:multiLevelType w:val="hybridMultilevel"/>
    <w:lvl w:ilvl="0">
      <w:lvlJc w:val="left"/>
      <w:lvlText w:val="(%1)"/>
      <w:numFmt w:val="lowerLetter"/>
      <w:start w:val="18"/>
    </w:lvl>
    <w:lvl w:ilvl="1">
      <w:lvlJc w:val="left"/>
      <w:lvlText w:val="(%2)"/>
      <w:numFmt w:val="lowerLetter"/>
      <w:start w:val="22"/>
    </w:lvl>
    <w:lvl w:ilvl="2">
      <w:lvlJc w:val="left"/>
      <w:lvlText w:val="%3"/>
      <w:numFmt w:val="upperLetter"/>
      <w:start w:val="1"/>
    </w:lvl>
  </w:abstractNum>
  <w:abstractNum w:abstractNumId="38">
    <w:nsid w:val="4C9B0904"/>
    <w:multiLevelType w:val="hybridMultilevel"/>
    <w:lvl w:ilvl="0">
      <w:lvlJc w:val="left"/>
      <w:lvlText w:val="(%1)"/>
      <w:numFmt w:val="lowerRoman"/>
      <w:start w:val="6"/>
    </w:lvl>
  </w:abstractNum>
  <w:abstractNum w:abstractNumId="39">
    <w:nsid w:val="6AA7B75C"/>
    <w:multiLevelType w:val="hybridMultilevel"/>
    <w:lvl w:ilvl="0">
      <w:lvlJc w:val="left"/>
      <w:lvlText w:val="(%1)"/>
      <w:numFmt w:val="lowerLetter"/>
      <w:start w:val="19"/>
    </w:lvl>
    <w:lvl w:ilvl="1">
      <w:lvlJc w:val="left"/>
      <w:lvlText w:val="(%2)"/>
      <w:numFmt w:val="lowerRoman"/>
      <w:start w:val="1"/>
    </w:lvl>
  </w:abstractNum>
  <w:abstractNum w:abstractNumId="40">
    <w:nsid w:val="1DF029D3"/>
    <w:multiLevelType w:val="hybridMultilevel"/>
    <w:lvl w:ilvl="0">
      <w:lvlJc w:val="left"/>
      <w:lvlText w:val="(%1)"/>
      <w:numFmt w:val="lowerLetter"/>
      <w:start w:val="3"/>
    </w:lvl>
  </w:abstractNum>
  <w:abstractNum w:abstractNumId="41">
    <w:nsid w:val="5675FF36"/>
    <w:multiLevelType w:val="hybridMultilevel"/>
    <w:lvl w:ilvl="0">
      <w:lvlJc w:val="left"/>
      <w:lvlText w:val="(%1)"/>
      <w:numFmt w:val="lowerLetter"/>
      <w:start w:val="1"/>
    </w:lvl>
  </w:abstractNum>
  <w:abstractNum w:abstractNumId="42">
    <w:nsid w:val="3DD15094"/>
    <w:multiLevelType w:val="hybridMultilevel"/>
    <w:lvl w:ilvl="0">
      <w:lvlJc w:val="left"/>
      <w:lvlText w:val="(%1)"/>
      <w:numFmt w:val="lowerLetter"/>
      <w:start w:val="2"/>
    </w:lvl>
    <w:lvl w:ilvl="1">
      <w:lvlJc w:val="left"/>
      <w:lvlText w:val="(%2)"/>
      <w:numFmt w:val="lowerRoman"/>
      <w:start w:val="1"/>
    </w:lvl>
  </w:abstractNum>
  <w:abstractNum w:abstractNumId="43">
    <w:nsid w:val="3DB012B3"/>
    <w:multiLevelType w:val="hybridMultilevel"/>
    <w:lvl w:ilvl="0">
      <w:lvlJc w:val="left"/>
      <w:lvlText w:val="(%1)"/>
      <w:numFmt w:val="lowerLetter"/>
      <w:start w:val="1"/>
    </w:lvl>
  </w:abstractNum>
  <w:abstractNum w:abstractNumId="44">
    <w:nsid w:val="2708C9AF"/>
    <w:multiLevelType w:val="hybridMultilevel"/>
    <w:lvl w:ilvl="0">
      <w:lvlJc w:val="left"/>
      <w:lvlText w:val="(%1)"/>
      <w:numFmt w:val="lowerLetter"/>
      <w:start w:val="3"/>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lowerRoman"/>
      <w:start w:val="3"/>
    </w:lvl>
  </w:abstractNum>
  <w:abstractNum w:abstractNumId="47">
    <w:nsid w:val="4F97E3E4"/>
    <w:multiLevelType w:val="hybridMultilevel"/>
    <w:lvl w:ilvl="0">
      <w:lvlJc w:val="left"/>
      <w:lvlText w:val="(%1)"/>
      <w:numFmt w:val="lowerLetter"/>
      <w:start w:val="5"/>
    </w:lvl>
  </w:abstractNum>
  <w:abstractNum w:abstractNumId="48">
    <w:nsid w:val="53B0A9E"/>
    <w:multiLevelType w:val="hybridMultilevel"/>
    <w:lvl w:ilvl="0">
      <w:lvlJc w:val="left"/>
      <w:lvlText w:val="(%1)"/>
      <w:numFmt w:val="lowerLetter"/>
      <w:start w:val="6"/>
    </w:lvl>
  </w:abstractNum>
  <w:abstractNum w:abstractNumId="49">
    <w:nsid w:val="34FD6B4F"/>
    <w:multiLevelType w:val="hybridMultilevel"/>
    <w:lvl w:ilvl="0">
      <w:lvlJc w:val="left"/>
      <w:lvlText w:val="(%1)"/>
      <w:numFmt w:val="lowerLetter"/>
      <w:start w:val="1"/>
    </w:lvl>
  </w:abstractNum>
  <w:abstractNum w:abstractNumId="50">
    <w:nsid w:val="5915FF32"/>
    <w:multiLevelType w:val="hybridMultilevel"/>
    <w:lvl w:ilvl="0">
      <w:lvlJc w:val="left"/>
      <w:lvlText w:val="(%1)"/>
      <w:numFmt w:val="lowerLetter"/>
      <w:start w:val="1"/>
    </w:lvl>
  </w:abstractNum>
  <w:abstractNum w:abstractNumId="51">
    <w:nsid w:val="56438D15"/>
    <w:multiLevelType w:val="hybridMultilevel"/>
    <w:lvl w:ilvl="0">
      <w:lvlJc w:val="left"/>
      <w:lvlText w:val="(%1)"/>
      <w:numFmt w:val="lowerLetter"/>
      <w:start w:val="1"/>
    </w:lvl>
  </w:abstractNum>
  <w:abstractNum w:abstractNumId="52">
    <w:nsid w:val="519E3149"/>
    <w:multiLevelType w:val="hybridMultilevel"/>
    <w:lvl w:ilvl="0">
      <w:lvlJc w:val="left"/>
      <w:lvlText w:val="(%1)"/>
      <w:numFmt w:val="lowerLetter"/>
      <w:start w:val="2"/>
    </w:lvl>
  </w:abstractNum>
  <w:abstractNum w:abstractNumId="53">
    <w:nsid w:val="2C6E4AFD"/>
    <w:multiLevelType w:val="hybridMultilevel"/>
    <w:lvl w:ilvl="0">
      <w:lvlJc w:val="left"/>
      <w:lvlText w:val="(%1)"/>
      <w:numFmt w:val="lowerLetter"/>
      <w:start w:val="2"/>
    </w:lvl>
    <w:lvl w:ilvl="1">
      <w:lvlJc w:val="left"/>
      <w:lvlText w:val="(%2)"/>
      <w:numFmt w:val="lowerRoman"/>
      <w:start w:val="1"/>
    </w:lvl>
  </w:abstractNum>
  <w:abstractNum w:abstractNumId="54">
    <w:nsid w:val="17A1B582"/>
    <w:multiLevelType w:val="hybridMultilevel"/>
    <w:lvl w:ilvl="0">
      <w:lvlJc w:val="left"/>
      <w:lvlText w:val="(%1)"/>
      <w:numFmt w:val="lowerRoman"/>
      <w:start w:val="4"/>
    </w:lvl>
  </w:abstractNum>
  <w:abstractNum w:abstractNumId="55">
    <w:nsid w:val="4DF72E4E"/>
    <w:multiLevelType w:val="hybridMultilevel"/>
    <w:lvl w:ilvl="0">
      <w:lvlJc w:val="left"/>
      <w:lvlText w:val="(%1)"/>
      <w:numFmt w:val="lowerLetter"/>
      <w:start w:val="3"/>
    </w:lvl>
  </w:abstractNum>
  <w:abstractNum w:abstractNumId="56">
    <w:nsid w:val="5046B5A9"/>
    <w:multiLevelType w:val="hybridMultilevel"/>
    <w:lvl w:ilvl="0">
      <w:lvlJc w:val="left"/>
      <w:lvlText w:val="(%1)"/>
      <w:numFmt w:val="lowerLetter"/>
      <w:start w:val="1"/>
    </w:lvl>
  </w:abstractNum>
  <w:abstractNum w:abstractNumId="57">
    <w:nsid w:val="5D888A08"/>
    <w:multiLevelType w:val="hybridMultilevel"/>
    <w:lvl w:ilvl="0">
      <w:lvlJc w:val="left"/>
      <w:lvlText w:val="(%1)"/>
      <w:numFmt w:val="lowerLetter"/>
      <w:start w:val="3"/>
    </w:lvl>
  </w:abstractNum>
  <w:abstractNum w:abstractNumId="58">
    <w:nsid w:val="2A082C70"/>
    <w:multiLevelType w:val="hybridMultilevel"/>
    <w:lvl w:ilvl="0">
      <w:lvlJc w:val="left"/>
      <w:lvlText w:val="(%1)"/>
      <w:numFmt w:val="lowerLetter"/>
      <w:start w:val="7"/>
    </w:lvl>
  </w:abstractNum>
  <w:abstractNum w:abstractNumId="59">
    <w:nsid w:val="5EC6AFD4"/>
    <w:multiLevelType w:val="hybridMultilevel"/>
    <w:lvl w:ilvl="0">
      <w:lvlJc w:val="left"/>
      <w:lvlText w:val="(%1)"/>
      <w:numFmt w:val="lowerLetter"/>
      <w:start w:val="9"/>
    </w:lvl>
  </w:abstractNum>
  <w:abstractNum w:abstractNumId="60">
    <w:nsid w:val="19E21BB2"/>
    <w:multiLevelType w:val="hybridMultilevel"/>
    <w:lvl w:ilvl="0">
      <w:lvlJc w:val="left"/>
      <w:lvlText w:val="(%1)"/>
      <w:numFmt w:val="lowerLetter"/>
      <w:start w:val="12"/>
    </w:lvl>
  </w:abstractNum>
  <w:abstractNum w:abstractNumId="61">
    <w:nsid w:val="75E0858A"/>
    <w:multiLevelType w:val="hybridMultilevel"/>
    <w:lvl w:ilvl="0">
      <w:lvlJc w:val="left"/>
      <w:lvlText w:val="(%1)"/>
      <w:numFmt w:val="lowerLetter"/>
      <w:start w:val="1"/>
    </w:lvl>
  </w:abstractNum>
  <w:abstractNum w:abstractNumId="62">
    <w:nsid w:val="57A61A29"/>
    <w:multiLevelType w:val="hybridMultilevel"/>
    <w:lvl w:ilvl="0">
      <w:lvlJc w:val="left"/>
      <w:lvlText w:val="(%1)"/>
      <w:numFmt w:val="decimal"/>
      <w:start w:val="10"/>
    </w:lvl>
  </w:abstractNum>
  <w:abstractNum w:abstractNumId="63">
    <w:nsid w:val="5399C654"/>
    <w:multiLevelType w:val="hybridMultilevel"/>
    <w:lvl w:ilvl="0">
      <w:lvlJc w:val="left"/>
      <w:lvlText w:val="(%1)"/>
      <w:numFmt w:val="lowerLetter"/>
      <w:start w:val="1"/>
    </w:lvl>
  </w:abstractNum>
  <w:abstractNum w:abstractNumId="64">
    <w:nsid w:val="20EE1348"/>
    <w:multiLevelType w:val="hybridMultilevel"/>
    <w:lvl w:ilvl="0">
      <w:lvlJc w:val="left"/>
      <w:lvlText w:val="%1"/>
      <w:numFmt w:val="lowerLetter"/>
      <w:start w:val="1"/>
    </w:lvl>
    <w:lvl w:ilvl="1">
      <w:lvlJc w:val="left"/>
      <w:lvlText w:val="(%2)"/>
      <w:numFmt w:val="lowerLetter"/>
      <w:start w:val="3"/>
    </w:lvl>
  </w:abstractNum>
  <w:abstractNum w:abstractNumId="65">
    <w:nsid w:val="4427069A"/>
    <w:multiLevelType w:val="hybridMultilevel"/>
    <w:lvl w:ilvl="0">
      <w:lvlJc w:val="left"/>
      <w:lvlText w:val="(%1)"/>
      <w:numFmt w:val="lowerLetter"/>
      <w:start w:val="9"/>
    </w:lvl>
    <w:lvl w:ilvl="1">
      <w:lvlJc w:val="left"/>
      <w:lvlText w:val="%2"/>
      <w:numFmt w:val="lowerLetter"/>
      <w:start w:val="1"/>
    </w:lvl>
  </w:abstractNum>
  <w:abstractNum w:abstractNumId="66">
    <w:nsid w:val="B37E80A"/>
    <w:multiLevelType w:val="hybridMultilevel"/>
    <w:lvl w:ilvl="0">
      <w:lvlJc w:val="left"/>
      <w:lvlText w:val="(%1)"/>
      <w:numFmt w:val="lowerLetter"/>
      <w:start w:val="3"/>
    </w:lvl>
  </w:abstractNum>
  <w:abstractNum w:abstractNumId="67">
    <w:nsid w:val="2157F6BC"/>
    <w:multiLevelType w:val="hybridMultilevel"/>
    <w:lvl w:ilvl="0">
      <w:lvlJc w:val="left"/>
      <w:lvlText w:val="(%1)"/>
      <w:numFmt w:val="lowerLetter"/>
      <w:start w:val="1"/>
    </w:lvl>
  </w:abstractNum>
  <w:abstractNum w:abstractNumId="68">
    <w:nsid w:val="704E1DD5"/>
    <w:multiLevelType w:val="hybridMultilevel"/>
    <w:lvl w:ilvl="0">
      <w:lvlJc w:val="left"/>
      <w:lvlText w:val="(%1)"/>
      <w:numFmt w:val="lowerRoman"/>
      <w:start w:val="2"/>
    </w:lvl>
  </w:abstractNum>
  <w:abstractNum w:abstractNumId="69">
    <w:nsid w:val="57D2F10E"/>
    <w:multiLevelType w:val="hybridMultilevel"/>
    <w:lvl w:ilvl="0">
      <w:lvlJc w:val="left"/>
      <w:lvlText w:val="(%1)"/>
      <w:numFmt w:val="lowerLetter"/>
      <w:start w:val="5"/>
    </w:lvl>
  </w:abstractNum>
  <w:abstractNum w:abstractNumId="70">
    <w:nsid w:val="BFFAE18"/>
    <w:multiLevelType w:val="hybridMultilevel"/>
    <w:lvl w:ilvl="0">
      <w:lvlJc w:val="left"/>
      <w:lvlText w:val="(%1)"/>
      <w:numFmt w:val="lowerRoman"/>
      <w:start w:val="1"/>
    </w:lvl>
  </w:abstractNum>
  <w:abstractNum w:abstractNumId="71">
    <w:nsid w:val="E3E47A8"/>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72">
    <w:nsid w:val="2E48F044"/>
    <w:multiLevelType w:val="hybridMultilevel"/>
    <w:lvl w:ilvl="0">
      <w:lvlJc w:val="left"/>
      <w:lvlText w:val="(%1)"/>
      <w:numFmt w:val="lowerLetter"/>
      <w:start w:val="35"/>
    </w:lvl>
    <w:lvl w:ilvl="1">
      <w:lvlJc w:val="left"/>
      <w:lvlText w:val="(%2)"/>
      <w:numFmt w:val="lowerLetter"/>
      <w:start w:val="11"/>
    </w:lvl>
    <w:lvl w:ilvl="2">
      <w:lvlJc w:val="left"/>
      <w:lvlText w:val="(%3)"/>
      <w:numFmt w:val="lowerLetter"/>
      <w:start w:val="9"/>
    </w:lvl>
  </w:abstractNum>
  <w:abstractNum w:abstractNumId="73">
    <w:nsid w:val="49D0FEAC"/>
    <w:multiLevelType w:val="hybridMultilevel"/>
    <w:lvl w:ilvl="0">
      <w:lvlJc w:val="left"/>
      <w:lvlText w:val="%1"/>
      <w:numFmt w:val="lowerLetter"/>
      <w:start w:val="1"/>
    </w:lvl>
    <w:lvl w:ilvl="1">
      <w:lvlJc w:val="left"/>
      <w:lvlText w:val="(%2)"/>
      <w:numFmt w:val="lowerLetter"/>
      <w:start w:val="35"/>
    </w:lvl>
  </w:abstractNum>
  <w:abstractNum w:abstractNumId="74">
    <w:nsid w:val="4BEE5A5B"/>
    <w:multiLevelType w:val="hybridMultilevel"/>
    <w:lvl w:ilvl="0">
      <w:lvlJc w:val="left"/>
      <w:lvlText w:val="(%1)"/>
      <w:numFmt w:val="lowerLetter"/>
      <w:start w:val="13"/>
    </w:lvl>
    <w:lvl w:ilvl="1">
      <w:lvlJc w:val="left"/>
      <w:lvlText w:val="(%2)"/>
      <w:numFmt w:val="lowerLetter"/>
      <w:start w:val="9"/>
    </w:lvl>
  </w:abstractNum>
  <w:abstractNum w:abstractNumId="75">
    <w:nsid w:val="5551B9F3"/>
    <w:multiLevelType w:val="hybridMultilevel"/>
    <w:lvl w:ilvl="0">
      <w:lvlJc w:val="left"/>
      <w:lvlText w:val="(%1)"/>
      <w:numFmt w:val="lowerRoman"/>
      <w:start w:val="2"/>
    </w:lvl>
  </w:abstractNum>
  <w:abstractNum w:abstractNumId="76">
    <w:nsid w:val="24F6AB8E"/>
    <w:multiLevelType w:val="hybridMultilevel"/>
    <w:lvl w:ilvl="0">
      <w:lvlJc w:val="left"/>
      <w:lvlText w:val="%1"/>
      <w:numFmt w:val="lowerLetter"/>
      <w:start w:val="1"/>
    </w:lvl>
    <w:lvl w:ilvl="1">
      <w:lvlJc w:val="left"/>
      <w:lvlText w:val="(%2)"/>
      <w:numFmt w:val="lowerLetter"/>
      <w:start w:val="1"/>
    </w:lvl>
  </w:abstractNum>
  <w:abstractNum w:abstractNumId="77">
    <w:nsid w:val="634C574C"/>
    <w:multiLevelType w:val="hybridMultilevel"/>
    <w:lvl w:ilvl="0">
      <w:lvlJc w:val="left"/>
      <w:lvlText w:val="(%1)"/>
      <w:numFmt w:val="lowerLetter"/>
      <w:start w:val="35"/>
    </w:lvl>
    <w:lvl w:ilvl="1">
      <w:lvlJc w:val="left"/>
      <w:lvlText w:val="%2"/>
      <w:numFmt w:val="lowerLetter"/>
      <w:start w:val="1"/>
    </w:lvl>
  </w:abstractNum>
  <w:abstractNum w:abstractNumId="78">
    <w:nsid w:val="24E99DD7"/>
    <w:multiLevelType w:val="hybridMultilevel"/>
    <w:lvl w:ilvl="0">
      <w:lvlJc w:val="left"/>
      <w:lvlText w:val="(%1)"/>
      <w:numFmt w:val="lowerLetter"/>
      <w:start w:val="1"/>
    </w:lvl>
  </w:abstractNum>
  <w:abstractNum w:abstractNumId="79">
    <w:nsid w:val="2A31B62D"/>
    <w:multiLevelType w:val="hybridMultilevel"/>
    <w:lvl w:ilvl="0">
      <w:lvlJc w:val="left"/>
      <w:lvlText w:val="(%1)"/>
      <w:numFmt w:val="lowerLetter"/>
      <w:start w:val="2"/>
    </w:lvl>
  </w:abstractNum>
  <w:abstractNum w:abstractNumId="80">
    <w:nsid w:val="1849C29B"/>
    <w:multiLevelType w:val="hybridMultilevel"/>
    <w:lvl w:ilvl="0">
      <w:lvlJc w:val="left"/>
      <w:lvlText w:val="(%1)"/>
      <w:numFmt w:val="lowerLetter"/>
      <w:start w:val="7"/>
    </w:lvl>
  </w:abstractNum>
  <w:abstractNum w:abstractNumId="81">
    <w:nsid w:val="7DFF9D09"/>
    <w:multiLevelType w:val="hybridMultilevel"/>
    <w:lvl w:ilvl="0">
      <w:lvlJc w:val="left"/>
      <w:lvlText w:val="(%1)"/>
      <w:numFmt w:val="lowerLetter"/>
      <w:start w:val="1"/>
    </w:lvl>
  </w:abstractNum>
  <w:abstractNum w:abstractNumId="82">
    <w:nsid w:val="754342"/>
    <w:multiLevelType w:val="hybridMultilevel"/>
    <w:lvl w:ilvl="0">
      <w:lvlJc w:val="left"/>
      <w:lvlText w:val="(%1)"/>
      <w:numFmt w:val="lowerLetter"/>
      <w:start w:val="2"/>
    </w:lvl>
  </w:abstractNum>
  <w:abstractNum w:abstractNumId="83">
    <w:nsid w:val="69E7F3E5"/>
    <w:multiLevelType w:val="hybridMultilevel"/>
    <w:lvl w:ilvl="0">
      <w:lvlJc w:val="left"/>
      <w:lvlText w:val="(%1)"/>
      <w:numFmt w:val="lowerLetter"/>
      <w:start w:val="3"/>
    </w:lvl>
  </w:abstractNum>
  <w:abstractNum w:abstractNumId="84">
    <w:nsid w:val="2A6DE806"/>
    <w:multiLevelType w:val="hybridMultilevel"/>
    <w:lvl w:ilvl="0">
      <w:lvlJc w:val="left"/>
      <w:lvlText w:val="(%1)"/>
      <w:numFmt w:val="lowerLetter"/>
      <w:start w:val="4"/>
    </w:lvl>
  </w:abstractNum>
  <w:abstractNum w:abstractNumId="85">
    <w:nsid w:val="1816F8C4"/>
    <w:multiLevelType w:val="hybridMultilevel"/>
    <w:lvl w:ilvl="0">
      <w:lvlJc w:val="left"/>
      <w:lvlText w:val="(%1)"/>
      <w:numFmt w:val="lowerLetter"/>
      <w:start w:val="35"/>
    </w:lvl>
    <w:lvl w:ilvl="1">
      <w:lvlJc w:val="left"/>
      <w:lvlText w:val="(%2)"/>
      <w:numFmt w:val="lowerLetter"/>
      <w:start w:val="6"/>
    </w:lvl>
  </w:abstractNum>
  <w:abstractNum w:abstractNumId="86">
    <w:nsid w:val="37DF2233"/>
    <w:multiLevelType w:val="hybridMultilevel"/>
    <w:lvl w:ilvl="0">
      <w:lvlJc w:val="left"/>
      <w:lvlText w:val="(%1)"/>
      <w:numFmt w:val="lowerLetter"/>
      <w:start w:val="35"/>
    </w:lvl>
    <w:lvl w:ilvl="1">
      <w:lvlJc w:val="left"/>
      <w:lvlText w:val="%2"/>
      <w:numFmt w:val="lowerLetter"/>
      <w:start w:val="1"/>
    </w:lvl>
  </w:abstractNum>
  <w:abstractNum w:abstractNumId="87">
    <w:nsid w:val="7AB49DAF"/>
    <w:multiLevelType w:val="hybridMultilevel"/>
    <w:lvl w:ilvl="0">
      <w:lvlJc w:val="left"/>
      <w:lvlText w:val="(%1)"/>
      <w:numFmt w:val="lowerLetter"/>
      <w:start w:val="3"/>
    </w:lvl>
  </w:abstractNum>
  <w:abstractNum w:abstractNumId="88">
    <w:nsid w:val="759F82CD"/>
    <w:multiLevelType w:val="hybridMultilevel"/>
    <w:lvl w:ilvl="0">
      <w:lvlJc w:val="left"/>
      <w:lvlText w:val="(%1)"/>
      <w:numFmt w:val="lowerLetter"/>
      <w:start w:val="7"/>
    </w:lvl>
  </w:abstractNum>
  <w:abstractNum w:abstractNumId="89">
    <w:nsid w:val="61E74EA3"/>
    <w:multiLevelType w:val="hybridMultilevel"/>
    <w:lvl w:ilvl="0">
      <w:lvlJc w:val="left"/>
      <w:lvlText w:val="(%1)"/>
      <w:numFmt w:val="lowerLetter"/>
      <w:start w:val="8"/>
    </w:lvl>
  </w:abstractNum>
  <w:abstractNum w:abstractNumId="90">
    <w:nsid w:val="597B4D84"/>
    <w:multiLevelType w:val="hybridMultilevel"/>
    <w:lvl w:ilvl="0">
      <w:lvlJc w:val="left"/>
      <w:lvlText w:val="(%1)"/>
      <w:numFmt w:val="lowerLetter"/>
      <w:start w:val="1"/>
    </w:lvl>
    <w:lvl w:ilvl="1">
      <w:lvlJc w:val="left"/>
      <w:lvlText w:val="(%2)"/>
      <w:numFmt w:val="lowerRoman"/>
      <w:start w:val="1"/>
    </w:lvl>
  </w:abstractNum>
  <w:abstractNum w:abstractNumId="91">
    <w:nsid w:val="F819E7F"/>
    <w:multiLevelType w:val="hybridMultilevel"/>
    <w:lvl w:ilvl="0">
      <w:lvlJc w:val="left"/>
      <w:lvlText w:val="(%1)"/>
      <w:numFmt w:val="lowerRoman"/>
      <w:start w:val="3"/>
    </w:lvl>
  </w:abstractNum>
  <w:abstractNum w:abstractNumId="92">
    <w:nsid w:val="57C7D42D"/>
    <w:multiLevelType w:val="hybridMultilevel"/>
    <w:lvl w:ilvl="0">
      <w:lvlJc w:val="left"/>
      <w:lvlText w:val="%1"/>
      <w:numFmt w:val="lowerLetter"/>
      <w:start w:val="1"/>
    </w:lvl>
    <w:lvl w:ilvl="1">
      <w:lvlJc w:val="left"/>
      <w:lvlText w:val="(%2)"/>
      <w:numFmt w:val="lowerRoman"/>
      <w:start w:val="12"/>
    </w:lvl>
  </w:abstractNum>
  <w:abstractNum w:abstractNumId="93">
    <w:nsid w:val="312167AD"/>
    <w:multiLevelType w:val="hybridMultilevel"/>
    <w:lvl w:ilvl="0">
      <w:lvlJc w:val="left"/>
      <w:lvlText w:val="(%1)"/>
      <w:numFmt w:val="lowerLetter"/>
      <w:start w:val="2"/>
    </w:lvl>
    <w:lvl w:ilvl="1">
      <w:lvlJc w:val="left"/>
      <w:lvlText w:val="(%2)"/>
      <w:numFmt w:val="lowerRoman"/>
      <w:start w:val="1"/>
    </w:lvl>
  </w:abstractNum>
  <w:abstractNum w:abstractNumId="94">
    <w:nsid w:val="631B64D4"/>
    <w:multiLevelType w:val="hybridMultilevel"/>
    <w:lvl w:ilvl="0">
      <w:lvlJc w:val="left"/>
      <w:lvlText w:val="%1"/>
      <w:numFmt w:val="lowerLetter"/>
      <w:start w:val="1"/>
    </w:lvl>
    <w:lvl w:ilvl="1">
      <w:lvlJc w:val="left"/>
      <w:lvlText w:val="(%2)"/>
      <w:numFmt w:val="lowerRoman"/>
      <w:start w:val="18"/>
    </w:lvl>
  </w:abstractNum>
  <w:abstractNum w:abstractNumId="95">
    <w:nsid w:val="78B5E776"/>
    <w:multiLevelType w:val="hybridMultilevel"/>
    <w:lvl w:ilvl="0">
      <w:lvlJc w:val="left"/>
      <w:lvlText w:val="%1"/>
      <w:numFmt w:val="lowerLetter"/>
      <w:start w:val="1"/>
    </w:lvl>
    <w:lvl w:ilvl="1">
      <w:lvlJc w:val="left"/>
      <w:lvlText w:val="(%2)"/>
      <w:numFmt w:val="lowerRoman"/>
      <w:start w:val="19"/>
    </w:lvl>
  </w:abstractNum>
  <w:abstractNum w:abstractNumId="96">
    <w:nsid w:val="75486E47"/>
    <w:multiLevelType w:val="hybridMultilevel"/>
    <w:lvl w:ilvl="0">
      <w:lvlJc w:val="left"/>
      <w:lvlText w:val="(%1)"/>
      <w:numFmt w:val="lowerLetter"/>
      <w:start w:val="5"/>
    </w:lvl>
    <w:lvl w:ilvl="1">
      <w:lvlJc w:val="left"/>
      <w:lvlText w:val="%2"/>
      <w:numFmt w:val="lowerRoman"/>
      <w:start w:val="1"/>
    </w:lvl>
  </w:abstractNum>
  <w:abstractNum w:abstractNumId="97">
    <w:nsid w:val="6E534CDE"/>
    <w:multiLevelType w:val="hybridMultilevel"/>
    <w:lvl w:ilvl="0">
      <w:lvlJc w:val="left"/>
      <w:lvlText w:val="(%1)"/>
      <w:numFmt w:val="lowerLetter"/>
      <w:start w:val="6"/>
    </w:lvl>
    <w:lvl w:ilvl="1">
      <w:lvlJc w:val="left"/>
      <w:lvlText w:val="(%2)"/>
      <w:numFmt w:val="lowerRoman"/>
      <w:start w:val="20"/>
    </w:lvl>
  </w:abstractNum>
  <w:abstractNum w:abstractNumId="98">
    <w:nsid w:val="1A0DDE32"/>
    <w:multiLevelType w:val="hybridMultilevel"/>
    <w:lvl w:ilvl="0">
      <w:lvlJc w:val="left"/>
      <w:lvlText w:val="(%1)"/>
      <w:numFmt w:val="lowerRoman"/>
      <w:start w:val="22"/>
    </w:lvl>
  </w:abstractNum>
  <w:abstractNum w:abstractNumId="99">
    <w:nsid w:val="65968C1C"/>
    <w:multiLevelType w:val="hybridMultilevel"/>
    <w:lvl w:ilvl="0">
      <w:lvlJc w:val="left"/>
      <w:lvlText w:val="(%1)"/>
      <w:numFmt w:val="lowerRoman"/>
      <w:start w:val="29"/>
    </w:lvl>
  </w:abstractNum>
  <w:abstractNum w:abstractNumId="100">
    <w:nsid w:val="46263DEC"/>
    <w:multiLevelType w:val="hybridMultilevel"/>
    <w:lvl w:ilvl="0">
      <w:lvlJc w:val="left"/>
      <w:lvlText w:val="%1"/>
      <w:numFmt w:val="lowerLetter"/>
      <w:start w:val="1"/>
    </w:lvl>
    <w:lvl w:ilvl="1">
      <w:lvlJc w:val="left"/>
      <w:lvlText w:val="(%2)"/>
      <w:numFmt w:val="lowerRoman"/>
      <w:start w:val="32"/>
    </w:lvl>
  </w:abstractNum>
  <w:abstractNum w:abstractNumId="101">
    <w:nsid w:val="260D8C4A"/>
    <w:multiLevelType w:val="hybridMultilevel"/>
    <w:lvl w:ilvl="0">
      <w:lvlJc w:val="left"/>
      <w:lvlText w:val="(%1)"/>
      <w:numFmt w:val="lowerLetter"/>
      <w:start w:val="8"/>
    </w:lvl>
    <w:lvl w:ilvl="1">
      <w:lvlJc w:val="left"/>
      <w:lvlText w:val="%2"/>
      <w:numFmt w:val="lowerRoman"/>
      <w:start w:val="1"/>
    </w:lvl>
  </w:abstractNum>
  <w:abstractNum w:abstractNumId="102">
    <w:nsid w:val="73D4D3C4"/>
    <w:multiLevelType w:val="hybridMultilevel"/>
    <w:lvl w:ilvl="0">
      <w:lvlJc w:val="left"/>
      <w:lvlText w:val="(%1)"/>
      <w:numFmt w:val="lowerLetter"/>
      <w:start w:val="12"/>
    </w:lvl>
  </w:abstractNum>
  <w:abstractNum w:abstractNumId="103">
    <w:nsid w:val="746F2E30"/>
    <w:multiLevelType w:val="hybridMultilevel"/>
    <w:lvl w:ilvl="0">
      <w:lvlJc w:val="left"/>
      <w:lvlText w:val="(%1)"/>
      <w:numFmt w:val="lowerRoman"/>
      <w:start w:val="35"/>
    </w:lvl>
  </w:abstractNum>
  <w:abstractNum w:abstractNumId="104">
    <w:nsid w:val="6FDE8AF6"/>
    <w:multiLevelType w:val="hybridMultilevel"/>
    <w:lvl w:ilvl="0">
      <w:lvlJc w:val="left"/>
      <w:lvlText w:val="(%1)"/>
      <w:numFmt w:val="lowerRoman"/>
      <w:start w:val="37"/>
    </w:lvl>
  </w:abstractNum>
  <w:abstractNum w:abstractNumId="105">
    <w:nsid w:val="3FC32E20"/>
    <w:multiLevelType w:val="hybridMultilevel"/>
    <w:lvl w:ilvl="0">
      <w:lvlJc w:val="left"/>
      <w:lvlText w:val="%1"/>
      <w:numFmt w:val="lowerRoman"/>
      <w:start w:val="1"/>
    </w:lvl>
    <w:lvl w:ilvl="1">
      <w:lvlJc w:val="left"/>
      <w:lvlText w:val="(%2)"/>
      <w:numFmt w:val="lowerLetter"/>
      <w:start w:val="13"/>
    </w:lvl>
    <w:lvl w:ilvl="2">
      <w:lvlJc w:val="left"/>
      <w:lvlText w:val="(%3)"/>
      <w:numFmt w:val="lowerRoman"/>
      <w:start w:val="3"/>
    </w:lvl>
  </w:abstractNum>
  <w:abstractNum w:abstractNumId="106">
    <w:nsid w:val="49C0E823"/>
    <w:multiLevelType w:val="hybridMultilevel"/>
    <w:lvl w:ilvl="0">
      <w:lvlJc w:val="left"/>
      <w:lvlText w:val="(%1)"/>
      <w:numFmt w:val="lowerRoman"/>
      <w:start w:val="5"/>
    </w:lvl>
    <w:lvl w:ilvl="1">
      <w:lvlJc w:val="left"/>
      <w:lvlText w:val="(%2)"/>
      <w:numFmt w:val="lowerLetter"/>
      <w:start w:val="14"/>
    </w:lvl>
    <w:lvl w:ilvl="2">
      <w:lvlJc w:val="left"/>
      <w:lvlText w:val="(%3)"/>
      <w:numFmt w:val="lowerRoman"/>
      <w:start w:val="4"/>
    </w:lvl>
  </w:abstractNum>
  <w:abstractNum w:abstractNumId="107">
    <w:nsid w:val="14D53685"/>
    <w:multiLevelType w:val="hybridMultilevel"/>
    <w:lvl w:ilvl="0">
      <w:lvlJc w:val="left"/>
      <w:lvlText w:val="(%1)"/>
      <w:numFmt w:val="lowerLetter"/>
      <w:start w:val="17"/>
    </w:lvl>
  </w:abstractNum>
  <w:abstractNum w:abstractNumId="108">
    <w:nsid w:val="230F856C"/>
    <w:multiLevelType w:val="hybridMultilevel"/>
    <w:lvl w:ilvl="0">
      <w:lvlJc w:val="left"/>
      <w:lvlText w:val="(%1)"/>
      <w:numFmt w:val="lowerLetter"/>
      <w:start w:val="19"/>
    </w:lvl>
  </w:abstractNum>
  <w:abstractNum w:abstractNumId="109">
    <w:nsid w:val="6EAA85FB"/>
    <w:multiLevelType w:val="hybridMultilevel"/>
    <w:lvl w:ilvl="0">
      <w:lvlJc w:val="left"/>
      <w:lvlText w:val="(%1)"/>
      <w:numFmt w:val="lowerLetter"/>
      <w:start w:val="20"/>
    </w:lvl>
    <w:lvl w:ilvl="1">
      <w:lvlJc w:val="left"/>
      <w:lvlText w:val="(%2)"/>
      <w:numFmt w:val="lowerRoman"/>
      <w:start w:val="1"/>
    </w:lvl>
  </w:abstractNum>
  <w:abstractNum w:abstractNumId="110">
    <w:nsid w:val="3F06ECB2"/>
    <w:multiLevelType w:val="hybridMultilevel"/>
    <w:lvl w:ilvl="0">
      <w:lvlJc w:val="left"/>
      <w:lvlText w:val="%1"/>
      <w:numFmt w:val="lowerRoman"/>
      <w:start w:val="1"/>
    </w:lvl>
    <w:lvl w:ilvl="1">
      <w:lvlJc w:val="left"/>
      <w:lvlText w:val="(%2)"/>
      <w:numFmt w:val="lowerRoman"/>
      <w:start w:val="4"/>
    </w:lvl>
  </w:abstractNum>
  <w:abstractNum w:abstractNumId="111">
    <w:nsid w:val="3B594807"/>
    <w:multiLevelType w:val="hybridMultilevel"/>
    <w:lvl w:ilvl="0">
      <w:lvlJc w:val="left"/>
      <w:lvlText w:val="(%1)"/>
      <w:numFmt w:val="lowerRoman"/>
      <w:start w:val="10"/>
    </w:lvl>
    <w:lvl w:ilvl="1">
      <w:lvlJc w:val="left"/>
      <w:lvlText w:val="%2"/>
      <w:numFmt w:val="lowerRoman"/>
      <w:start w:val="1"/>
    </w:lvl>
  </w:abstractNum>
  <w:abstractNum w:abstractNumId="112">
    <w:nsid w:val="6CAA2304"/>
    <w:multiLevelType w:val="hybridMultilevel"/>
    <w:lvl w:ilvl="0">
      <w:lvlJc w:val="left"/>
      <w:lvlText w:val="(%1)"/>
      <w:numFmt w:val="lowerLetter"/>
      <w:start w:val="25"/>
    </w:lvl>
  </w:abstractNum>
  <w:abstractNum w:abstractNumId="113">
    <w:nsid w:val="3F7C2FF4"/>
    <w:multiLevelType w:val="hybridMultilevel"/>
    <w:lvl w:ilvl="0">
      <w:lvlJc w:val="left"/>
      <w:lvlText w:val="(%1)"/>
      <w:numFmt w:val="lowerLetter"/>
      <w:start w:val="27"/>
    </w:lvl>
  </w:abstractNum>
  <w:abstractNum w:abstractNumId="114">
    <w:nsid w:val="25413BEC"/>
    <w:multiLevelType w:val="hybridMultilevel"/>
    <w:lvl w:ilvl="0">
      <w:lvlJc w:val="left"/>
      <w:lvlText w:val="(%1)"/>
      <w:numFmt w:val="lowerRoman"/>
      <w:start w:val="1"/>
    </w:lvl>
  </w:abstractNum>
  <w:abstractNum w:abstractNumId="115">
    <w:nsid w:val="17180B0B"/>
    <w:multiLevelType w:val="hybridMultilevel"/>
    <w:lvl w:ilvl="0">
      <w:lvlJc w:val="left"/>
      <w:lvlText w:val="(%1)"/>
      <w:numFmt w:val="lowerRoman"/>
      <w:start w:val="1"/>
    </w:lvl>
  </w:abstractNum>
  <w:abstractNum w:abstractNumId="116">
    <w:nsid w:val="579328B9"/>
    <w:multiLevelType w:val="hybridMultilevel"/>
    <w:lvl w:ilvl="0">
      <w:lvlJc w:val="left"/>
      <w:lvlText w:val="(%1)"/>
      <w:numFmt w:val="lowerLetter"/>
      <w:start w:val="1"/>
    </w:lvl>
  </w:abstractNum>
  <w:abstractNum w:abstractNumId="117">
    <w:nsid w:val="5D205E20"/>
    <w:multiLevelType w:val="hybridMultilevel"/>
    <w:lvl w:ilvl="0">
      <w:lvlJc w:val="left"/>
      <w:lvlText w:val="(%1)"/>
      <w:numFmt w:val="lowerLetter"/>
      <w:start w:val="1"/>
    </w:lvl>
  </w:abstractNum>
  <w:abstractNum w:abstractNumId="118">
    <w:nsid w:val="11CCA8BA"/>
    <w:multiLevelType w:val="hybridMultilevel"/>
    <w:lvl w:ilvl="0">
      <w:lvlJc w:val="left"/>
      <w:lvlText w:val="%1"/>
      <w:numFmt w:val="lowerLetter"/>
      <w:start w:val="1"/>
    </w:lvl>
    <w:lvl w:ilvl="1">
      <w:lvlJc w:val="left"/>
      <w:lvlText w:val="(%2)"/>
      <w:numFmt w:val="lowerLetter"/>
      <w:start w:val="4"/>
    </w:lvl>
  </w:abstractNum>
  <w:abstractNum w:abstractNumId="119">
    <w:nsid w:val="4D32AB86"/>
    <w:multiLevelType w:val="hybridMultilevel"/>
    <w:lvl w:ilvl="0">
      <w:lvlJc w:val="left"/>
      <w:lvlText w:val="(%1)"/>
      <w:numFmt w:val="lowerLetter"/>
      <w:start w:val="9"/>
    </w:lvl>
    <w:lvl w:ilvl="1">
      <w:lvlJc w:val="left"/>
      <w:lvlText w:val="(%2)"/>
      <w:numFmt w:val="lowerLetter"/>
      <w:start w:val="9"/>
    </w:lvl>
  </w:abstractNum>
  <w:abstractNum w:abstractNumId="120">
    <w:nsid w:val="3F07ACC3"/>
    <w:multiLevelType w:val="hybridMultilevel"/>
    <w:lvl w:ilvl="0">
      <w:lvlJc w:val="left"/>
      <w:lvlText w:val="(%1)"/>
      <w:numFmt w:val="lowerLetter"/>
      <w:start w:val="10"/>
    </w:lvl>
  </w:abstractNum>
  <w:abstractNum w:abstractNumId="121">
    <w:nsid w:val="6B47F63E"/>
    <w:multiLevelType w:val="hybridMultilevel"/>
    <w:lvl w:ilvl="0">
      <w:lvlJc w:val="left"/>
      <w:lvlText w:val="(%1)"/>
      <w:numFmt w:val="lowerLetter"/>
      <w:start w:val="5"/>
    </w:lvl>
  </w:abstractNum>
  <w:abstractNum w:abstractNumId="122">
    <w:nsid w:val="5CB44A05"/>
    <w:multiLevelType w:val="hybridMultilevel"/>
    <w:lvl w:ilvl="0">
      <w:lvlJc w:val="left"/>
      <w:lvlText w:val="%1"/>
      <w:numFmt w:val="lowerRoman"/>
      <w:start w:val="1"/>
    </w:lvl>
    <w:lvl w:ilvl="1">
      <w:lvlJc w:val="left"/>
      <w:lvlText w:val="(%2)"/>
      <w:numFmt w:val="lowerLetter"/>
      <w:start w:val="8"/>
    </w:lvl>
  </w:abstractNum>
  <w:abstractNum w:abstractNumId="123">
    <w:nsid w:val="16CF80F1"/>
    <w:multiLevelType w:val="hybridMultilevel"/>
    <w:lvl w:ilvl="0">
      <w:lvlJc w:val="left"/>
      <w:lvlText w:val="(%1)"/>
      <w:numFmt w:val="lowerRoman"/>
      <w:start w:val="4"/>
    </w:lvl>
    <w:lvl w:ilvl="1">
      <w:lvlJc w:val="left"/>
      <w:lvlText w:val="(%2)"/>
      <w:numFmt w:val="lowerLetter"/>
      <w:start w:val="10"/>
    </w:lvl>
  </w:abstractNum>
  <w:abstractNum w:abstractNumId="124">
    <w:nsid w:val="1C695DEC"/>
    <w:multiLevelType w:val="hybridMultilevel"/>
    <w:lvl w:ilvl="0">
      <w:lvlJc w:val="left"/>
      <w:lvlText w:val="(%1)"/>
      <w:numFmt w:val="lowerLetter"/>
      <w:start w:val="15"/>
    </w:lvl>
  </w:abstractNum>
  <w:abstractNum w:abstractNumId="125">
    <w:nsid w:val="3FCFAED9"/>
    <w:multiLevelType w:val="hybridMultilevel"/>
    <w:lvl w:ilvl="0">
      <w:lvlJc w:val="left"/>
      <w:lvlText w:val="(%1)"/>
      <w:numFmt w:val="lowerLetter"/>
      <w:start w:val="1"/>
    </w:lvl>
  </w:abstractNum>
  <w:abstractNum w:abstractNumId="126">
    <w:nsid w:val="F856867"/>
    <w:multiLevelType w:val="hybridMultilevel"/>
    <w:lvl w:ilvl="0">
      <w:lvlJc w:val="left"/>
      <w:lvlText w:val="(%1)"/>
      <w:numFmt w:val="lowerLetter"/>
      <w:start w:val="1"/>
    </w:lvl>
  </w:abstractNum>
  <w:abstractNum w:abstractNumId="127">
    <w:nsid w:val="11B1CC33"/>
    <w:multiLevelType w:val="hybridMultilevel"/>
    <w:lvl w:ilvl="0">
      <w:lvlJc w:val="left"/>
      <w:lvlText w:val="(%1)"/>
      <w:numFmt w:val="lowerLetter"/>
      <w:start w:val="2"/>
    </w:lvl>
  </w:abstractNum>
  <w:abstractNum w:abstractNumId="128">
    <w:nsid w:val="2E22FBB7"/>
    <w:multiLevelType w:val="hybridMultilevel"/>
    <w:lvl w:ilvl="0">
      <w:lvlJc w:val="left"/>
      <w:lvlText w:val="(%1)"/>
      <w:numFmt w:val="lowerLetter"/>
      <w:start w:val="16"/>
    </w:lvl>
  </w:abstractNum>
  <w:abstractNum w:abstractNumId="129">
    <w:nsid w:val="29934699"/>
    <w:multiLevelType w:val="hybridMultilevel"/>
    <w:lvl w:ilvl="0">
      <w:lvlJc w:val="left"/>
      <w:lvlText w:val="(%1)"/>
      <w:numFmt w:val="decimal"/>
      <w:start w:val="15"/>
    </w:lvl>
  </w:abstractNum>
  <w:abstractNum w:abstractNumId="130">
    <w:nsid w:val="77485850"/>
    <w:multiLevelType w:val="hybridMultilevel"/>
    <w:lvl w:ilvl="0">
      <w:lvlJc w:val="left"/>
      <w:lvlText w:val="%1"/>
      <w:numFmt w:val="lowerLetter"/>
      <w:start w:val="1"/>
    </w:lvl>
    <w:lvl w:ilvl="1">
      <w:lvlJc w:val="left"/>
      <w:lvlText w:val="(%2)"/>
      <w:numFmt w:val="lowerLetter"/>
      <w:start w:val="14"/>
    </w:lvl>
  </w:abstractNum>
  <w:abstractNum w:abstractNumId="131">
    <w:nsid w:val="744939A3"/>
    <w:multiLevelType w:val="hybridMultilevel"/>
    <w:lvl w:ilvl="0">
      <w:lvlJc w:val="left"/>
      <w:lvlText w:val="(%1)"/>
      <w:numFmt w:val="lowerLetter"/>
      <w:start w:val="35"/>
    </w:lvl>
    <w:lvl w:ilvl="1">
      <w:lvlJc w:val="left"/>
      <w:lvlText w:val="%2"/>
      <w:numFmt w:val="lowerLetter"/>
      <w:start w:val="1"/>
    </w:lvl>
  </w:abstractNum>
  <w:abstractNum w:abstractNumId="132">
    <w:nsid w:val="4FA0D2E3"/>
    <w:multiLevelType w:val="hybridMultilevel"/>
    <w:lvl w:ilvl="0">
      <w:lvlJc w:val="left"/>
      <w:lvlText w:val="(%1)"/>
      <w:numFmt w:val="lowerLetter"/>
      <w:start w:val="20"/>
    </w:lvl>
  </w:abstractNum>
  <w:abstractNum w:abstractNumId="133">
    <w:nsid w:val="6B1D2C14"/>
    <w:multiLevelType w:val="hybridMultilevel"/>
    <w:lvl w:ilvl="0">
      <w:lvlJc w:val="left"/>
      <w:lvlText w:val="(%1)"/>
      <w:numFmt w:val="lowerLetter"/>
      <w:start w:val="23"/>
    </w:lvl>
  </w:abstractNum>
  <w:abstractNum w:abstractNumId="134">
    <w:nsid w:val="68B867D3"/>
    <w:multiLevelType w:val="hybridMultilevel"/>
    <w:lvl w:ilvl="0">
      <w:lvlJc w:val="left"/>
      <w:lvlText w:val="(%1)"/>
      <w:numFmt w:val="lowerLetter"/>
      <w:start w:val="3"/>
    </w:lvl>
  </w:abstractNum>
  <w:abstractNum w:abstractNumId="135">
    <w:nsid w:val="3F7F5DD9"/>
    <w:multiLevelType w:val="hybridMultilevel"/>
    <w:lvl w:ilvl="0">
      <w:lvlJc w:val="left"/>
      <w:lvlText w:val="(%1)"/>
      <w:numFmt w:val="lowerLetter"/>
      <w:start w:val="24"/>
    </w:lvl>
  </w:abstractNum>
  <w:abstractNum w:abstractNumId="136">
    <w:nsid w:val="2AE05A34"/>
    <w:multiLevelType w:val="hybridMultilevel"/>
    <w:lvl w:ilvl="0">
      <w:lvlJc w:val="left"/>
      <w:lvlText w:val="(%1)"/>
      <w:numFmt w:val="lowerLetter"/>
      <w:start w:val="27"/>
    </w:lvl>
  </w:abstractNum>
  <w:abstractNum w:abstractNumId="137">
    <w:nsid w:val="32794FF7"/>
    <w:multiLevelType w:val="hybridMultilevel"/>
    <w:lvl w:ilvl="0">
      <w:lvlJc w:val="left"/>
      <w:lvlText w:val="(%1)"/>
      <w:numFmt w:val="lowerLetter"/>
      <w:start w:val="16"/>
    </w:lvl>
  </w:abstractNum>
  <w:abstractNum w:abstractNumId="138">
    <w:nsid w:val="5454945E"/>
    <w:multiLevelType w:val="hybridMultilevel"/>
    <w:lvl w:ilvl="0">
      <w:lvlJc w:val="left"/>
      <w:lvlText w:val="(%1)"/>
      <w:numFmt w:val="lowerLetter"/>
      <w:start w:val="26"/>
    </w:lvl>
  </w:abstractNum>
  <w:abstractNum w:abstractNumId="139">
    <w:nsid w:val="4DEFDFA0"/>
    <w:multiLevelType w:val="hybridMultilevel"/>
    <w:lvl w:ilvl="0">
      <w:lvlJc w:val="left"/>
      <w:lvlText w:val="(%1)"/>
      <w:numFmt w:val="lowerLetter"/>
      <w:start w:val="1"/>
    </w:lvl>
  </w:abstractNum>
  <w:abstractNum w:abstractNumId="140">
    <w:nsid w:val="2123D5F2"/>
    <w:multiLevelType w:val="hybridMultilevel"/>
    <w:lvl w:ilvl="0">
      <w:lvlJc w:val="left"/>
      <w:lvlText w:val="(%1)"/>
      <w:numFmt w:val="lowerLetter"/>
      <w:start w:val="3"/>
    </w:lvl>
  </w:abstractNum>
  <w:abstractNum w:abstractNumId="141">
    <w:nsid w:val="135B8110"/>
    <w:multiLevelType w:val="hybridMultilevel"/>
    <w:lvl w:ilvl="0">
      <w:lvlJc w:val="left"/>
      <w:lvlText w:val="(%1)"/>
      <w:numFmt w:val="lowerRoman"/>
      <w:start w:val="1"/>
    </w:lvl>
  </w:abstractNum>
  <w:abstractNum w:abstractNumId="142">
    <w:nsid w:val="94927A8"/>
    <w:multiLevelType w:val="hybridMultilevel"/>
    <w:lvl w:ilvl="0">
      <w:lvlJc w:val="left"/>
      <w:lvlText w:val="(%1)"/>
      <w:numFmt w:val="lowerRoman"/>
      <w:start w:val="1"/>
    </w:lvl>
  </w:abstractNum>
  <w:abstractNum w:abstractNumId="143">
    <w:nsid w:val="DCDF8F6"/>
    <w:multiLevelType w:val="hybridMultilevel"/>
    <w:lvl w:ilvl="0">
      <w:lvlJc w:val="left"/>
      <w:lvlText w:val="(%1)"/>
      <w:numFmt w:val="lowerRoman"/>
      <w:start w:val="1"/>
    </w:lvl>
  </w:abstractNum>
  <w:abstractNum w:abstractNumId="144">
    <w:nsid w:val="52D7B105"/>
    <w:multiLevelType w:val="hybridMultilevel"/>
    <w:lvl w:ilvl="0">
      <w:lvlJc w:val="left"/>
      <w:lvlText w:val="(%1)"/>
      <w:numFmt w:val="lowerRoman"/>
      <w:start w:val="6"/>
    </w:lvl>
  </w:abstractNum>
  <w:abstractNum w:abstractNumId="145">
    <w:nsid w:val="2E8A6394"/>
    <w:multiLevelType w:val="hybridMultilevel"/>
    <w:lvl w:ilvl="0">
      <w:lvlJc w:val="left"/>
      <w:lvlText w:val="(%1)"/>
      <w:numFmt w:val="lowerRoman"/>
      <w:start w:val="1"/>
    </w:lvl>
  </w:abstractNum>
  <w:abstractNum w:abstractNumId="146">
    <w:nsid w:val="24E60401"/>
    <w:multiLevelType w:val="hybridMultilevel"/>
    <w:lvl w:ilvl="0">
      <w:lvlJc w:val="left"/>
      <w:lvlText w:val="(%1)"/>
      <w:numFmt w:val="lowerLetter"/>
      <w:start w:val="1"/>
    </w:lvl>
  </w:abstractNum>
  <w:abstractNum w:abstractNumId="147">
    <w:nsid w:val="2A6AD9BE"/>
    <w:multiLevelType w:val="hybridMultilevel"/>
    <w:lvl w:ilvl="0">
      <w:lvlJc w:val="left"/>
      <w:lvlText w:val="(%1)"/>
      <w:numFmt w:val="lowerLetter"/>
      <w:start w:val="5"/>
    </w:lvl>
  </w:abstractNum>
  <w:abstractNum w:abstractNumId="148">
    <w:nsid w:val="BAAC1B4"/>
    <w:multiLevelType w:val="hybridMultilevel"/>
    <w:lvl w:ilvl="0">
      <w:lvlJc w:val="left"/>
      <w:lvlText w:val="(%1)"/>
      <w:numFmt w:val="lowerLetter"/>
      <w:start w:val="1"/>
    </w:lvl>
  </w:abstractNum>
  <w:abstractNum w:abstractNumId="149">
    <w:nsid w:val="36B2ACBC"/>
    <w:multiLevelType w:val="hybridMultilevel"/>
    <w:lvl w:ilvl="0">
      <w:lvlJc w:val="left"/>
      <w:lvlText w:val="%1"/>
      <w:numFmt w:val="decimal"/>
      <w:start w:val="1"/>
    </w:lvl>
    <w:lvl w:ilvl="1">
      <w:lvlJc w:val="left"/>
      <w:lvlText w:val="(%2)"/>
      <w:numFmt w:val="lowerLetter"/>
      <w:start w:val="8"/>
    </w:lvl>
  </w:abstractNum>
  <w:abstractNum w:abstractNumId="150">
    <w:nsid w:val="779D8544"/>
    <w:multiLevelType w:val="hybridMultilevel"/>
    <w:lvl w:ilvl="0">
      <w:lvlJc w:val="left"/>
      <w:lvlText w:val="(%1)"/>
      <w:numFmt w:val="decimal"/>
      <w:start w:val="60"/>
    </w:lvl>
    <w:lvl w:ilvl="1">
      <w:lvlJc w:val="left"/>
      <w:lvlText w:val="(%2)"/>
      <w:numFmt w:val="lowerLetter"/>
      <w:start w:val="9"/>
    </w:lvl>
  </w:abstractNum>
  <w:abstractNum w:abstractNumId="151">
    <w:nsid w:val="4AB26E78"/>
    <w:multiLevelType w:val="hybridMultilevel"/>
    <w:lvl w:ilvl="0">
      <w:lvlJc w:val="left"/>
      <w:lvlText w:val="(%1)"/>
      <w:numFmt w:val="upperLetter"/>
      <w:start w:val="3"/>
    </w:lvl>
    <w:lvl w:ilvl="1">
      <w:lvlJc w:val="left"/>
      <w:lvlText w:val="(%2)"/>
      <w:numFmt w:val="lowerLetter"/>
      <w:start w:val="12"/>
    </w:lvl>
    <w:lvl w:ilvl="2">
      <w:lvlJc w:val="left"/>
      <w:lvlText w:val="(%3)"/>
      <w:numFmt w:val="lowerRoman"/>
      <w:start w:val="1"/>
    </w:lvl>
    <w:lvl w:ilvl="3">
      <w:lvlJc w:val="left"/>
      <w:lvlText w:val="(%4)"/>
      <w:numFmt w:val="upperLetter"/>
      <w:start w:val="1"/>
    </w:lvl>
  </w:abstractNum>
  <w:abstractNum w:abstractNumId="152">
    <w:nsid w:val="21FAA2FA"/>
    <w:multiLevelType w:val="hybridMultilevel"/>
    <w:lvl w:ilvl="0">
      <w:lvlJc w:val="left"/>
      <w:lvlText w:val="%1"/>
      <w:numFmt w:val="lowerLetter"/>
      <w:start w:val="1"/>
    </w:lvl>
    <w:lvl w:ilvl="1">
      <w:lvlJc w:val="left"/>
      <w:lvlText w:val="(%2)"/>
      <w:numFmt w:val="upperLetter"/>
      <w:start w:val="3"/>
    </w:lvl>
  </w:abstractNum>
  <w:abstractNum w:abstractNumId="153">
    <w:nsid w:val="5451CF49"/>
    <w:multiLevelType w:val="hybridMultilevel"/>
    <w:lvl w:ilvl="0">
      <w:lvlJc w:val="left"/>
      <w:lvlText w:val="(%1)"/>
      <w:numFmt w:val="lowerLetter"/>
      <w:start w:val="1"/>
    </w:lvl>
    <w:lvl w:ilvl="1">
      <w:lvlJc w:val="left"/>
      <w:lvlText w:val="%2"/>
      <w:numFmt w:val="upperLetter"/>
      <w:start w:val="1"/>
    </w:lvl>
  </w:abstractNum>
  <w:abstractNum w:abstractNumId="154">
    <w:nsid w:val="6181EF69"/>
    <w:multiLevelType w:val="hybridMultilevel"/>
    <w:lvl w:ilvl="0">
      <w:lvlJc w:val="left"/>
      <w:lvlText w:val="(%1)"/>
      <w:numFmt w:val="lowerLetter"/>
      <w:start w:val="10"/>
    </w:lvl>
  </w:abstractNum>
  <w:abstractNum w:abstractNumId="155">
    <w:nsid w:val="3E6400E6"/>
    <w:multiLevelType w:val="hybridMultilevel"/>
    <w:lvl w:ilvl="0">
      <w:lvlJc w:val="left"/>
      <w:lvlText w:val="(%1)"/>
      <w:numFmt w:val="lowerLetter"/>
      <w:start w:val="4"/>
    </w:lvl>
  </w:abstractNum>
  <w:abstractNum w:abstractNumId="156">
    <w:nsid w:val="14217E23"/>
    <w:multiLevelType w:val="hybridMultilevel"/>
    <w:lvl w:ilvl="0">
      <w:lvlJc w:val="left"/>
      <w:lvlText w:val="(%1)"/>
      <w:numFmt w:val="lowerLetter"/>
      <w:start w:val="5"/>
    </w:lvl>
  </w:abstractNum>
  <w:abstractNum w:abstractNumId="157">
    <w:nsid w:val="710757D0"/>
    <w:multiLevelType w:val="hybridMultilevel"/>
    <w:lvl w:ilvl="0">
      <w:lvlJc w:val="left"/>
      <w:lvlText w:val="(%1)"/>
      <w:numFmt w:val="lowerLetter"/>
      <w:start w:val="1"/>
    </w:lvl>
  </w:abstractNum>
  <w:abstractNum w:abstractNumId="158">
    <w:nsid w:val="5015CD1A"/>
    <w:multiLevelType w:val="hybridMultilevel"/>
    <w:lvl w:ilvl="0">
      <w:lvlJc w:val="left"/>
      <w:lvlText w:val="%1"/>
      <w:numFmt w:val="lowerLetter"/>
      <w:start w:val="1"/>
    </w:lvl>
    <w:lvl w:ilvl="1">
      <w:lvlJc w:val="left"/>
      <w:lvlText w:val="(%2)"/>
      <w:numFmt w:val="lowerLetter"/>
      <w:start w:val="5"/>
    </w:lvl>
  </w:abstractNum>
  <w:abstractNum w:abstractNumId="159">
    <w:nsid w:val="424479DA"/>
    <w:multiLevelType w:val="hybridMultilevel"/>
    <w:lvl w:ilvl="0">
      <w:lvlJc w:val="left"/>
      <w:lvlText w:val="(%1)"/>
      <w:numFmt w:val="lowerLetter"/>
      <w:start w:val="22"/>
    </w:lvl>
    <w:lvl w:ilvl="1">
      <w:lvlJc w:val="left"/>
      <w:lvlText w:val="(%2)"/>
      <w:numFmt w:val="lowerLetter"/>
      <w:start w:val="7"/>
    </w:lvl>
  </w:abstractNum>
  <w:abstractNum w:abstractNumId="160">
    <w:nsid w:val="1A9A9E69"/>
    <w:multiLevelType w:val="hybridMultilevel"/>
    <w:lvl w:ilvl="0">
      <w:lvlJc w:val="left"/>
      <w:lvlText w:val="(%1)"/>
      <w:numFmt w:val="lowerLetter"/>
      <w:start w:val="8"/>
    </w:lvl>
  </w:abstractNum>
  <w:abstractNum w:abstractNumId="161">
    <w:nsid w:val="475E256A"/>
    <w:multiLevelType w:val="hybridMultilevel"/>
    <w:lvl w:ilvl="0">
      <w:lvlJc w:val="left"/>
      <w:lvlText w:val="(%1)"/>
      <w:numFmt w:val="lowerLetter"/>
      <w:start w:val="1"/>
    </w:lvl>
  </w:abstractNum>
  <w:abstractNum w:abstractNumId="162">
    <w:nsid w:val="368DB37E"/>
    <w:multiLevelType w:val="hybridMultilevel"/>
    <w:lvl w:ilvl="0">
      <w:lvlJc w:val="left"/>
      <w:lvlText w:val="(%1)"/>
      <w:numFmt w:val="lowerLetter"/>
      <w:start w:val="3"/>
    </w:lvl>
  </w:abstractNum>
  <w:abstractNum w:abstractNumId="163">
    <w:nsid w:val="6A3B714C"/>
    <w:multiLevelType w:val="hybridMultilevel"/>
    <w:lvl w:ilvl="0">
      <w:lvlJc w:val="left"/>
      <w:lvlText w:val="%1"/>
      <w:numFmt w:val="lowerLetter"/>
      <w:start w:val="1"/>
    </w:lvl>
    <w:lvl w:ilvl="1">
      <w:lvlJc w:val="left"/>
      <w:lvlText w:val="(%2)"/>
      <w:numFmt w:val="lowerLetter"/>
      <w:start w:val="8"/>
    </w:lvl>
  </w:abstractNum>
  <w:abstractNum w:abstractNumId="164">
    <w:nsid w:val="327B517E"/>
    <w:multiLevelType w:val="hybridMultilevel"/>
    <w:lvl w:ilvl="0">
      <w:lvlJc w:val="left"/>
      <w:lvlText w:val="(%1)"/>
      <w:numFmt w:val="lowerLetter"/>
      <w:start w:val="4"/>
    </w:lvl>
    <w:lvl w:ilvl="1">
      <w:lvlJc w:val="left"/>
      <w:lvlText w:val="%2"/>
      <w:numFmt w:val="lowerLetter"/>
      <w:start w:val="1"/>
    </w:lvl>
  </w:abstractNum>
  <w:abstractNum w:abstractNumId="165">
    <w:nsid w:val="1F461B51"/>
    <w:multiLevelType w:val="hybridMultilevel"/>
    <w:lvl w:ilvl="0">
      <w:lvlJc w:val="left"/>
      <w:lvlText w:val="(%1)"/>
      <w:numFmt w:val="lowerLetter"/>
      <w:start w:val="10"/>
    </w:lvl>
  </w:abstractNum>
  <w:abstractNum w:abstractNumId="166">
    <w:nsid w:val="29BACF25"/>
    <w:multiLevelType w:val="hybridMultilevel"/>
    <w:lvl w:ilvl="0">
      <w:lvlJc w:val="left"/>
      <w:lvlText w:val="%1"/>
      <w:numFmt w:val="lowerLetter"/>
      <w:start w:val="1"/>
    </w:lvl>
    <w:lvl w:ilvl="1">
      <w:lvlJc w:val="left"/>
      <w:lvlText w:val="(%2)"/>
      <w:numFmt w:val="lowerLetter"/>
      <w:start w:val="12"/>
    </w:lvl>
  </w:abstractNum>
  <w:abstractNum w:abstractNumId="167">
    <w:nsid w:val="5D5BABB3"/>
    <w:multiLevelType w:val="hybridMultilevel"/>
    <w:lvl w:ilvl="0">
      <w:lvlJc w:val="left"/>
      <w:lvlText w:val="(%1)"/>
      <w:numFmt w:val="lowerLetter"/>
      <w:start w:val="9"/>
    </w:lvl>
    <w:lvl w:ilvl="1">
      <w:lvlJc w:val="left"/>
      <w:lvlText w:val="%2"/>
      <w:numFmt w:val="lowerLetter"/>
      <w:start w:val="1"/>
    </w:lvl>
  </w:abstractNum>
  <w:abstractNum w:abstractNumId="168">
    <w:nsid w:val="51BF6B48"/>
    <w:multiLevelType w:val="hybridMultilevel"/>
    <w:lvl w:ilvl="0">
      <w:lvlJc w:val="left"/>
      <w:lvlText w:val="(%1)"/>
      <w:numFmt w:val="lowerLetter"/>
      <w:start w:val="13"/>
    </w:lvl>
  </w:abstractNum>
  <w:abstractNum w:abstractNumId="169">
    <w:nsid w:val="7E0F6384"/>
    <w:multiLevelType w:val="hybridMultilevel"/>
    <w:lvl w:ilvl="0">
      <w:lvlJc w:val="left"/>
      <w:lvlText w:val="(%1)"/>
      <w:numFmt w:val="lowerLetter"/>
      <w:start w:val="14"/>
    </w:lvl>
    <w:lvl w:ilvl="1">
      <w:lvlJc w:val="left"/>
      <w:lvlText w:val="(%2)"/>
      <w:numFmt w:val="lowerRoman"/>
      <w:start w:val="1"/>
    </w:lvl>
  </w:abstractNum>
  <w:abstractNum w:abstractNumId="170">
    <w:nsid w:val="2B4B8B53"/>
    <w:multiLevelType w:val="hybridMultilevel"/>
    <w:lvl w:ilvl="0">
      <w:lvlJc w:val="left"/>
      <w:lvlText w:val="(%1)"/>
      <w:numFmt w:val="lowerLetter"/>
      <w:start w:val="16"/>
    </w:lvl>
    <w:lvl w:ilvl="1">
      <w:lvlJc w:val="left"/>
      <w:lvlText w:val="(%2)"/>
      <w:numFmt w:val="lowerRoman"/>
      <w:start w:val="1"/>
    </w:lvl>
  </w:abstractNum>
  <w:abstractNum w:abstractNumId="171">
    <w:nsid w:val="72E3413A"/>
    <w:multiLevelType w:val="hybridMultilevel"/>
    <w:lvl w:ilvl="0">
      <w:lvlJc w:val="left"/>
      <w:lvlText w:val="(%1)"/>
      <w:numFmt w:val="lowerLetter"/>
      <w:start w:val="19"/>
    </w:lvl>
  </w:abstractNum>
  <w:abstractNum w:abstractNumId="172">
    <w:nsid w:val="116AE494"/>
    <w:multiLevelType w:val="hybridMultilevel"/>
    <w:lvl w:ilvl="0">
      <w:lvlJc w:val="left"/>
      <w:lvlText w:val="(%1)"/>
      <w:numFmt w:val="lowerLetter"/>
      <w:start w:val="1"/>
    </w:lvl>
  </w:abstractNum>
  <w:abstractNum w:abstractNumId="173">
    <w:nsid w:val="3494B2FB"/>
    <w:multiLevelType w:val="hybridMultilevel"/>
    <w:lvl w:ilvl="0">
      <w:lvlJc w:val="left"/>
      <w:lvlText w:val="(%1)"/>
      <w:numFmt w:val="lowerLetter"/>
      <w:start w:val="2"/>
    </w:lvl>
  </w:abstractNum>
  <w:abstractNum w:abstractNumId="174">
    <w:nsid w:val="B13A31"/>
    <w:multiLevelType w:val="hybridMultilevel"/>
    <w:lvl w:ilvl="0">
      <w:lvlJc w:val="left"/>
      <w:lvlText w:val="(%1)"/>
      <w:numFmt w:val="lowerLetter"/>
      <w:start w:val="3"/>
    </w:lvl>
  </w:abstractNum>
  <w:abstractNum w:abstractNumId="175">
    <w:nsid w:val="64429599"/>
    <w:multiLevelType w:val="hybridMultilevel"/>
    <w:lvl w:ilvl="0">
      <w:lvlJc w:val="left"/>
      <w:lvlText w:val="(%1)"/>
      <w:numFmt w:val="lowerLetter"/>
      <w:start w:val="1"/>
    </w:lvl>
  </w:abstractNum>
  <w:abstractNum w:abstractNumId="176">
    <w:nsid w:val="631F1690"/>
    <w:multiLevelType w:val="hybridMultilevel"/>
    <w:lvl w:ilvl="0">
      <w:lvlJc w:val="left"/>
      <w:lvlText w:val="(%1)"/>
      <w:numFmt w:val="lowerLetter"/>
      <w:start w:val="3"/>
    </w:lvl>
  </w:abstractNum>
  <w:abstractNum w:abstractNumId="177">
    <w:nsid w:val="25973E32"/>
    <w:multiLevelType w:val="hybridMultilevel"/>
    <w:lvl w:ilvl="0">
      <w:lvlJc w:val="left"/>
      <w:lvlText w:val="(%1)"/>
      <w:numFmt w:val="lowerLetter"/>
      <w:start w:val="6"/>
    </w:lvl>
  </w:abstractNum>
  <w:abstractNum w:abstractNumId="178">
    <w:nsid w:val="EAD6F57"/>
    <w:multiLevelType w:val="hybridMultilevel"/>
    <w:lvl w:ilvl="0">
      <w:lvlJc w:val="left"/>
      <w:lvlText w:val="(%1)"/>
      <w:numFmt w:val="lowerLetter"/>
      <w:start w:val="16"/>
    </w:lvl>
  </w:abstractNum>
  <w:abstractNum w:abstractNumId="179">
    <w:nsid w:val="6EC9D844"/>
    <w:multiLevelType w:val="hybridMultilevel"/>
    <w:lvl w:ilvl="0">
      <w:lvlJc w:val="left"/>
      <w:lvlText w:val="(%1)"/>
      <w:numFmt w:val="lowerLetter"/>
      <w:start w:val="1"/>
    </w:lvl>
  </w:abstractNum>
  <w:abstractNum w:abstractNumId="180">
    <w:nsid w:val="5C49EAEE"/>
    <w:multiLevelType w:val="hybridMultilevel"/>
    <w:lvl w:ilvl="0">
      <w:lvlJc w:val="left"/>
      <w:lvlText w:val="(%1)"/>
      <w:numFmt w:val="lowerRoman"/>
      <w:start w:val="1"/>
    </w:lvl>
    <w:lvl w:ilvl="1">
      <w:lvlJc w:val="left"/>
      <w:lvlText w:val="(%2)"/>
      <w:numFmt w:val="decimal"/>
      <w:start w:val="1"/>
    </w:lvl>
  </w:abstractNum>
  <w:abstractNum w:abstractNumId="181">
    <w:nsid w:val="64AF49B"/>
    <w:multiLevelType w:val="hybridMultilevel"/>
    <w:lvl w:ilvl="0">
      <w:lvlJc w:val="left"/>
      <w:lvlText w:val="%1"/>
      <w:numFmt w:val="lowerLetter"/>
      <w:start w:val="1"/>
    </w:lvl>
    <w:lvl w:ilvl="1">
      <w:lvlJc w:val="left"/>
      <w:lvlText w:val="(%2)"/>
      <w:numFmt w:val="lowerRoman"/>
      <w:start w:val="7"/>
    </w:lvl>
  </w:abstractNum>
  <w:abstractNum w:abstractNumId="182">
    <w:nsid w:val="397C46BC"/>
    <w:multiLevelType w:val="hybridMultilevel"/>
    <w:lvl w:ilvl="0">
      <w:lvlJc w:val="left"/>
      <w:lvlText w:val="(%1)"/>
      <w:numFmt w:val="lowerLetter"/>
      <w:start w:val="7"/>
    </w:lvl>
    <w:lvl w:ilvl="1">
      <w:lvlJc w:val="left"/>
      <w:lvlText w:val="%2"/>
      <w:numFmt w:val="lowerRoman"/>
      <w:start w:val="1"/>
    </w:lvl>
  </w:abstractNum>
  <w:abstractNum w:abstractNumId="183">
    <w:nsid w:val="7E448DE9"/>
    <w:multiLevelType w:val="hybridMultilevel"/>
    <w:lvl w:ilvl="0">
      <w:lvlJc w:val="left"/>
      <w:lvlText w:val="(%1)"/>
      <w:numFmt w:val="lowerLetter"/>
      <w:start w:val="8"/>
    </w:lvl>
  </w:abstractNum>
  <w:abstractNum w:abstractNumId="184">
    <w:nsid w:val="5A9CC3E5"/>
    <w:multiLevelType w:val="hybridMultilevel"/>
    <w:lvl w:ilvl="0">
      <w:lvlJc w:val="left"/>
      <w:lvlText w:val="(%1)"/>
      <w:numFmt w:val="lowerLetter"/>
      <w:start w:val="9"/>
    </w:lvl>
  </w:abstractNum>
  <w:abstractNum w:abstractNumId="185">
    <w:nsid w:val="1AFE3625"/>
    <w:multiLevelType w:val="hybridMultilevel"/>
    <w:lvl w:ilvl="0">
      <w:lvlJc w:val="left"/>
      <w:lvlText w:val="(%1)"/>
      <w:numFmt w:val="lowerRoman"/>
      <w:start w:val="10"/>
    </w:lvl>
  </w:abstractNum>
  <w:abstractNum w:abstractNumId="186">
    <w:nsid w:val="3CA88ECF"/>
    <w:multiLevelType w:val="hybridMultilevel"/>
    <w:lvl w:ilvl="0">
      <w:lvlJc w:val="left"/>
      <w:lvlText w:val="(%1)"/>
      <w:numFmt w:val="lowerLetter"/>
      <w:start w:val="25"/>
    </w:lvl>
  </w:abstractNum>
  <w:abstractNum w:abstractNumId="187">
    <w:nsid w:val="6EBE4208"/>
    <w:multiLevelType w:val="hybridMultilevel"/>
    <w:lvl w:ilvl="0">
      <w:lvlJc w:val="left"/>
      <w:lvlText w:val="%1"/>
      <w:numFmt w:val="lowerLetter"/>
      <w:start w:val="1"/>
    </w:lvl>
    <w:lvl w:ilvl="1">
      <w:lvlJc w:val="left"/>
      <w:lvlText w:val="(%2)"/>
      <w:numFmt w:val="lowerLetter"/>
      <w:start w:val="7"/>
    </w:lvl>
  </w:abstractNum>
  <w:abstractNum w:abstractNumId="188">
    <w:nsid w:val="C058DF5"/>
    <w:multiLevelType w:val="hybridMultilevel"/>
    <w:lvl w:ilvl="0">
      <w:lvlJc w:val="left"/>
      <w:lvlText w:val="(%1)"/>
      <w:numFmt w:val="lowerLetter"/>
      <w:start w:val="1"/>
    </w:lvl>
    <w:lvl w:ilvl="1">
      <w:lvlJc w:val="left"/>
      <w:lvlText w:val="(%2)"/>
      <w:numFmt w:val="lowerLetter"/>
      <w:start w:val="8"/>
    </w:lvl>
  </w:abstractNum>
  <w:abstractNum w:abstractNumId="189">
    <w:nsid w:val="CBE5BE9"/>
    <w:multiLevelType w:val="hybridMultilevel"/>
    <w:lvl w:ilvl="0">
      <w:lvlJc w:val="left"/>
      <w:lvlText w:val="(%1)"/>
      <w:numFmt w:val="lowerLetter"/>
      <w:start w:val="27"/>
    </w:lvl>
  </w:abstractNum>
  <w:abstractNum w:abstractNumId="190">
    <w:nsid w:val="3102BBE2"/>
    <w:multiLevelType w:val="hybridMultilevel"/>
    <w:lvl w:ilvl="0">
      <w:lvlJc w:val="left"/>
      <w:lvlText w:val="(%1)"/>
      <w:numFmt w:val="lowerLetter"/>
      <w:start w:val="11"/>
    </w:lvl>
    <w:lvl w:ilvl="1">
      <w:lvlJc w:val="left"/>
      <w:lvlText w:val="(%2)"/>
      <w:numFmt w:val="lowerRoman"/>
      <w:start w:val="1"/>
    </w:lvl>
  </w:abstractNum>
  <w:abstractNum w:abstractNumId="191">
    <w:nsid w:val="26A02C5E"/>
    <w:multiLevelType w:val="hybridMultilevel"/>
    <w:lvl w:ilvl="0">
      <w:lvlJc w:val="left"/>
      <w:lvlText w:val="(%1)"/>
      <w:numFmt w:val="lowerLetter"/>
      <w:start w:val="1"/>
    </w:lvl>
  </w:abstractNum>
  <w:abstractNum w:abstractNumId="192">
    <w:nsid w:val="541C8153"/>
    <w:multiLevelType w:val="hybridMultilevel"/>
    <w:lvl w:ilvl="0">
      <w:lvlJc w:val="left"/>
      <w:lvlText w:val="(%1)"/>
      <w:numFmt w:val="lowerLetter"/>
      <w:start w:val="2"/>
    </w:lvl>
  </w:abstractNum>
  <w:abstractNum w:abstractNumId="193">
    <w:nsid w:val="67906F60"/>
    <w:multiLevelType w:val="hybridMultilevel"/>
    <w:lvl w:ilvl="0">
      <w:lvlJc w:val="left"/>
      <w:lvlText w:val="(%1)"/>
      <w:numFmt w:val="upperLetter"/>
      <w:start w:val="3"/>
    </w:lvl>
  </w:abstractNum>
  <w:abstractNum w:abstractNumId="194">
    <w:nsid w:val="10DB9DAA"/>
    <w:multiLevelType w:val="hybridMultilevel"/>
    <w:lvl w:ilvl="0">
      <w:lvlJc w:val="left"/>
      <w:lvlText w:val="(%1)"/>
      <w:numFmt w:val="upperLetter"/>
      <w:start w:val="2"/>
    </w:lvl>
  </w:abstractNum>
  <w:abstractNum w:abstractNumId="195">
    <w:nsid w:val="697D2D2"/>
    <w:multiLevelType w:val="hybridMultilevel"/>
    <w:lvl w:ilvl="0">
      <w:lvlJc w:val="left"/>
      <w:lvlText w:val="(%1)"/>
      <w:numFmt w:val="lowerLetter"/>
      <w:start w:val="3"/>
    </w:lvl>
  </w:abstractNum>
  <w:abstractNum w:abstractNumId="196">
    <w:nsid w:val="6D68AB2"/>
    <w:multiLevelType w:val="hybridMultilevel"/>
    <w:lvl w:ilvl="0">
      <w:lvlJc w:val="left"/>
      <w:lvlText w:val="(%1)"/>
      <w:numFmt w:val="lowerLetter"/>
      <w:start w:val="5"/>
    </w:lvl>
  </w:abstractNum>
  <w:abstractNum w:abstractNumId="197">
    <w:nsid w:val="3A966CD0"/>
    <w:multiLevelType w:val="hybridMultilevel"/>
    <w:lvl w:ilvl="0">
      <w:lvlJc w:val="left"/>
      <w:lvlText w:val="%1"/>
      <w:numFmt w:val="lowerLetter"/>
      <w:start w:val="1"/>
    </w:lvl>
    <w:lvl w:ilvl="1">
      <w:lvlJc w:val="left"/>
      <w:lvlText w:val="(%2)"/>
      <w:numFmt w:val="lowerLetter"/>
      <w:start w:val="9"/>
    </w:lvl>
  </w:abstractNum>
  <w:abstractNum w:abstractNumId="198">
    <w:nsid w:val="63F37E85"/>
    <w:multiLevelType w:val="hybridMultilevel"/>
    <w:lvl w:ilvl="0">
      <w:lvlJc w:val="left"/>
      <w:lvlText w:val="(%1)"/>
      <w:numFmt w:val="lowerLetter"/>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2022-08-09T03:01:33Z</dcterms:created>
  <dcterms:modified xsi:type="dcterms:W3CDTF">2022-08-09T03:01:33Z</dcterms:modified>
</cp:coreProperties>
</file>