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7047230" cy="4549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497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Revers Daniel R</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200"/>
        <w:spacing w:after="0" w:line="370" w:lineRule="auto"/>
        <w:rPr>
          <w:sz w:val="20"/>
          <w:szCs w:val="20"/>
          <w:color w:val="auto"/>
        </w:rPr>
      </w:pPr>
      <w:r>
        <w:rPr>
          <w:rFonts w:ascii="Arial" w:cs="Arial" w:eastAsia="Arial" w:hAnsi="Arial"/>
          <w:sz w:val="16"/>
          <w:szCs w:val="16"/>
          <w:color w:val="0000FF"/>
        </w:rPr>
        <w:t>C/O ARCLIGHT CLEAN TRANSITION CORP. II 200 CLARENDON STREET, 55TH FLOOR</w:t>
      </w:r>
    </w:p>
    <w:p>
      <w:pPr>
        <w:spacing w:after="0" w:line="17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8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02116</w:t>
            </w:r>
          </w:p>
        </w:tc>
      </w:tr>
      <w:tr>
        <w:trPr>
          <w:trHeight w:val="147"/>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2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ArcLight Clean Transition Corp. II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ACTDU</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80" w:type="dxa"/>
            <w:vAlign w:val="bottom"/>
            <w:gridSpan w:val="2"/>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vMerge w:val="restart"/>
          </w:tcPr>
          <w:p>
            <w:pPr>
              <w:ind w:left="260"/>
              <w:spacing w:after="0" w:line="52" w:lineRule="exact"/>
              <w:rPr>
                <w:sz w:val="20"/>
                <w:szCs w:val="20"/>
                <w:color w:val="auto"/>
              </w:rPr>
            </w:pPr>
            <w:r>
              <w:rPr>
                <w:rFonts w:ascii="Arial" w:cs="Arial" w:eastAsia="Arial" w:hAnsi="Arial"/>
                <w:sz w:val="5"/>
                <w:szCs w:val="5"/>
                <w:color w:val="0000FF"/>
              </w:rPr>
              <w:t>X</w:t>
            </w: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400" w:type="dxa"/>
            <w:vAlign w:val="bottom"/>
            <w:vMerge w:val="restart"/>
          </w:tcPr>
          <w:p>
            <w:pPr>
              <w:ind w:left="160"/>
              <w:spacing w:after="0" w:line="52" w:lineRule="exact"/>
              <w:rPr>
                <w:sz w:val="20"/>
                <w:szCs w:val="20"/>
                <w:color w:val="auto"/>
              </w:rPr>
            </w:pPr>
            <w:r>
              <w:rPr>
                <w:rFonts w:ascii="Arial" w:cs="Arial" w:eastAsia="Arial" w:hAnsi="Arial"/>
                <w:sz w:val="5"/>
                <w:szCs w:val="5"/>
                <w:color w:val="0000FF"/>
              </w:rPr>
              <w:t>X</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Arial" w:cs="Arial" w:eastAsia="Arial" w:hAnsi="Arial"/>
                <w:sz w:val="1"/>
                <w:szCs w:val="1"/>
                <w:color w:val="auto"/>
              </w:rPr>
            </w:pPr>
            <w:hyperlink r:id="rId13">
              <w:r>
                <w:rPr>
                  <w:rFonts w:ascii="Arial" w:cs="Arial" w:eastAsia="Arial" w:hAnsi="Arial"/>
                  <w:sz w:val="1"/>
                  <w:szCs w:val="1"/>
                  <w:color w:val="auto"/>
                </w:rPr>
                <w:t>]</w:t>
              </w:r>
            </w:hyperlink>
          </w:p>
        </w:tc>
        <w:tc>
          <w:tcPr>
            <w:tcW w:w="27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80" w:type="dxa"/>
            <w:vAlign w:val="bottom"/>
            <w:vMerge w:val="continue"/>
          </w:tcPr>
          <w:p>
            <w:pPr>
              <w:spacing w:after="0"/>
              <w:rPr>
                <w:sz w:val="9"/>
                <w:szCs w:val="9"/>
                <w:color w:val="auto"/>
              </w:rPr>
            </w:pPr>
          </w:p>
        </w:tc>
        <w:tc>
          <w:tcPr>
            <w:tcW w:w="1200" w:type="dxa"/>
            <w:vAlign w:val="bottom"/>
          </w:tcPr>
          <w:p>
            <w:pPr>
              <w:ind w:left="120"/>
              <w:spacing w:after="0" w:line="96" w:lineRule="exact"/>
              <w:rPr>
                <w:sz w:val="20"/>
                <w:szCs w:val="20"/>
                <w:color w:val="auto"/>
              </w:rPr>
            </w:pPr>
            <w:r>
              <w:rPr>
                <w:rFonts w:ascii="Arial" w:cs="Arial" w:eastAsia="Arial" w:hAnsi="Arial"/>
                <w:sz w:val="11"/>
                <w:szCs w:val="11"/>
                <w:color w:val="auto"/>
              </w:rPr>
              <w:t>below)</w:t>
            </w:r>
          </w:p>
        </w:tc>
        <w:tc>
          <w:tcPr>
            <w:tcW w:w="400" w:type="dxa"/>
            <w:vAlign w:val="bottom"/>
          </w:tcPr>
          <w:p>
            <w:pPr>
              <w:spacing w:after="0"/>
              <w:rPr>
                <w:sz w:val="9"/>
                <w:szCs w:val="9"/>
                <w:color w:val="auto"/>
              </w:rPr>
            </w:pPr>
          </w:p>
        </w:tc>
        <w:tc>
          <w:tcPr>
            <w:tcW w:w="1220" w:type="dxa"/>
            <w:vAlign w:val="bottom"/>
          </w:tcPr>
          <w:p>
            <w:pPr>
              <w:ind w:left="80"/>
              <w:spacing w:after="0" w:line="96"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7"/>
                <w:szCs w:val="17"/>
                <w:color w:val="auto"/>
              </w:rPr>
            </w:pPr>
          </w:p>
        </w:tc>
        <w:tc>
          <w:tcPr>
            <w:tcW w:w="1600" w:type="dxa"/>
            <w:vAlign w:val="bottom"/>
            <w:gridSpan w:val="2"/>
          </w:tcPr>
          <w:p>
            <w:pPr>
              <w:ind w:left="840"/>
              <w:spacing w:after="0"/>
              <w:rPr>
                <w:sz w:val="20"/>
                <w:szCs w:val="20"/>
                <w:color w:val="auto"/>
              </w:rPr>
            </w:pPr>
            <w:r>
              <w:rPr>
                <w:rFonts w:ascii="Arial" w:cs="Arial" w:eastAsia="Arial" w:hAnsi="Arial"/>
                <w:sz w:val="17"/>
                <w:szCs w:val="17"/>
                <w:color w:val="0000FF"/>
              </w:rPr>
              <w:t>Chairman</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20" w:type="dxa"/>
            <w:vAlign w:val="bottom"/>
            <w:gridSpan w:val="3"/>
          </w:tcPr>
          <w:p>
            <w:pPr>
              <w:ind w:left="60"/>
              <w:spacing w:after="0"/>
              <w:rPr>
                <w:sz w:val="20"/>
                <w:szCs w:val="20"/>
                <w:color w:val="auto"/>
              </w:rPr>
            </w:pPr>
            <w:r>
              <w:rPr>
                <w:rFonts w:ascii="Arial" w:cs="Arial" w:eastAsia="Arial" w:hAnsi="Arial"/>
                <w:sz w:val="17"/>
                <w:szCs w:val="17"/>
                <w:color w:val="0000FF"/>
              </w:rPr>
              <w:t>05/10/2021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7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5"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45" w:lineRule="exact"/>
        <w:rPr>
          <w:sz w:val="20"/>
          <w:szCs w:val="20"/>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vMerge w:val="restart"/>
          </w:tcPr>
          <w:p>
            <w:pPr>
              <w:ind w:left="120"/>
              <w:spacing w:after="0" w:line="281"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86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(2)</w:t>
            </w:r>
          </w:p>
        </w:tc>
        <w:tc>
          <w:tcPr>
            <w:tcW w:w="560" w:type="dxa"/>
            <w:vAlign w:val="bottom"/>
          </w:tcPr>
          <w:p>
            <w:pPr>
              <w:ind w:left="80"/>
              <w:spacing w:after="0" w:line="141" w:lineRule="exact"/>
              <w:rPr>
                <w:sz w:val="20"/>
                <w:szCs w:val="20"/>
                <w:color w:val="auto"/>
              </w:rPr>
            </w:pPr>
            <w:r>
              <w:rPr>
                <w:rFonts w:ascii="Arial" w:cs="Arial" w:eastAsia="Arial" w:hAnsi="Arial"/>
                <w:sz w:val="13"/>
                <w:szCs w:val="13"/>
                <w:color w:val="0000FF"/>
              </w:rPr>
              <w:t>Class A</w:t>
            </w:r>
          </w:p>
        </w:tc>
        <w:tc>
          <w:tcPr>
            <w:tcW w:w="680" w:type="dxa"/>
            <w:vAlign w:val="bottom"/>
            <w:vMerge w:val="restart"/>
          </w:tcPr>
          <w:p>
            <w:pPr>
              <w:ind w:left="60"/>
              <w:spacing w:after="0"/>
              <w:rPr>
                <w:sz w:val="20"/>
                <w:szCs w:val="20"/>
                <w:color w:val="auto"/>
              </w:rPr>
            </w:pPr>
            <w:r>
              <w:rPr>
                <w:rFonts w:ascii="Arial" w:cs="Arial" w:eastAsia="Arial" w:hAnsi="Arial"/>
                <w:sz w:val="17"/>
                <w:szCs w:val="17"/>
                <w:color w:val="0000FF"/>
                <w:w w:val="97"/>
              </w:rPr>
              <w:t>127,174</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920" w:type="dxa"/>
            <w:vAlign w:val="bottom"/>
          </w:tcPr>
          <w:p>
            <w:pPr>
              <w:spacing w:after="0"/>
              <w:rPr>
                <w:sz w:val="12"/>
                <w:szCs w:val="12"/>
                <w:color w:val="auto"/>
              </w:rPr>
            </w:pPr>
          </w:p>
        </w:tc>
        <w:tc>
          <w:tcPr>
            <w:tcW w:w="740" w:type="dxa"/>
            <w:vAlign w:val="bottom"/>
            <w:vMerge w:val="restart"/>
          </w:tcPr>
          <w:p>
            <w:pPr>
              <w:ind w:left="300"/>
              <w:spacing w:after="0" w:line="281"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1"/>
                <w:szCs w:val="11"/>
                <w:color w:val="008000"/>
              </w:rPr>
              <w:t>(3)</w:t>
            </w:r>
          </w:p>
        </w:tc>
        <w:tc>
          <w:tcPr>
            <w:tcW w:w="740" w:type="dxa"/>
            <w:vAlign w:val="bottom"/>
          </w:tcPr>
          <w:p>
            <w:pPr>
              <w:ind w:left="60"/>
              <w:spacing w:after="0" w:line="141" w:lineRule="exact"/>
              <w:rPr>
                <w:sz w:val="20"/>
                <w:szCs w:val="20"/>
                <w:color w:val="auto"/>
              </w:rPr>
            </w:pPr>
            <w:r>
              <w:rPr>
                <w:rFonts w:ascii="Arial" w:cs="Arial" w:eastAsia="Arial" w:hAnsi="Arial"/>
                <w:sz w:val="13"/>
                <w:szCs w:val="13"/>
                <w:color w:val="0000FF"/>
              </w:rPr>
              <w:t>ArcLight</w:t>
            </w: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ordinary</w:t>
            </w:r>
          </w:p>
        </w:tc>
        <w:tc>
          <w:tcPr>
            <w:tcW w:w="780" w:type="dxa"/>
            <w:vAlign w:val="bottom"/>
            <w:vMerge w:val="continue"/>
          </w:tcPr>
          <w:p>
            <w:pPr>
              <w:spacing w:after="0"/>
              <w:rPr>
                <w:sz w:val="12"/>
                <w:szCs w:val="12"/>
                <w:color w:val="auto"/>
              </w:rPr>
            </w:pPr>
          </w:p>
        </w:tc>
        <w:tc>
          <w:tcPr>
            <w:tcW w:w="1060" w:type="dxa"/>
            <w:vAlign w:val="bottom"/>
          </w:tcPr>
          <w:p>
            <w:pPr>
              <w:jc w:val="right"/>
              <w:ind w:right="181"/>
              <w:spacing w:after="0" w:line="141" w:lineRule="exact"/>
              <w:rPr>
                <w:sz w:val="20"/>
                <w:szCs w:val="20"/>
                <w:color w:val="auto"/>
              </w:rPr>
            </w:pPr>
            <w:r>
              <w:rPr>
                <w:rFonts w:ascii="Arial" w:cs="Arial" w:eastAsia="Arial" w:hAnsi="Arial"/>
                <w:sz w:val="13"/>
                <w:szCs w:val="13"/>
                <w:color w:val="0000FF"/>
              </w:rPr>
              <w:t>05/06/2021</w:t>
            </w:r>
          </w:p>
        </w:tc>
        <w:tc>
          <w:tcPr>
            <w:tcW w:w="10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60" w:type="dxa"/>
            <w:vAlign w:val="bottom"/>
          </w:tcPr>
          <w:p>
            <w:pPr>
              <w:ind w:left="360"/>
              <w:spacing w:after="0" w:line="141" w:lineRule="exact"/>
              <w:rPr>
                <w:sz w:val="20"/>
                <w:szCs w:val="20"/>
                <w:color w:val="auto"/>
              </w:rPr>
            </w:pPr>
            <w:r>
              <w:rPr>
                <w:rFonts w:ascii="Arial" w:cs="Arial" w:eastAsia="Arial" w:hAnsi="Arial"/>
                <w:sz w:val="13"/>
                <w:szCs w:val="13"/>
                <w:color w:val="0000FF"/>
              </w:rPr>
              <w:t>127,174</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tcPr>
          <w:p>
            <w:pPr>
              <w:ind w:left="60"/>
              <w:spacing w:after="0" w:line="141" w:lineRule="exact"/>
              <w:rPr>
                <w:sz w:val="20"/>
                <w:szCs w:val="20"/>
                <w:color w:val="auto"/>
              </w:rPr>
            </w:pPr>
            <w:r>
              <w:rPr>
                <w:rFonts w:ascii="Arial" w:cs="Arial" w:eastAsia="Arial" w:hAnsi="Arial"/>
                <w:sz w:val="13"/>
                <w:szCs w:val="13"/>
                <w:color w:val="0000FF"/>
              </w:rPr>
              <w:t>ordinary</w:t>
            </w:r>
          </w:p>
        </w:tc>
        <w:tc>
          <w:tcPr>
            <w:tcW w:w="6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220"/>
              <w:spacing w:after="0" w:line="141" w:lineRule="exact"/>
              <w:rPr>
                <w:sz w:val="20"/>
                <w:szCs w:val="20"/>
                <w:color w:val="auto"/>
              </w:rPr>
            </w:pPr>
            <w:r>
              <w:rPr>
                <w:rFonts w:ascii="Arial" w:cs="Arial" w:eastAsia="Arial" w:hAnsi="Arial"/>
                <w:sz w:val="13"/>
                <w:szCs w:val="13"/>
                <w:color w:val="0000FF"/>
              </w:rPr>
              <w:t>6,920,326</w:t>
            </w:r>
          </w:p>
        </w:tc>
        <w:tc>
          <w:tcPr>
            <w:tcW w:w="740" w:type="dxa"/>
            <w:vAlign w:val="bottom"/>
            <w:vMerge w:val="continue"/>
          </w:tcPr>
          <w:p>
            <w:pPr>
              <w:spacing w:after="0"/>
              <w:rPr>
                <w:sz w:val="12"/>
                <w:szCs w:val="12"/>
                <w:color w:val="auto"/>
              </w:rPr>
            </w:pPr>
          </w:p>
        </w:tc>
        <w:tc>
          <w:tcPr>
            <w:tcW w:w="740" w:type="dxa"/>
            <w:vAlign w:val="bottom"/>
          </w:tcPr>
          <w:p>
            <w:pPr>
              <w:ind w:left="60"/>
              <w:spacing w:after="0" w:line="141" w:lineRule="exact"/>
              <w:rPr>
                <w:sz w:val="20"/>
                <w:szCs w:val="20"/>
                <w:color w:val="auto"/>
              </w:rPr>
            </w:pPr>
            <w:r>
              <w:rPr>
                <w:rFonts w:ascii="Arial" w:cs="Arial" w:eastAsia="Arial" w:hAnsi="Arial"/>
                <w:sz w:val="13"/>
                <w:szCs w:val="13"/>
                <w:color w:val="0000FF"/>
              </w:rPr>
              <w:t>CTC</w:t>
            </w:r>
          </w:p>
        </w:tc>
        <w:tc>
          <w:tcPr>
            <w:tcW w:w="0" w:type="dxa"/>
            <w:vAlign w:val="bottom"/>
          </w:tcPr>
          <w:p>
            <w:pPr>
              <w:spacing w:after="0"/>
              <w:rPr>
                <w:sz w:val="1"/>
                <w:szCs w:val="1"/>
                <w:color w:val="auto"/>
              </w:rPr>
            </w:pPr>
          </w:p>
        </w:tc>
      </w:tr>
      <w:tr>
        <w:trPr>
          <w:trHeight w:val="151"/>
        </w:trPr>
        <w:tc>
          <w:tcPr>
            <w:tcW w:w="680" w:type="dxa"/>
            <w:vAlign w:val="bottom"/>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0000FF"/>
              </w:rPr>
              <w:t>shares</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3"/>
                <w:szCs w:val="13"/>
                <w:color w:val="0000FF"/>
              </w:rPr>
              <w:t>Holdings</w:t>
            </w:r>
          </w:p>
        </w:tc>
        <w:tc>
          <w:tcPr>
            <w:tcW w:w="0" w:type="dxa"/>
            <w:vAlign w:val="bottom"/>
          </w:tcPr>
          <w:p>
            <w:pPr>
              <w:spacing w:after="0"/>
              <w:rPr>
                <w:sz w:val="1"/>
                <w:szCs w:val="1"/>
                <w:color w:val="auto"/>
              </w:rPr>
            </w:pPr>
          </w:p>
        </w:tc>
      </w:tr>
    </w:tbl>
    <w:p>
      <w:pPr>
        <w:ind w:left="10400"/>
        <w:spacing w:after="0"/>
        <w:rPr>
          <w:sz w:val="20"/>
          <w:szCs w:val="20"/>
          <w:color w:val="auto"/>
        </w:rPr>
      </w:pPr>
      <w:r>
        <w:rPr>
          <w:rFonts w:ascii="Arial" w:cs="Arial" w:eastAsia="Arial" w:hAnsi="Arial"/>
          <w:sz w:val="13"/>
          <w:szCs w:val="13"/>
          <w:color w:val="0000FF"/>
        </w:rPr>
        <w:t>II, L.P.</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1"/>
        <w:spacing w:after="0" w:line="24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reflects the surrender to the issuer of 127,174 of the issuer's Class B ordinary shares, par value $0.0001 per share, for no consideration by ArcLight CTC Holdings II, L.P.'s ("Sponsor") as a result of the Sponsor's participation in the issuer's initial public offering, as more fully described in the issuer's registration statement on Form S-1 (File No. 333-252730).</w:t>
      </w:r>
    </w:p>
    <w:p>
      <w:pPr>
        <w:spacing w:after="0" w:line="27" w:lineRule="exact"/>
        <w:rPr>
          <w:rFonts w:ascii="Arial" w:cs="Arial" w:eastAsia="Arial" w:hAnsi="Arial"/>
          <w:sz w:val="13"/>
          <w:szCs w:val="13"/>
          <w:color w:val="008000"/>
        </w:rPr>
      </w:pPr>
    </w:p>
    <w:p>
      <w:pPr>
        <w:jc w:val="both"/>
        <w:ind w:left="40" w:right="140" w:firstLine="1"/>
        <w:spacing w:after="0" w:line="265"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As described in the issuer's registration statement on Form S-1 (File No. 333-252730) under the heading "Description of Securities -- Founder Shares", the Class B ordinary shares will automatically convert into Class A ordinary shares, par value $0.0001 per share, of the issuer at the time of the issuer's initial business combination, or earlier at the option of the holder, on a one-for-one basis, subject to adjustment for share subdivisions, share capitalizations, reorganizations, recapitalizations and the like, and certain anti-dilution rights and have no expiration date.</w:t>
      </w:r>
    </w:p>
    <w:p>
      <w:pPr>
        <w:spacing w:after="0" w:line="16" w:lineRule="exact"/>
        <w:rPr>
          <w:rFonts w:ascii="Arial" w:cs="Arial" w:eastAsia="Arial" w:hAnsi="Arial"/>
          <w:sz w:val="12"/>
          <w:szCs w:val="12"/>
          <w:color w:val="008000"/>
        </w:rPr>
      </w:pPr>
    </w:p>
    <w:p>
      <w:pPr>
        <w:ind w:left="40" w:right="14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reported herein are held directly by the Sponsor. The reporting person has voting and investment discretion with respect to the securities held by the the Sponsor. The reporting person disclaims beneficial ownership of these securities except to the extent of his pecuniary interest therein, and the inclusion of these securities in this report shall not be deemed an admission of beneficial ownership of all of the reported securities for purposes of Section 16 or for any other purpose.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Arial" w:cs="Arial" w:eastAsia="Arial" w:hAnsi="Arial"/>
                <w:sz w:val="17"/>
                <w:szCs w:val="17"/>
                <w:color w:val="0000FF"/>
                <w:w w:val="86"/>
              </w:rPr>
              <w:t>/s/ Daniel Revers</w:t>
            </w:r>
          </w:p>
        </w:tc>
        <w:tc>
          <w:tcPr>
            <w:tcW w:w="88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05/10/2021</w:t>
            </w:r>
          </w:p>
        </w:tc>
      </w:tr>
      <w:tr>
        <w:trPr>
          <w:trHeight w:val="20"/>
        </w:trPr>
        <w:tc>
          <w:tcPr>
            <w:tcW w:w="11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5456"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2021-05-10T16:47:59Z</dcterms:created>
  <dcterms:modified xsi:type="dcterms:W3CDTF">2021-05-10T16:47:59Z</dcterms:modified>
</cp:coreProperties>
</file>