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11,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30"/>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ind w:firstLine="594"/>
        <w:spacing w:after="0" w:line="282" w:lineRule="auto"/>
        <w:rPr>
          <w:sz w:val="20"/>
          <w:szCs w:val="20"/>
          <w:color w:val="auto"/>
        </w:rPr>
      </w:pPr>
      <w:r>
        <w:rPr>
          <w:rFonts w:ascii="Times New Roman" w:cs="Times New Roman" w:eastAsia="Times New Roman" w:hAnsi="Times New Roman"/>
          <w:sz w:val="18"/>
          <w:szCs w:val="18"/>
          <w:color w:val="auto"/>
        </w:rPr>
        <w:t>On May 11, 2026, OPAL Fuels Inc. (the "Company") issued a press release regarding its financial results for the quarter ended March 31, 2026. A copy of the press release is furnished as Exhibit 99.1 hereto.</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disclosed under this Item 2.02 of this Current Report on Form 8-K, including the exhibit, is being "furnished" and shall not be deemed "filed" for purposes of Section 18 of the Securities Exchange Act of 1934, as amended (the "Exchange Act"), or otherwise subject to the liabilities of such section, nor shall it be deemed incorporated by reference in any filing under the Securities Act of 1933, as amended, or the Exchange Act, except as expressly set forth by specific reference in such a filing. By filing this Current Report on Form 8-K and furnishing this information, the Company makes no statement or admission as to the materiality of any information in this Item 2.02 or the exhibit attached hereto.</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Current Report on Form 8-K, including the exhibit, contains forward-looking statements within the meaning of the federal securities laws. These forward looking statements are based on current expectations and are not guarantees of future performance. Further, the forward-looking statements are subject to the limitations listed in Exhibit 99.1 and in the other SEC reports of the Company, including that actual events or results may differ materially from those in the forward-looking statements.</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to supplement the Company’s financial statements presented in accordance with accounting principles generally accepted in the United States of America ("GAAP") in Exhibit 99.1, the Company uses a non-GAAP financial measure that it calls adjusted EBITDA ("Adjusted EBITDA"). This non-GAAP financial measure adjusts net income for interest and financing expense, net, net income attributable to non-redeemable non-controlling interests, depreciation, amortization and accretion, adjustments to reflect Adjusted EBITDA from equity method investments, fair value changes and non-recurring charges, stock-based compensation, major maintenance on Renewable Power, RNG development costs, and ITC proceeds, net. 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1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above (and/or other items that may arise in the future as the Company’s management deems appropriate), and the Company expects to continue to incur expenses, charges or gains like the non-GAAP adjustments described above. Accordingly, unless expressly stated otherwise, the exclusion of these and other similar items in the presentation of non-GAAP financial measures should not be construed as an inference that these costs are unusual, infrequent, or non-recurring. Adjusted EBITDA is not a recognized term under GAAP and does not purport to be an alternative to GAAP net income or any other GAAP measure as an indicator of operating performance. Moreover, because not all companies use identical measures and calculations, the Company’s presentation of Adjusted EBITDA may not be comparable to other similarly titled measures used by other companies. Reconciliations of the non-GAAP financial measure to its most directly comparable GAAP financial measure can be found in the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20" w:type="dxa"/>
            <w:vAlign w:val="bottom"/>
            <w:tcBorders>
              <w:bottom w:val="single" w:sz="8" w:color="CCEEFF"/>
            </w:tcBorders>
            <w:shd w:val="clear" w:color="auto" w:fill="CCEEFF"/>
          </w:tcPr>
          <w:p>
            <w:pPr>
              <w:spacing w:after="0"/>
              <w:rPr>
                <w:sz w:val="24"/>
                <w:szCs w:val="24"/>
                <w:color w:val="auto"/>
              </w:rPr>
            </w:pPr>
          </w:p>
        </w:tc>
        <w:tc>
          <w:tcPr>
            <w:tcW w:w="8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Pr>
          <w:p>
            <w:pPr>
              <w:spacing w:after="0"/>
              <w:rPr>
                <w:sz w:val="24"/>
                <w:szCs w:val="24"/>
                <w:color w:val="auto"/>
              </w:rPr>
            </w:pPr>
          </w:p>
        </w:tc>
      </w:tr>
      <w:tr>
        <w:trPr>
          <w:trHeight w:val="250"/>
        </w:trPr>
        <w:tc>
          <w:tcPr>
            <w:tcW w:w="22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520" w:type="dxa"/>
            <w:vAlign w:val="bottom"/>
            <w:tcBorders>
              <w:top w:val="single" w:sz="8" w:color="auto"/>
            </w:tcBorders>
          </w:tcPr>
          <w:p>
            <w:pPr>
              <w:spacing w:after="0"/>
              <w:rPr>
                <w:sz w:val="21"/>
                <w:szCs w:val="21"/>
                <w:color w:val="auto"/>
              </w:rPr>
            </w:pPr>
          </w:p>
        </w:tc>
        <w:tc>
          <w:tcPr>
            <w:tcW w:w="40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r>
      <w:tr>
        <w:trPr>
          <w:trHeight w:val="203"/>
        </w:trPr>
        <w:tc>
          <w:tcPr>
            <w:tcW w:w="22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58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Press release, issued by OPAL Fuels Inc., dated May 11, 2026.</w:t>
            </w:r>
          </w:p>
        </w:tc>
        <w:tc>
          <w:tcPr>
            <w:tcW w:w="320" w:type="dxa"/>
            <w:vAlign w:val="bottom"/>
          </w:tcPr>
          <w:p>
            <w:pPr>
              <w:spacing w:after="0"/>
              <w:rPr>
                <w:sz w:val="17"/>
                <w:szCs w:val="17"/>
                <w:color w:val="auto"/>
              </w:rPr>
            </w:pPr>
          </w:p>
        </w:tc>
      </w:tr>
      <w:tr>
        <w:trPr>
          <w:trHeight w:val="61"/>
        </w:trPr>
        <w:tc>
          <w:tcPr>
            <w:tcW w:w="22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520" w:type="dxa"/>
            <w:vAlign w:val="bottom"/>
            <w:tcBorders>
              <w:top w:val="single" w:sz="8" w:color="0000FF"/>
            </w:tcBorders>
            <w:shd w:val="clear" w:color="auto" w:fill="CCEEFF"/>
          </w:tcPr>
          <w:p>
            <w:pPr>
              <w:spacing w:after="0"/>
              <w:rPr>
                <w:sz w:val="5"/>
                <w:szCs w:val="5"/>
                <w:color w:val="auto"/>
              </w:rPr>
            </w:pPr>
          </w:p>
        </w:tc>
        <w:tc>
          <w:tcPr>
            <w:tcW w:w="4060" w:type="dxa"/>
            <w:vAlign w:val="bottom"/>
            <w:tcBorders>
              <w:top w:val="single" w:sz="8" w:color="CCEEFF"/>
            </w:tcBorders>
            <w:shd w:val="clear" w:color="auto" w:fill="CCEEFF"/>
          </w:tcPr>
          <w:p>
            <w:pPr>
              <w:spacing w:after="0"/>
              <w:rPr>
                <w:sz w:val="5"/>
                <w:szCs w:val="5"/>
                <w:color w:val="auto"/>
              </w:rPr>
            </w:pPr>
          </w:p>
        </w:tc>
        <w:tc>
          <w:tcPr>
            <w:tcW w:w="320" w:type="dxa"/>
            <w:vAlign w:val="bottom"/>
          </w:tcPr>
          <w:p>
            <w:pPr>
              <w:spacing w:after="0"/>
              <w:rPr>
                <w:sz w:val="5"/>
                <w:szCs w:val="5"/>
                <w:color w:val="auto"/>
              </w:rPr>
            </w:pPr>
          </w:p>
        </w:tc>
      </w:tr>
      <w:tr>
        <w:trPr>
          <w:trHeight w:val="243"/>
        </w:trPr>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w:t>
            </w:r>
          </w:p>
        </w:tc>
      </w:tr>
      <w:tr>
        <w:trPr>
          <w:trHeight w:val="1681"/>
        </w:trPr>
        <w:tc>
          <w:tcPr>
            <w:tcW w:w="2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 w:name="page5"/>
    <w:bookmarkEnd w:id="4"/>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7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17"/>
          <w:szCs w:val="17"/>
          <w:color w:val="auto"/>
        </w:rPr>
        <w:t>May 11, 2026</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1"/>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1066165</wp:posOffset>
            </wp:positionV>
            <wp:extent cx="1577340" cy="420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773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OPAL Fuels Reports First Quarter 2026 Results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 xml:space="preserve">WHITE PLAINS, N.Y. – (May 11, 2026) – </w:t>
      </w:r>
      <w:r>
        <w:rPr>
          <w:rFonts w:ascii="Times New Roman" w:cs="Times New Roman" w:eastAsia="Times New Roman" w:hAnsi="Times New Roman"/>
          <w:sz w:val="20"/>
          <w:szCs w:val="20"/>
          <w:u w:val="single" w:color="auto"/>
          <w:color w:val="0000FF"/>
        </w:rPr>
        <w:t>OPAL Fuels</w:t>
      </w:r>
      <w:r>
        <w:rPr>
          <w:rFonts w:ascii="Times New Roman" w:cs="Times New Roman" w:eastAsia="Times New Roman" w:hAnsi="Times New Roman"/>
          <w:sz w:val="20"/>
          <w:szCs w:val="20"/>
          <w:color w:val="auto"/>
        </w:rPr>
        <w:t xml:space="preserve"> (“OPAL Fuels” or the “Company”) (Nasdaq: OPAL) today announced financial and operating results for the three months ended March 31, 2026.</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"Despite a challenging operating environment in the seasonally soft first quarter, we remain on track to meet our full year guidance," said Adam Comora, Co-Chief Executive Officer of OPAL Fuels. "Production trends have improved, in line with our expectations, and we are encouraged by the recent firming in environmental credit prices."</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"Our business development efforts for new fleet conversions to CNG and RNG in the heavy-duty trucking sector are gaining traction. A variety of factors are contributing to this momentum - high and volatile diesel pricing, regulatory clarity regarding combustion engines, ongoing sustainability goals, and the successful tests of the Cummins X15N engine are moving fleets into decision making mode," continued Comora.</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Jonathan Maurer, Co-Chief Executive Officer of OPAL Fuels, said, "Given the difficult weather conditions, our RNG facilities performed well, producing more RNG compared with the first quarter of 2025. This performance is due to the meaningful improvements we are making across our operating platform. We expect to see these improvements continue throughout the year. In the quarter we completed several financing transactions which added clarity to our capital structure and sets us up for continued investment and growth in both our upstream and downstream segments. In addition, IRA Investment Tax credits, 45Z production tax credits, and EPA's issuance of Set Rule 2 demonstrate the supportive regulatory backdrop for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Highlights</w:t>
      </w:r>
    </w:p>
    <w:p>
      <w:pPr>
        <w:spacing w:after="0" w:line="1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quarter's financial results saw improved production and the positive impact of 45Z production tax credits compared with the prior year quarter. These improvements were offset by a lower RIN price environment and last year's inclusion of additional RNG production sales in the first quarter of 2025 following the implementation of biogas regulatory reforms.</w:t>
      </w:r>
    </w:p>
    <w:p>
      <w:pPr>
        <w:spacing w:after="0" w:line="195" w:lineRule="exact"/>
        <w:rPr>
          <w:sz w:val="20"/>
          <w:szCs w:val="20"/>
          <w:color w:val="auto"/>
        </w:rPr>
      </w:pPr>
    </w:p>
    <w:p>
      <w:pPr>
        <w:ind w:left="660" w:hanging="328"/>
        <w:spacing w:after="0" w:line="232"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20"/>
          <w:szCs w:val="20"/>
          <w:color w:val="auto"/>
        </w:rPr>
        <w:t xml:space="preserve"> for the three months ended March 31, 2026, was $16.7 million compared to $20.1 million in the comparable period last year.</w:t>
      </w:r>
    </w:p>
    <w:p>
      <w:pPr>
        <w:spacing w:after="0" w:line="161"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for the three months ended March 31, 2026 and 2025, was $73.4 million and $85.4 million respectively, a decrease of (14)%, compared to the same period last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40" w:right="339" w:bottom="1440" w:gutter="0" w:footer="0" w:header="0"/>
        </w:sectPr>
      </w:pPr>
    </w:p>
    <w:bookmarkStart w:id="6" w:name="page7"/>
    <w:bookmarkEnd w:id="6"/>
    <w:p>
      <w:pPr>
        <w:ind w:left="660" w:hanging="328"/>
        <w:spacing w:after="0" w:line="283" w:lineRule="auto"/>
        <w:tabs>
          <w:tab w:leader="none" w:pos="64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(loss) income for the three months ended March 31, 2026 was $(5.6) million, compared to $1.3 million in the same period last year.</w:t>
      </w:r>
    </w:p>
    <w:p>
      <w:pPr>
        <w:spacing w:after="0" w:line="119"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Basic and diluted net loss per share attributable to Class A common shareholders for the three months ended months ended March 31, 2026 were $(0.09) compared to $(0.01) in the comparable period last year.</w:t>
      </w:r>
    </w:p>
    <w:p>
      <w:pPr>
        <w:spacing w:after="0" w:line="132"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March 31, 2026, RNG Pending Monetization totaled $23.5 million.</w:t>
      </w:r>
    </w:p>
    <w:p>
      <w:pPr>
        <w:spacing w:after="0" w:line="188"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March 6, 2026 we completed the refinancing of our outstanding Preferred Units with a new Preferred Stock Facility of $180 million of which $120 million was initially drawn.</w:t>
      </w:r>
    </w:p>
    <w:p>
      <w:pPr>
        <w:spacing w:after="0" w:line="105"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first quarter we completed our fifth sale of IRA Investment Tax Credits for $23 million for our Atlantic facility.</w:t>
      </w:r>
    </w:p>
    <w:p>
      <w:pPr>
        <w:spacing w:after="0" w:line="18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April we entered into a $100 million Master Agreement to monetize section 45Z Production Tax Credits.</w:t>
      </w:r>
    </w:p>
    <w:p>
      <w:pPr>
        <w:spacing w:after="0" w:line="188" w:lineRule="exact"/>
        <w:rPr>
          <w:rFonts w:ascii="Times New Roman" w:cs="Times New Roman" w:eastAsia="Times New Roman" w:hAnsi="Times New Roman"/>
          <w:sz w:val="20"/>
          <w:szCs w:val="20"/>
          <w:color w:val="auto"/>
        </w:rPr>
      </w:pPr>
    </w:p>
    <w:p>
      <w:pPr>
        <w:ind w:firstLine="8"/>
        <w:spacing w:after="0" w:line="302" w:lineRule="auto"/>
        <w:tabs>
          <w:tab w:leader="none" w:pos="151"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This is a non-GAAP financial measure. A reconciliation of this non-GAAP financial measure to its comparable GAAP financial measure has been provided in the financial tables included in this press release. An explanation of this measure and how it is calculated is also included below under the heading “Non-GAAP Financial Measures."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Operational Highlights</w:t>
      </w:r>
    </w:p>
    <w:p>
      <w:pPr>
        <w:spacing w:after="0" w:line="201" w:lineRule="exact"/>
        <w:rPr>
          <w:sz w:val="20"/>
          <w:szCs w:val="20"/>
          <w:color w:val="auto"/>
        </w:rPr>
      </w:pPr>
    </w:p>
    <w:p>
      <w:pPr>
        <w:ind w:left="660" w:right="20" w:hanging="328"/>
        <w:spacing w:after="0" w:line="300" w:lineRule="auto"/>
        <w:tabs>
          <w:tab w:leader="none" w:pos="64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RNG produced was 1.2 million MMBtu for the three months ended March 31, 2026, </w:t>
      </w:r>
      <w:r>
        <w:rPr>
          <w:rFonts w:ascii="Times New Roman" w:cs="Times New Roman" w:eastAsia="Times New Roman" w:hAnsi="Times New Roman"/>
          <w:sz w:val="21"/>
          <w:szCs w:val="21"/>
          <w:color w:val="auto"/>
        </w:rPr>
        <w:t>an increase</w:t>
      </w:r>
      <w:r>
        <w:rPr>
          <w:rFonts w:ascii="Times New Roman" w:cs="Times New Roman" w:eastAsia="Times New Roman" w:hAnsi="Times New Roman"/>
          <w:sz w:val="20"/>
          <w:szCs w:val="20"/>
          <w:color w:val="auto"/>
        </w:rPr>
        <w:t xml:space="preserve"> of 9% compared to the prior-year period.</w:t>
      </w:r>
      <w:r>
        <w:rPr>
          <w:rFonts w:ascii="Times New Roman" w:cs="Times New Roman" w:eastAsia="Times New Roman" w:hAnsi="Times New Roman"/>
          <w:sz w:val="25"/>
          <w:szCs w:val="25"/>
          <w:color w:val="auto"/>
          <w:vertAlign w:val="superscript"/>
        </w:rPr>
        <w:t>(3)</w:t>
      </w:r>
    </w:p>
    <w:p>
      <w:pPr>
        <w:spacing w:after="0" w:line="18" w:lineRule="exact"/>
        <w:rPr>
          <w:rFonts w:ascii="Times New Roman" w:cs="Times New Roman" w:eastAsia="Times New Roman" w:hAnsi="Times New Roman"/>
          <w:sz w:val="20"/>
          <w:szCs w:val="20"/>
          <w:color w:val="auto"/>
        </w:rPr>
      </w:pPr>
    </w:p>
    <w:p>
      <w:pPr>
        <w:jc w:val="both"/>
        <w:ind w:left="660" w:hanging="328"/>
        <w:spacing w:after="0" w:line="271" w:lineRule="auto"/>
        <w:tabs>
          <w:tab w:leader="none" w:pos="64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Fuel Station Services segment sold, dispensed, and serviced an aggregate of 39.0 million GGEs of transportation fuel for the three months ended March 31, 2026, a decrease of 4% compared to the prior-year period. Of this amount, RNG dispensed as a transportation fuel was 17.9 million GGEs, </w:t>
      </w:r>
      <w:r>
        <w:rPr>
          <w:rFonts w:ascii="Times New Roman" w:cs="Times New Roman" w:eastAsia="Times New Roman" w:hAnsi="Times New Roman"/>
          <w:sz w:val="21"/>
          <w:szCs w:val="21"/>
          <w:color w:val="auto"/>
        </w:rPr>
        <w:t>a decrease</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1"/>
          <w:szCs w:val="21"/>
          <w:color w:val="auto"/>
        </w:rPr>
        <w:t>8%</w:t>
      </w:r>
      <w:r>
        <w:rPr>
          <w:rFonts w:ascii="Times New Roman" w:cs="Times New Roman" w:eastAsia="Times New Roman" w:hAnsi="Times New Roman"/>
          <w:sz w:val="20"/>
          <w:szCs w:val="20"/>
          <w:color w:val="auto"/>
        </w:rPr>
        <w:t xml:space="preserve"> compared to the prior-year period.</w:t>
      </w:r>
    </w:p>
    <w:p>
      <w:pPr>
        <w:spacing w:after="0" w:line="126" w:lineRule="exact"/>
        <w:rPr>
          <w:rFonts w:ascii="Times New Roman" w:cs="Times New Roman" w:eastAsia="Times New Roman" w:hAnsi="Times New Roman"/>
          <w:sz w:val="20"/>
          <w:szCs w:val="20"/>
          <w:color w:val="auto"/>
        </w:rPr>
      </w:pPr>
    </w:p>
    <w:p>
      <w:pPr>
        <w:ind w:left="140" w:hanging="132"/>
        <w:spacing w:after="0"/>
        <w:tabs>
          <w:tab w:leader="none" w:pos="1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Represents OPAL Fuels' proportional share with respect to RNG projects owned with joint venture partners. Includes Sunoma and Biotown.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Guidance</w:t>
      </w:r>
    </w:p>
    <w:p>
      <w:pPr>
        <w:spacing w:after="0" w:line="193"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We maintain 2026 guidance. </w:t>
      </w:r>
      <w:r>
        <w:rPr>
          <w:rFonts w:ascii="Times New Roman" w:cs="Times New Roman" w:eastAsia="Times New Roman" w:hAnsi="Times New Roman"/>
          <w:sz w:val="20"/>
          <w:szCs w:val="20"/>
          <w:color w:val="FFFF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41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4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i w:val="1"/>
          <w:iCs w:val="1"/>
          <w:color w:val="auto"/>
        </w:rPr>
        <w:t>(in thousands of dollars, except RNG Fuel data)</w:t>
      </w:r>
    </w:p>
    <w:p>
      <w:pPr>
        <w:spacing w:after="0" w:line="2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Revenue</w:t>
      </w:r>
    </w:p>
    <w:p>
      <w:pPr>
        <w:spacing w:after="0" w:line="5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RNG Fuel</w:t>
      </w:r>
    </w:p>
    <w:p>
      <w:pPr>
        <w:spacing w:after="0" w:line="5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Fuel Station Services</w:t>
      </w:r>
    </w:p>
    <w:p>
      <w:pPr>
        <w:spacing w:after="0" w:line="5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color w:val="auto"/>
        </w:rPr>
        <w:t>Renewable Power</w:t>
      </w:r>
    </w:p>
    <w:p>
      <w:pPr>
        <w:spacing w:after="0" w:line="6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Total Revenue </w:t>
      </w:r>
      <w:r>
        <w:rPr>
          <w:rFonts w:ascii="Times New Roman" w:cs="Times New Roman" w:eastAsia="Times New Roman" w:hAnsi="Times New Roman"/>
          <w:sz w:val="23"/>
          <w:szCs w:val="23"/>
          <w:color w:val="auto"/>
          <w:vertAlign w:val="superscript"/>
        </w:rPr>
        <w:t>(1)</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Cost of sales</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Project development and startup costs</w:t>
      </w:r>
    </w:p>
    <w:p>
      <w:pPr>
        <w:spacing w:after="0" w:line="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Other operating expenses </w:t>
      </w:r>
      <w:r>
        <w:rPr>
          <w:rFonts w:ascii="Times New Roman" w:cs="Times New Roman" w:eastAsia="Times New Roman" w:hAnsi="Times New Roman"/>
          <w:sz w:val="23"/>
          <w:szCs w:val="23"/>
          <w:color w:val="auto"/>
          <w:vertAlign w:val="superscript"/>
        </w:rPr>
        <w:t>(2)</w:t>
      </w:r>
    </w:p>
    <w:p>
      <w:pPr>
        <w:spacing w:after="0" w:line="24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Net (loss) income</w:t>
      </w:r>
    </w:p>
    <w:p>
      <w:pPr>
        <w:spacing w:after="0" w:line="10"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(3)</w:t>
      </w:r>
    </w:p>
    <w:p>
      <w:pPr>
        <w:ind w:left="1500"/>
        <w:spacing w:after="0" w:line="218" w:lineRule="auto"/>
        <w:rPr>
          <w:sz w:val="20"/>
          <w:szCs w:val="20"/>
          <w:color w:val="auto"/>
        </w:rPr>
      </w:pPr>
      <w:r>
        <w:rPr>
          <w:rFonts w:ascii="Times New Roman" w:cs="Times New Roman" w:eastAsia="Times New Roman" w:hAnsi="Times New Roman"/>
          <w:sz w:val="18"/>
          <w:szCs w:val="18"/>
          <w:color w:val="auto"/>
        </w:rPr>
        <w:t xml:space="preserve">RNG Fuel </w:t>
      </w:r>
      <w:r>
        <w:rPr>
          <w:rFonts w:ascii="Times New Roman" w:cs="Times New Roman" w:eastAsia="Times New Roman" w:hAnsi="Times New Roman"/>
          <w:sz w:val="23"/>
          <w:szCs w:val="23"/>
          <w:color w:val="auto"/>
          <w:vertAlign w:val="superscript"/>
        </w:rPr>
        <w:t>(4)</w:t>
      </w:r>
    </w:p>
    <w:p>
      <w:pPr>
        <w:spacing w:after="0" w:line="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Fuel Station Services</w:t>
      </w:r>
    </w:p>
    <w:p>
      <w:pPr>
        <w:spacing w:after="0" w:line="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Renewable Power</w:t>
      </w:r>
    </w:p>
    <w:p>
      <w:pPr>
        <w:spacing w:after="0" w:line="2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Corporate</w:t>
      </w:r>
    </w:p>
    <w:p>
      <w:pPr>
        <w:spacing w:after="0" w:line="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Consolidated Adjusted EBITDA</w:t>
      </w:r>
    </w:p>
    <w:p>
      <w:pPr>
        <w:spacing w:after="0" w:line="15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RNG Fuel volume produced (Million MMBtus)</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RNG Fuel volume sold (Million GGEs)</w:t>
      </w:r>
    </w:p>
    <w:p>
      <w:pPr>
        <w:spacing w:after="0" w:line="23"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Total volume delivered (Million GGEs)</w:t>
      </w:r>
    </w:p>
    <w:p>
      <w:pPr>
        <w:spacing w:after="0" w:line="270" w:lineRule="exact"/>
        <w:rPr>
          <w:sz w:val="20"/>
          <w:szCs w:val="20"/>
          <w:color w:val="auto"/>
        </w:rPr>
      </w:pPr>
    </w:p>
    <w:p>
      <w:pPr>
        <w:ind w:left="160" w:hanging="152"/>
        <w:spacing w:after="0"/>
        <w:tabs>
          <w:tab w:leader="none" w:pos="16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Excludes revenues from equity method investments.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-133985</wp:posOffset>
            </wp:positionV>
            <wp:extent cx="5400675"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0675" cy="15430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453"/>
        </w:trPr>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21,638</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27,599</w:t>
            </w:r>
          </w:p>
        </w:tc>
      </w:tr>
      <w:tr>
        <w:trPr>
          <w:trHeight w:val="257"/>
        </w:trPr>
        <w:tc>
          <w:tcPr>
            <w:tcW w:w="4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44,566</w:t>
            </w:r>
          </w:p>
        </w:tc>
        <w:tc>
          <w:tcPr>
            <w:tcW w:w="4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50,678</w:t>
            </w:r>
          </w:p>
        </w:tc>
      </w:tr>
      <w:tr>
        <w:trPr>
          <w:trHeight w:val="263"/>
        </w:trPr>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7,130</w:t>
            </w:r>
          </w:p>
        </w:tc>
      </w:tr>
      <w:tr>
        <w:trPr>
          <w:trHeight w:val="257"/>
        </w:trPr>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73,375</w:t>
            </w: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85,407</w:t>
            </w:r>
          </w:p>
        </w:tc>
      </w:tr>
      <w:tr>
        <w:trPr>
          <w:trHeight w:val="461"/>
        </w:trPr>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53,849</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58,637</w:t>
            </w:r>
          </w:p>
        </w:tc>
      </w:tr>
      <w:tr>
        <w:trPr>
          <w:trHeight w:val="230"/>
        </w:trPr>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6,081</w:t>
            </w:r>
          </w:p>
        </w:tc>
      </w:tr>
      <w:tr>
        <w:trPr>
          <w:trHeight w:val="234"/>
        </w:trPr>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22,554</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22,631</w:t>
            </w:r>
          </w:p>
        </w:tc>
      </w:tr>
      <w:tr>
        <w:trPr>
          <w:trHeight w:val="257"/>
        </w:trPr>
        <w:tc>
          <w:tcPr>
            <w:tcW w:w="4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r>
      <w:tr>
        <w:trPr>
          <w:trHeight w:val="243"/>
        </w:trPr>
        <w:tc>
          <w:tcPr>
            <w:tcW w:w="4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r>
      <w:tr>
        <w:trPr>
          <w:trHeight w:val="441"/>
        </w:trPr>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18,137</w:t>
            </w:r>
          </w:p>
        </w:tc>
      </w:tr>
      <w:tr>
        <w:trPr>
          <w:trHeight w:val="230"/>
        </w:trPr>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9,240</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10,528</w:t>
            </w:r>
          </w:p>
        </w:tc>
      </w:tr>
      <w:tr>
        <w:trPr>
          <w:trHeight w:val="229"/>
        </w:trPr>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34"/>
        </w:trPr>
        <w:tc>
          <w:tcPr>
            <w:tcW w:w="4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(10,261)</w:t>
            </w:r>
          </w:p>
        </w:tc>
      </w:tr>
      <w:tr>
        <w:trPr>
          <w:trHeight w:val="223"/>
        </w:trPr>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16,684</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20,063</w:t>
            </w:r>
          </w:p>
        </w:tc>
      </w:tr>
      <w:tr>
        <w:trPr>
          <w:trHeight w:val="21"/>
        </w:trPr>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326"/>
        </w:trPr>
        <w:tc>
          <w:tcPr>
            <w:tcW w:w="4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4"/>
        </w:trPr>
        <w:tc>
          <w:tcPr>
            <w:tcW w:w="4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-3162300</wp:posOffset>
            </wp:positionV>
            <wp:extent cx="5400675" cy="146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0675" cy="14605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-2853690</wp:posOffset>
            </wp:positionV>
            <wp:extent cx="540067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0675" cy="16319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-2527935</wp:posOffset>
            </wp:positionV>
            <wp:extent cx="54006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0675" cy="17145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-2193925</wp:posOffset>
            </wp:positionV>
            <wp:extent cx="54006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0675" cy="14541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-1902460</wp:posOffset>
            </wp:positionV>
            <wp:extent cx="5400675"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00675" cy="14605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-1593850</wp:posOffset>
            </wp:positionV>
            <wp:extent cx="54006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00675" cy="17145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-1276350</wp:posOffset>
            </wp:positionV>
            <wp:extent cx="5400675"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00675" cy="14541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-984885</wp:posOffset>
            </wp:positionV>
            <wp:extent cx="540067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00675" cy="14541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-694055</wp:posOffset>
            </wp:positionV>
            <wp:extent cx="54006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00675" cy="17145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-436880</wp:posOffset>
            </wp:positionV>
            <wp:extent cx="5400675"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00675" cy="14605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-145415</wp:posOffset>
            </wp:positionV>
            <wp:extent cx="5400675"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00675" cy="146050"/>
                    </a:xfrm>
                    <a:prstGeom prst="rect">
                      <a:avLst/>
                    </a:prstGeom>
                    <a:noFill/>
                  </pic:spPr>
                </pic:pic>
              </a:graphicData>
            </a:graphic>
          </wp:anchor>
        </w:drawing>
      </w:r>
    </w:p>
    <w:p>
      <w:pPr>
        <w:spacing w:after="0" w:line="598" w:lineRule="exact"/>
        <w:rPr>
          <w:sz w:val="20"/>
          <w:szCs w:val="20"/>
          <w:color w:val="auto"/>
        </w:rPr>
      </w:pPr>
    </w:p>
    <w:p>
      <w:pPr>
        <w:sectPr>
          <w:pgSz w:w="11900" w:h="16838" w:orient="portrait"/>
          <w:cols w:equalWidth="0" w:num="2">
            <w:col w:w="5560" w:space="720"/>
            <w:col w:w="4960"/>
          </w:cols>
          <w:pgMar w:left="320" w:top="1395" w:right="339" w:bottom="1440" w:gutter="0" w:footer="0" w:header="0"/>
        </w:sectPr>
      </w:pPr>
    </w:p>
    <w:p>
      <w:pPr>
        <w:ind w:left="260" w:hanging="252"/>
        <w:spacing w:after="0" w:line="302" w:lineRule="auto"/>
        <w:tabs>
          <w:tab w:leader="none" w:pos="163"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selling, general and administrative expenses, depreciation and amortization expenses, impairment and income from equity method investments. Please refer to the Statement of Operations at the end of the press release for additional information.</w:t>
      </w:r>
    </w:p>
    <w:p>
      <w:pPr>
        <w:spacing w:after="0" w:line="121" w:lineRule="exact"/>
        <w:rPr>
          <w:rFonts w:ascii="Times New Roman" w:cs="Times New Roman" w:eastAsia="Times New Roman" w:hAnsi="Times New Roman"/>
          <w:sz w:val="9"/>
          <w:szCs w:val="9"/>
          <w:color w:val="auto"/>
        </w:rPr>
      </w:pPr>
    </w:p>
    <w:p>
      <w:pPr>
        <w:ind w:left="260" w:hanging="252"/>
        <w:spacing w:after="0" w:line="302" w:lineRule="auto"/>
        <w:tabs>
          <w:tab w:leader="none" w:pos="149"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This is a non-GAAP financial measure. A reconciliation of this non-GAAP financial measure to a comparable GAAP financial measure has been provided in the financial tables included in this press release. An explanation of this measure and how it is calculated is also included below under the heading “Non-GAAP Financial Measures.”</w:t>
      </w:r>
    </w:p>
    <w:p>
      <w:pPr>
        <w:spacing w:after="0" w:line="121" w:lineRule="exact"/>
        <w:rPr>
          <w:rFonts w:ascii="Times New Roman" w:cs="Times New Roman" w:eastAsia="Times New Roman" w:hAnsi="Times New Roman"/>
          <w:sz w:val="9"/>
          <w:szCs w:val="9"/>
          <w:color w:val="auto"/>
        </w:rPr>
      </w:pPr>
    </w:p>
    <w:p>
      <w:pPr>
        <w:ind w:left="260" w:hanging="252"/>
        <w:spacing w:after="0" w:line="302" w:lineRule="auto"/>
        <w:tabs>
          <w:tab w:leader="none" w:pos="149"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 2025 includes incremental virtual pipeline costs (i.e., actual costs less anticipated operating costs of a permanent interconnection) on our Prince William RNG project which are temporary in nature and incurred in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from equity method investments</w:t>
      </w:r>
    </w:p>
    <w:p>
      <w:pPr>
        <w:spacing w:after="0" w:line="247" w:lineRule="exact"/>
        <w:rPr>
          <w:sz w:val="20"/>
          <w:szCs w:val="20"/>
          <w:color w:val="auto"/>
        </w:rPr>
      </w:pPr>
    </w:p>
    <w:tbl>
      <w:tblPr>
        <w:tblLayout w:type="fixed"/>
        <w:tblInd w:w="26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2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7"/>
        </w:trPr>
        <w:tc>
          <w:tcPr>
            <w:tcW w:w="6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of dollars)</w:t>
            </w:r>
          </w:p>
        </w:tc>
        <w:tc>
          <w:tcPr>
            <w:tcW w:w="4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0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5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27,311</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22,517</w:t>
            </w:r>
          </w:p>
        </w:tc>
        <w:tc>
          <w:tcPr>
            <w:tcW w:w="0" w:type="dxa"/>
            <w:vAlign w:val="bottom"/>
          </w:tcPr>
          <w:p>
            <w:pPr>
              <w:spacing w:after="0"/>
              <w:rPr>
                <w:sz w:val="1"/>
                <w:szCs w:val="1"/>
                <w:color w:val="auto"/>
              </w:rPr>
            </w:pPr>
          </w:p>
        </w:tc>
      </w:tr>
      <w:tr>
        <w:trPr>
          <w:trHeight w:val="25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4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0" w:type="dxa"/>
            <w:vAlign w:val="bottom"/>
          </w:tcPr>
          <w:p>
            <w:pPr>
              <w:spacing w:after="0"/>
              <w:rPr>
                <w:sz w:val="1"/>
                <w:szCs w:val="1"/>
                <w:color w:val="auto"/>
              </w:rPr>
            </w:pPr>
          </w:p>
        </w:tc>
      </w:tr>
      <w:tr>
        <w:trPr>
          <w:trHeight w:val="263"/>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4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0" w:type="dxa"/>
            <w:vAlign w:val="bottom"/>
          </w:tcPr>
          <w:p>
            <w:pPr>
              <w:spacing w:after="0"/>
              <w:rPr>
                <w:sz w:val="1"/>
                <w:szCs w:val="1"/>
                <w:color w:val="auto"/>
              </w:rPr>
            </w:pPr>
          </w:p>
        </w:tc>
      </w:tr>
      <w:tr>
        <w:trPr>
          <w:trHeight w:val="257"/>
        </w:trPr>
        <w:tc>
          <w:tcPr>
            <w:tcW w:w="6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OPAL's share of revenues from equity method investments</w:t>
            </w:r>
          </w:p>
        </w:tc>
        <w:tc>
          <w:tcPr>
            <w:tcW w:w="4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w:t>
            </w:r>
          </w:p>
        </w:tc>
        <w:tc>
          <w:tcPr>
            <w:tcW w:w="4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0" w:type="dxa"/>
            <w:vAlign w:val="bottom"/>
          </w:tcPr>
          <w:p>
            <w:pPr>
              <w:spacing w:after="0"/>
              <w:rPr>
                <w:sz w:val="1"/>
                <w:szCs w:val="1"/>
                <w:color w:val="auto"/>
              </w:rPr>
            </w:pPr>
          </w:p>
        </w:tc>
      </w:tr>
      <w:tr>
        <w:trPr>
          <w:trHeight w:val="25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OPAL's share of gross profit from equity method investments</w:t>
            </w:r>
          </w:p>
        </w:tc>
        <w:tc>
          <w:tcPr>
            <w:tcW w:w="4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4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0" w:type="dxa"/>
            <w:vAlign w:val="bottom"/>
          </w:tcPr>
          <w:p>
            <w:pPr>
              <w:spacing w:after="0"/>
              <w:rPr>
                <w:sz w:val="1"/>
                <w:szCs w:val="1"/>
                <w:color w:val="auto"/>
              </w:rPr>
            </w:pPr>
          </w:p>
        </w:tc>
      </w:tr>
      <w:tr>
        <w:trPr>
          <w:trHeight w:val="263"/>
        </w:trPr>
        <w:tc>
          <w:tcPr>
            <w:tcW w:w="680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OPAL's share of net loss from equity method investments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¹</w:t>
            </w:r>
            <w:r>
              <w:rPr>
                <w:rFonts w:ascii="MS PGothic" w:cs="MS PGothic" w:eastAsia="MS PGothic" w:hAnsi="MS PGothic"/>
                <w:sz w:val="18"/>
                <w:szCs w:val="18"/>
                <w:color w:val="auto"/>
              </w:rPr>
              <w:t>⁾</w:t>
            </w:r>
          </w:p>
        </w:tc>
        <w:tc>
          <w:tcPr>
            <w:tcW w:w="420" w:type="dxa"/>
            <w:vAlign w:val="bottom"/>
            <w:shd w:val="clear" w:color="auto" w:fill="CCEEFF"/>
          </w:tcPr>
          <w:p>
            <w:pPr>
              <w:spacing w:after="0"/>
              <w:rPr>
                <w:sz w:val="22"/>
                <w:szCs w:val="22"/>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46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56"/>
        </w:trPr>
        <w:tc>
          <w:tcPr>
            <w:tcW w:w="68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OPAL’s share of Adjusted EBITDA from equity method investments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395" w:right="339" w:bottom="1440" w:gutter="0" w:footer="0" w:header="0"/>
          <w:type w:val="continuous"/>
        </w:sectPr>
      </w:pPr>
    </w:p>
    <w:bookmarkStart w:id="8" w:name="page9"/>
    <w:bookmarkEnd w:id="8"/>
    <w:p>
      <w:pPr>
        <w:ind w:firstLine="8"/>
        <w:spacing w:after="0" w:line="270" w:lineRule="auto"/>
        <w:tabs>
          <w:tab w:leader="none" w:pos="146" w:val="left"/>
        </w:tabs>
        <w:numPr>
          <w:ilvl w:val="0"/>
          <w:numId w:val="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Net income from equity method investments represents our portion of the net income from equity method investments including $1.70 million of amortization expense related to basis differences for the three months ended March 31, 2026, and $1.70 million for the three months ended March 31, 2025.</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Landfill RNG Facility Capacity and Utilization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153670</wp:posOffset>
            </wp:positionV>
            <wp:extent cx="60521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52185" cy="171450"/>
                    </a:xfrm>
                    <a:prstGeom prst="rect">
                      <a:avLst/>
                    </a:prstGeom>
                    <a:noFill/>
                  </pic:spPr>
                </pic:pic>
              </a:graphicData>
            </a:graphic>
          </wp:anchor>
        </w:drawing>
      </w:r>
    </w:p>
    <w:p>
      <w:pPr>
        <w:spacing w:after="0" w:line="227"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p>
      <w:pPr>
        <w:spacing w:after="0" w:line="38" w:lineRule="exact"/>
        <w:rPr>
          <w:sz w:val="20"/>
          <w:szCs w:val="20"/>
          <w:color w:val="auto"/>
        </w:rPr>
      </w:pPr>
    </w:p>
    <w:tbl>
      <w:tblPr>
        <w:tblLayout w:type="fixed"/>
        <w:tblInd w:w="860" w:type="dxa"/>
        <w:tblCellMar>
          <w:top w:w="0" w:type="dxa"/>
          <w:left w:w="0" w:type="dxa"/>
          <w:bottom w:w="0" w:type="dxa"/>
          <w:right w:w="0" w:type="dxa"/>
        </w:tblCellMar>
      </w:tblPr>
      <w:tr>
        <w:trPr>
          <w:trHeight w:val="243"/>
        </w:trPr>
        <w:tc>
          <w:tcPr>
            <w:tcW w:w="5720" w:type="dxa"/>
            <w:vAlign w:val="bottom"/>
            <w:tcBorders>
              <w:bottom w:val="single" w:sz="8" w:color="CCEEFF"/>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top w:val="single" w:sz="8" w:color="auto"/>
              <w:bottom w:val="single" w:sz="8" w:color="auto"/>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9"/>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Landfill RNG Facility Capacity and Utilization</w:t>
            </w:r>
          </w:p>
        </w:tc>
        <w:tc>
          <w:tcPr>
            <w:tcW w:w="1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29"/>
        </w:trPr>
        <w:tc>
          <w:tcPr>
            <w:tcW w:w="5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Design Capacity (Million MMBtus) </w:t>
            </w:r>
            <w:r>
              <w:rPr>
                <w:rFonts w:ascii="Times New Roman" w:cs="Times New Roman" w:eastAsia="Times New Roman" w:hAnsi="Times New Roman"/>
                <w:sz w:val="23"/>
                <w:szCs w:val="23"/>
                <w:color w:val="auto"/>
                <w:vertAlign w:val="superscript"/>
              </w:rPr>
              <w:t>(1)(3)</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5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Volume of Inlet Gas (Million MMBtus) </w:t>
            </w:r>
            <w:r>
              <w:rPr>
                <w:rFonts w:ascii="Times New Roman" w:cs="Times New Roman" w:eastAsia="Times New Roman" w:hAnsi="Times New Roman"/>
                <w:sz w:val="23"/>
                <w:szCs w:val="23"/>
                <w:color w:val="auto"/>
                <w:vertAlign w:val="superscript"/>
              </w:rPr>
              <w:t>(2)</w:t>
            </w:r>
          </w:p>
        </w:tc>
        <w:tc>
          <w:tcPr>
            <w:tcW w:w="12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57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Inlet Design Capacity Utilization (%) </w:t>
            </w:r>
            <w:r>
              <w:rPr>
                <w:rFonts w:ascii="Times New Roman" w:cs="Times New Roman" w:eastAsia="Times New Roman" w:hAnsi="Times New Roman"/>
                <w:sz w:val="23"/>
                <w:szCs w:val="23"/>
                <w:color w:val="auto"/>
                <w:vertAlign w:val="superscript"/>
              </w:rPr>
              <w:t>(2)</w:t>
            </w:r>
          </w:p>
        </w:tc>
        <w:tc>
          <w:tcPr>
            <w:tcW w:w="1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4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r>
      <w:tr>
        <w:trPr>
          <w:trHeight w:val="229"/>
        </w:trPr>
        <w:tc>
          <w:tcPr>
            <w:tcW w:w="57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RNG Fuel volume produced (Million MMBtus)</w:t>
            </w:r>
            <w:r>
              <w:rPr>
                <w:rFonts w:ascii="Times New Roman" w:cs="Times New Roman" w:eastAsia="Times New Roman" w:hAnsi="Times New Roman"/>
                <w:sz w:val="23"/>
                <w:szCs w:val="23"/>
                <w:color w:val="auto"/>
                <w:vertAlign w:val="superscript"/>
              </w:rPr>
              <w:t>(3)</w:t>
            </w:r>
          </w:p>
        </w:tc>
        <w:tc>
          <w:tcPr>
            <w:tcW w:w="12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1.06</w:t>
            </w:r>
          </w:p>
        </w:tc>
      </w:tr>
      <w:tr>
        <w:trPr>
          <w:trHeight w:val="30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Utilization of Inlet Gas (%) </w:t>
            </w:r>
            <w:r>
              <w:rPr>
                <w:rFonts w:ascii="Times New Roman" w:cs="Times New Roman" w:eastAsia="Times New Roman" w:hAnsi="Times New Roman"/>
                <w:sz w:val="23"/>
                <w:szCs w:val="23"/>
                <w:color w:val="auto"/>
                <w:vertAlign w:val="superscript"/>
              </w:rPr>
              <w:t>(4)</w:t>
            </w:r>
          </w:p>
        </w:tc>
        <w:tc>
          <w:tcPr>
            <w:tcW w:w="1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44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r>
    </w:tbl>
    <w:p>
      <w:pPr>
        <w:spacing w:after="0" w:line="170" w:lineRule="exact"/>
        <w:rPr>
          <w:sz w:val="20"/>
          <w:szCs w:val="20"/>
          <w:color w:val="auto"/>
        </w:rPr>
      </w:pPr>
    </w:p>
    <w:p>
      <w:pPr>
        <w:jc w:val="both"/>
        <w:ind w:firstLine="8"/>
        <w:spacing w:after="0" w:line="233" w:lineRule="auto"/>
        <w:tabs>
          <w:tab w:leader="none" w:pos="159"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spacing w:after="0" w:line="177" w:lineRule="exact"/>
        <w:rPr>
          <w:rFonts w:ascii="Times New Roman" w:cs="Times New Roman" w:eastAsia="Times New Roman" w:hAnsi="Times New Roman"/>
          <w:sz w:val="19"/>
          <w:szCs w:val="19"/>
          <w:color w:val="auto"/>
          <w:vertAlign w:val="superscript"/>
        </w:rPr>
      </w:pPr>
    </w:p>
    <w:p>
      <w:pPr>
        <w:jc w:val="both"/>
        <w:ind w:firstLine="8"/>
        <w:spacing w:after="0" w:line="403" w:lineRule="auto"/>
        <w:tabs>
          <w:tab w:leader="none" w:pos="132" w:val="left"/>
        </w:tabs>
        <w:numPr>
          <w:ilvl w:val="0"/>
          <w:numId w:val="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 Excludes Sunoma and Biotown.</w:t>
      </w:r>
    </w:p>
    <w:p>
      <w:pPr>
        <w:spacing w:after="0" w:line="257" w:lineRule="exact"/>
        <w:rPr>
          <w:rFonts w:ascii="Times New Roman" w:cs="Times New Roman" w:eastAsia="Times New Roman" w:hAnsi="Times New Roman"/>
          <w:sz w:val="15"/>
          <w:szCs w:val="15"/>
          <w:color w:val="auto"/>
          <w:vertAlign w:val="superscript"/>
        </w:rPr>
      </w:pPr>
    </w:p>
    <w:p>
      <w:pPr>
        <w:ind w:left="160" w:hanging="152"/>
        <w:spacing w:after="0"/>
        <w:tabs>
          <w:tab w:leader="none" w:pos="160"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Excludes Sunoma and Biotown</w:t>
      </w:r>
    </w:p>
    <w:p>
      <w:pPr>
        <w:spacing w:after="0" w:line="162" w:lineRule="exact"/>
        <w:rPr>
          <w:rFonts w:ascii="Times New Roman" w:cs="Times New Roman" w:eastAsia="Times New Roman" w:hAnsi="Times New Roman"/>
          <w:sz w:val="19"/>
          <w:szCs w:val="19"/>
          <w:color w:val="auto"/>
          <w:vertAlign w:val="superscript"/>
        </w:rPr>
      </w:pPr>
    </w:p>
    <w:p>
      <w:pPr>
        <w:jc w:val="both"/>
        <w:ind w:firstLine="8"/>
        <w:spacing w:after="0" w:line="670" w:lineRule="auto"/>
        <w:tabs>
          <w:tab w:leader="none" w:pos="132" w:val="left"/>
        </w:tabs>
        <w:numPr>
          <w:ilvl w:val="0"/>
          <w:numId w:val="9"/>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 Excludes Sunoma and Biotown.</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RNG Pending Monetization Summary</w:t>
      </w:r>
    </w:p>
    <w:p>
      <w:pPr>
        <w:spacing w:after="0" w:line="234"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-125095</wp:posOffset>
            </wp:positionV>
            <wp:extent cx="7071995"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1995" cy="146050"/>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(In thousands, except average realized sales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14605</wp:posOffset>
            </wp:positionV>
            <wp:extent cx="7071995" cy="2832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71995" cy="283210"/>
                    </a:xfrm>
                    <a:prstGeom prst="rect">
                      <a:avLst/>
                    </a:prstGeom>
                    <a:noFill/>
                  </pic:spPr>
                </pic:pic>
              </a:graphicData>
            </a:graphic>
          </wp:anchor>
        </w:drawing>
      </w:r>
    </w:p>
    <w:p>
      <w:pPr>
        <w:spacing w:after="0" w:line="7"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78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RNG Fuel</w:t>
            </w:r>
          </w:p>
        </w:tc>
        <w:tc>
          <w:tcPr>
            <w:tcW w:w="1020" w:type="dxa"/>
            <w:vAlign w:val="bottom"/>
            <w:tcBorders>
              <w:top w:val="single" w:sz="8" w:color="auto"/>
            </w:tcBorders>
            <w:gridSpan w:val="2"/>
          </w:tcPr>
          <w:p>
            <w:pPr>
              <w:ind w:left="40"/>
              <w:spacing w:after="0" w:line="189" w:lineRule="exact"/>
              <w:rPr>
                <w:sz w:val="20"/>
                <w:szCs w:val="20"/>
                <w:color w:val="auto"/>
              </w:rPr>
            </w:pPr>
            <w:r>
              <w:rPr>
                <w:rFonts w:ascii="Times New Roman" w:cs="Times New Roman" w:eastAsia="Times New Roman" w:hAnsi="Times New Roman"/>
                <w:sz w:val="18"/>
                <w:szCs w:val="18"/>
                <w:b w:val="1"/>
                <w:bCs w:val="1"/>
                <w:color w:val="auto"/>
              </w:rPr>
              <w:t>Fuel Station</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78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RNG awaiting credit generation using quarter end price </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10,900</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14,820</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RIN Metrics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as of December 31, 2025</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14,359</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18,118</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RIN credit balance (Available for sale) as of March 31, 2026</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D3 price per RIN at quarter end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RINs using quarter end price </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w:t>
            </w:r>
          </w:p>
        </w:tc>
        <w:tc>
          <w:tcPr>
            <w:tcW w:w="0" w:type="dxa"/>
            <w:vAlign w:val="bottom"/>
          </w:tcPr>
          <w:p>
            <w:pPr>
              <w:spacing w:after="0"/>
              <w:rPr>
                <w:sz w:val="1"/>
                <w:szCs w:val="1"/>
                <w:color w:val="auto"/>
              </w:rPr>
            </w:pPr>
          </w:p>
        </w:tc>
      </w:tr>
      <w:tr>
        <w:trPr>
          <w:trHeight w:val="250"/>
        </w:trPr>
        <w:tc>
          <w:tcPr>
            <w:tcW w:w="7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LCFS Metrics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 (net share) as of December 31, 2025</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Generated in current period</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Sales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LCFS credit balance (Available for sale) as of March 31, 2026</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LCFS credit price at quarter end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Value of LCFSs using quarter end price </w:t>
            </w:r>
            <w:r>
              <w:rPr>
                <w:rFonts w:ascii="Times New Roman" w:cs="Times New Roman" w:eastAsia="Times New Roman" w:hAnsi="Times New Roman"/>
                <w:sz w:val="23"/>
                <w:szCs w:val="23"/>
                <w:b w:val="1"/>
                <w:bCs w:val="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900</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6,664</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7,564</w:t>
            </w:r>
          </w:p>
        </w:tc>
        <w:tc>
          <w:tcPr>
            <w:tcW w:w="0" w:type="dxa"/>
            <w:vAlign w:val="bottom"/>
          </w:tcPr>
          <w:p>
            <w:pPr>
              <w:spacing w:after="0"/>
              <w:rPr>
                <w:sz w:val="1"/>
                <w:szCs w:val="1"/>
                <w:color w:val="auto"/>
              </w:rPr>
            </w:pPr>
          </w:p>
        </w:tc>
      </w:tr>
      <w:tr>
        <w:trPr>
          <w:trHeight w:val="250"/>
        </w:trPr>
        <w:tc>
          <w:tcPr>
            <w:tcW w:w="78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Value of RECs using quarter end price</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7"/>
        </w:trPr>
        <w:tc>
          <w:tcPr>
            <w:tcW w:w="7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Metrics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during quarter - RIN</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realized sales price during quarter - LCFS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0" w:type="dxa"/>
            <w:vAlign w:val="bottom"/>
          </w:tcPr>
          <w:p>
            <w:pPr>
              <w:spacing w:after="0"/>
              <w:rPr>
                <w:sz w:val="1"/>
                <w:szCs w:val="1"/>
                <w:color w:val="auto"/>
              </w:rPr>
            </w:pPr>
          </w:p>
        </w:tc>
      </w:tr>
      <w:tr>
        <w:trPr>
          <w:trHeight w:val="270"/>
        </w:trPr>
        <w:tc>
          <w:tcPr>
            <w:tcW w:w="78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Value of RNG Pending Monetization and Credits at quarter end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12,152</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11,354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23,523</w:t>
            </w: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ind w:firstLine="8"/>
        <w:spacing w:after="0" w:line="362" w:lineRule="auto"/>
        <w:tabs>
          <w:tab w:leader="none" w:pos="132" w:val="left"/>
        </w:tabs>
        <w:numPr>
          <w:ilvl w:val="0"/>
          <w:numId w:val="1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Reflects OPAL’s ownership share of RIN and LCFS credits (i.e., net of joint venture partners’ ownership), including equity method investments, and presented net of discounts and any direct transaction costs such as dispensing fees, third-party royalties and transaction costs as applicable.</w:t>
      </w:r>
    </w:p>
    <w:p>
      <w:pPr>
        <w:sectPr>
          <w:pgSz w:w="11900" w:h="16838" w:orient="portrait"/>
          <w:cols w:equalWidth="0" w:num="1">
            <w:col w:w="11240"/>
          </w:cols>
          <w:pgMar w:left="320" w:top="14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09" w:right="339" w:bottom="1440" w:gutter="0" w:footer="0" w:header="0"/>
          <w:type w:val="continuous"/>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19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As of March 31, 2026, our liquidity was $232.5 million, consisting of $133.2 million of cash and cash equivalents, $39.3 million of unused capacity under the revolver, $60.0 million of undrawn preferred stock facility.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Expenditures</w:t>
      </w:r>
    </w:p>
    <w:p>
      <w:pPr>
        <w:spacing w:after="0" w:line="193"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During the three months ended March 31, 2026, OPAL Fuels invested $24.4 million across RNG projects in construction and OPAL Fuels owned fueling stations in construction as compared to $11.6 million in the prior year.</w:t>
      </w:r>
    </w:p>
    <w:p>
      <w:pPr>
        <w:spacing w:after="0" w:line="11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In addition, for the three months ended March 31, 2026, the Company's portion of capital expenditures in unconsolidated entities was $3.3 million compared to $5.4 million in the prior year. This represents our share of capital expenditures incurred by equity method investments.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Earnings Call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webcast to review OPAL Fuels’ First Quarter 2026 results is being held today, March 11, 2026 at 11:00AM EDT.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Materials to be discussed in the webcast will be available before the call on the Company's website.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Participants may access the call at </w:t>
      </w:r>
      <w:r>
        <w:rPr>
          <w:rFonts w:ascii="Times New Roman" w:cs="Times New Roman" w:eastAsia="Times New Roman" w:hAnsi="Times New Roman"/>
          <w:sz w:val="20"/>
          <w:szCs w:val="20"/>
          <w:u w:val="single" w:color="auto"/>
          <w:color w:val="0E32E1"/>
        </w:rPr>
        <w:t>https://edge.media-server.com/mmc/p/yubhgs6w</w:t>
      </w:r>
    </w:p>
    <w:p>
      <w:pPr>
        <w:spacing w:after="0" w:line="2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 xml:space="preserve">Investors can also listen to a webcast of the presentation on the Company’s Investor Relations website at </w:t>
      </w:r>
      <w:r>
        <w:rPr>
          <w:rFonts w:ascii="Times New Roman" w:cs="Times New Roman" w:eastAsia="Times New Roman" w:hAnsi="Times New Roman"/>
          <w:sz w:val="20"/>
          <w:szCs w:val="20"/>
          <w:u w:val="single" w:color="auto"/>
          <w:color w:val="0E32E1"/>
        </w:rPr>
        <w:t>https://opalfuels.gcs-web.com/news-events/events-presentations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“D3” </w:t>
      </w:r>
      <w:r>
        <w:rPr>
          <w:rFonts w:ascii="Times New Roman" w:cs="Times New Roman" w:eastAsia="Times New Roman" w:hAnsi="Times New Roman"/>
          <w:sz w:val="20"/>
          <w:szCs w:val="20"/>
          <w:color w:val="auto"/>
        </w:rPr>
        <w:t>refers to cellulosic biofuel with a 60% GHG reduction requirement.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“GGE” </w:t>
      </w:r>
      <w:r>
        <w:rPr>
          <w:rFonts w:ascii="Times New Roman" w:cs="Times New Roman" w:eastAsia="Times New Roman" w:hAnsi="Times New Roman"/>
          <w:sz w:val="20"/>
          <w:szCs w:val="20"/>
          <w:color w:val="auto"/>
        </w:rPr>
        <w:t>refers to gasoline gallon equivalent. The conversion ratio is 1 MMBtu of natural gas equal to 7.74 GGE.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“LCFS” </w:t>
      </w:r>
      <w:r>
        <w:rPr>
          <w:rFonts w:ascii="Times New Roman" w:cs="Times New Roman" w:eastAsia="Times New Roman" w:hAnsi="Times New Roman"/>
          <w:sz w:val="20"/>
          <w:szCs w:val="20"/>
          <w:color w:val="auto"/>
        </w:rPr>
        <w:t>refers to Low Carbon Fuel Standard or similar types of federal and state programs.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“MMBtu” </w:t>
      </w:r>
      <w:r>
        <w:rPr>
          <w:rFonts w:ascii="Times New Roman" w:cs="Times New Roman" w:eastAsia="Times New Roman" w:hAnsi="Times New Roman"/>
          <w:sz w:val="20"/>
          <w:szCs w:val="20"/>
          <w:color w:val="auto"/>
        </w:rPr>
        <w:t>refers to million British thermal units.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“RECs” </w:t>
      </w:r>
      <w:r>
        <w:rPr>
          <w:rFonts w:ascii="Times New Roman" w:cs="Times New Roman" w:eastAsia="Times New Roman" w:hAnsi="Times New Roman"/>
          <w:sz w:val="20"/>
          <w:szCs w:val="20"/>
          <w:color w:val="auto"/>
        </w:rPr>
        <w:t>refers to renewable energy credits.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“Renewable Power” </w:t>
      </w:r>
      <w:r>
        <w:rPr>
          <w:rFonts w:ascii="Times New Roman" w:cs="Times New Roman" w:eastAsia="Times New Roman" w:hAnsi="Times New Roman"/>
          <w:sz w:val="20"/>
          <w:szCs w:val="20"/>
          <w:color w:val="auto"/>
        </w:rPr>
        <w:t>refers to electricity generated from renewable sources.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“RIN” </w:t>
      </w:r>
      <w:r>
        <w:rPr>
          <w:rFonts w:ascii="Times New Roman" w:cs="Times New Roman" w:eastAsia="Times New Roman" w:hAnsi="Times New Roman"/>
          <w:sz w:val="20"/>
          <w:szCs w:val="20"/>
          <w:color w:val="auto"/>
        </w:rPr>
        <w:t>refers to Renewable Identification Numbers.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“RNG” </w:t>
      </w:r>
      <w:r>
        <w:rPr>
          <w:rFonts w:ascii="Times New Roman" w:cs="Times New Roman" w:eastAsia="Times New Roman" w:hAnsi="Times New Roman"/>
          <w:sz w:val="20"/>
          <w:szCs w:val="20"/>
          <w:color w:val="auto"/>
        </w:rPr>
        <w:t>refers to renewable natural gas.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 xml:space="preserve">“VIEs” </w:t>
      </w:r>
      <w:r>
        <w:rPr>
          <w:rFonts w:ascii="Times New Roman" w:cs="Times New Roman" w:eastAsia="Times New Roman" w:hAnsi="Times New Roman"/>
          <w:sz w:val="20"/>
          <w:szCs w:val="20"/>
          <w:color w:val="auto"/>
        </w:rPr>
        <w:t>refers to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OPAL Fuels</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0E32E1"/>
        </w:rPr>
        <w:t xml:space="preserve">OPAL Fuels </w:t>
      </w:r>
      <w:r>
        <w:rPr>
          <w:rFonts w:ascii="Times New Roman" w:cs="Times New Roman" w:eastAsia="Times New Roman" w:hAnsi="Times New Roman"/>
          <w:sz w:val="20"/>
          <w:szCs w:val="20"/>
          <w:color w:val="000000"/>
        </w:rPr>
        <w:t>(Nasdaq: OPAL) is a leader in the capture and conversion of biogas into low carbon intensity RNG and Renewable Power.</w:t>
      </w:r>
      <w:r>
        <w:rPr>
          <w:rFonts w:ascii="Times New Roman" w:cs="Times New Roman" w:eastAsia="Times New Roman" w:hAnsi="Times New Roman"/>
          <w:sz w:val="20"/>
          <w:szCs w:val="20"/>
          <w:color w:val="0E32E1"/>
        </w:rPr>
        <w:t xml:space="preserve"> </w:t>
      </w:r>
      <w:r>
        <w:rPr>
          <w:rFonts w:ascii="Times New Roman" w:cs="Times New Roman" w:eastAsia="Times New Roman" w:hAnsi="Times New Roman"/>
          <w:sz w:val="20"/>
          <w:szCs w:val="20"/>
          <w:color w:val="000000"/>
        </w:rPr>
        <w:t xml:space="preserve">OPAL Fuels is also a leader in the marketing and distribution of RNG to heavy duty trucking and other hard to decarbonize industrial sectors. For additional information, and to learn more about OPAL Fuels and how it is leading the effort to capture North America’s naturally occurring methane and decarbonize the economy, please visit </w:t>
      </w:r>
      <w:r>
        <w:rPr>
          <w:rFonts w:ascii="Times New Roman" w:cs="Times New Roman" w:eastAsia="Times New Roman" w:hAnsi="Times New Roman"/>
          <w:sz w:val="20"/>
          <w:szCs w:val="20"/>
          <w:color w:val="0E32E1"/>
        </w:rPr>
        <w:t>www.opalfuels.com</w:t>
      </w:r>
      <w:r>
        <w:rPr>
          <w:rFonts w:ascii="Times New Roman" w:cs="Times New Roman" w:eastAsia="Times New Roman" w:hAnsi="Times New Roman"/>
          <w:sz w:val="20"/>
          <w:szCs w:val="20"/>
          <w:color w:val="000000"/>
        </w:rPr>
        <w:t>.</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 # #</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Certain statements in this communication may be considered forward-looking statements within the meaning of the “safe harbor” provisions of the United States Private Securities Litigation Reform Act of 1995. Forward-looking statements are statements that are not historical facts and generally relate to future events or the Company's future financial or other performance metrics. In some cases, you can identify forward-looking statements by terminology such as “believe,” “may,” “will,” “potentially,” “estimate,” “continue,” “anticipate,” “intend,” “could,” “would,” “project,” “target,” “plan,” “expect,” or the negatives of these terms or variations of them or similar terminology. Such forward-looking statements are subject to risks and uncertainties, which could cause actual results to differ materially from those expressed or implied by such forward-looking statements. New risks and uncertainties may emerge from time to time, and it is not possible to predict all risks and uncertainties. These forward-looking statements are based upon estimates and assumptions that, while considered reasonable by the Company and its management, as the case may be, are inherently uncertain and subject to material change. Factors that may cause actual results to differ materially from current expectations include various factors beyond management’s control, including but not limited to general economic conditions and other risks, uncertainties and factors set forth in the sections entitled “Risk Factors” and “Forward-Looking Statements and Risk Factor Summary” in the Company's annual report on Form 10-K and quarterly reports on Form 10-Q, and other filings the Company makes with the Securities and Exchange Commission. Nothing in this communication should be regarded as a representation by any person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395" w:right="339" w:bottom="1440" w:gutter="0" w:footer="0" w:header="0"/>
        </w:sectPr>
      </w:pPr>
    </w:p>
    <w:bookmarkStart w:id="12" w:name="page13"/>
    <w:bookmarkEnd w:id="12"/>
    <w:p>
      <w:pPr>
        <w:jc w:val="both"/>
        <w:spacing w:after="0" w:line="253" w:lineRule="auto"/>
        <w:rPr>
          <w:sz w:val="20"/>
          <w:szCs w:val="20"/>
          <w:color w:val="auto"/>
        </w:rPr>
      </w:pPr>
      <w:r>
        <w:rPr>
          <w:rFonts w:ascii="Times New Roman" w:cs="Times New Roman" w:eastAsia="Times New Roman" w:hAnsi="Times New Roman"/>
          <w:sz w:val="20"/>
          <w:szCs w:val="20"/>
          <w:color w:val="auto"/>
        </w:rPr>
        <w:t>the forward-looking statements set forth herein will be achieved or that any of the contemplated results of such forward-looking statements will be achieved. You should not place undue reliance on forward-looking statements in this communication, which speak only as of the date they are made and are qualified in their entirety by reference to the cautionary statements herein.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Disclaimer</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This communication is for informational purposes only and is neither an offer to purchase, nor a solicitation of an offer to sell, subscribe for or buy, any securities,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Contact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Todd Firestone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Investor Relations and Corporate Development</w:t>
      </w:r>
    </w:p>
    <w:p>
      <w:pPr>
        <w:spacing w:after="0" w:line="189" w:lineRule="exact"/>
        <w:rPr>
          <w:sz w:val="20"/>
          <w:szCs w:val="20"/>
          <w:color w:val="auto"/>
        </w:rPr>
      </w:pPr>
    </w:p>
    <w:p>
      <w:pPr>
        <w:ind w:right="9220" w:firstLine="8"/>
        <w:spacing w:after="0" w:line="457" w:lineRule="auto"/>
        <w:tabs>
          <w:tab w:leader="none" w:pos="47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705-4001 </w:t>
      </w:r>
      <w:r>
        <w:rPr>
          <w:rFonts w:ascii="Times New Roman" w:cs="Times New Roman" w:eastAsia="Times New Roman" w:hAnsi="Times New Roman"/>
          <w:sz w:val="19"/>
          <w:szCs w:val="19"/>
          <w:u w:val="single" w:color="auto"/>
          <w:color w:val="0E32E1"/>
        </w:rPr>
        <w:t>investors@opalfuels.com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Harrison Feuer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Director, Communications and Public Policy</w:t>
      </w:r>
    </w:p>
    <w:p>
      <w:pPr>
        <w:spacing w:after="0" w:line="189" w:lineRule="exact"/>
        <w:rPr>
          <w:sz w:val="20"/>
          <w:szCs w:val="20"/>
          <w:color w:val="auto"/>
        </w:rPr>
      </w:pPr>
    </w:p>
    <w:p>
      <w:pPr>
        <w:ind w:right="9420" w:firstLine="8"/>
        <w:spacing w:after="0" w:line="503" w:lineRule="auto"/>
        <w:tabs>
          <w:tab w:leader="none" w:pos="478"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721-3723 </w:t>
      </w:r>
      <w:r>
        <w:rPr>
          <w:rFonts w:ascii="Times New Roman" w:cs="Times New Roman" w:eastAsia="Times New Roman" w:hAnsi="Times New Roman"/>
          <w:sz w:val="19"/>
          <w:szCs w:val="19"/>
          <w:u w:val="single" w:color="auto"/>
          <w:color w:val="0E32E1"/>
        </w:rPr>
        <w:t>hfeuer@opalfuels.com</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5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2"/>
        </w:trPr>
        <w:tc>
          <w:tcPr>
            <w:tcW w:w="8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8"/>
                <w:szCs w:val="18"/>
                <w:b w:val="1"/>
                <w:bCs w:val="1"/>
                <w:color w:val="auto"/>
                <w:vertAlign w:val="superscript"/>
              </w:rPr>
              <w:t>(1)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4"/>
        </w:trPr>
        <w:tc>
          <w:tcPr>
            <w:tcW w:w="852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133,241</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24,408</w:t>
            </w:r>
          </w:p>
        </w:tc>
        <w:tc>
          <w:tcPr>
            <w:tcW w:w="0" w:type="dxa"/>
            <w:vAlign w:val="bottom"/>
          </w:tcPr>
          <w:p>
            <w:pPr>
              <w:spacing w:after="0"/>
              <w:rPr>
                <w:sz w:val="1"/>
                <w:szCs w:val="1"/>
                <w:color w:val="auto"/>
              </w:rPr>
            </w:pPr>
          </w:p>
        </w:tc>
      </w:tr>
      <w:tr>
        <w:trPr>
          <w:trHeight w:val="193"/>
        </w:trPr>
        <w:tc>
          <w:tcPr>
            <w:tcW w:w="8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 net of allowances of $806 and $469, respectively(2)</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42,636</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61,806</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Restricted cash - current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0" w:type="dxa"/>
            <w:vAlign w:val="bottom"/>
          </w:tcPr>
          <w:p>
            <w:pPr>
              <w:spacing w:after="0"/>
              <w:rPr>
                <w:sz w:val="1"/>
                <w:szCs w:val="1"/>
                <w:color w:val="auto"/>
              </w:rPr>
            </w:pPr>
          </w:p>
        </w:tc>
      </w:tr>
      <w:tr>
        <w:trPr>
          <w:trHeight w:val="193"/>
        </w:trPr>
        <w:tc>
          <w:tcPr>
            <w:tcW w:w="8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Contract assets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6,782</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Parts inventory</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12,201</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10,964</w:t>
            </w:r>
          </w:p>
        </w:tc>
        <w:tc>
          <w:tcPr>
            <w:tcW w:w="0" w:type="dxa"/>
            <w:vAlign w:val="bottom"/>
          </w:tcPr>
          <w:p>
            <w:pPr>
              <w:spacing w:after="0"/>
              <w:rPr>
                <w:sz w:val="1"/>
                <w:szCs w:val="1"/>
                <w:color w:val="auto"/>
              </w:rPr>
            </w:pPr>
          </w:p>
        </w:tc>
      </w:tr>
      <w:tr>
        <w:trPr>
          <w:trHeight w:val="193"/>
        </w:trPr>
        <w:tc>
          <w:tcPr>
            <w:tcW w:w="8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expense and other current assets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17,615</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16,018</w:t>
            </w:r>
          </w:p>
        </w:tc>
        <w:tc>
          <w:tcPr>
            <w:tcW w:w="0" w:type="dxa"/>
            <w:vAlign w:val="bottom"/>
          </w:tcPr>
          <w:p>
            <w:pPr>
              <w:spacing w:after="0"/>
              <w:rPr>
                <w:sz w:val="1"/>
                <w:szCs w:val="1"/>
                <w:color w:val="auto"/>
              </w:rPr>
            </w:pPr>
          </w:p>
        </w:tc>
      </w:tr>
      <w:tr>
        <w:trPr>
          <w:trHeight w:val="23"/>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213,401</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122,682</w:t>
            </w:r>
          </w:p>
        </w:tc>
        <w:tc>
          <w:tcPr>
            <w:tcW w:w="0" w:type="dxa"/>
            <w:vAlign w:val="bottom"/>
          </w:tcPr>
          <w:p>
            <w:pPr>
              <w:spacing w:after="0"/>
              <w:rPr>
                <w:sz w:val="1"/>
                <w:szCs w:val="1"/>
                <w:color w:val="auto"/>
              </w:rPr>
            </w:pPr>
          </w:p>
        </w:tc>
      </w:tr>
      <w:tr>
        <w:trPr>
          <w:trHeight w:val="186"/>
        </w:trPr>
        <w:tc>
          <w:tcPr>
            <w:tcW w:w="8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512,546</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495,634</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Investments in other entities</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224,282</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231,223</w:t>
            </w:r>
          </w:p>
        </w:tc>
        <w:tc>
          <w:tcPr>
            <w:tcW w:w="0" w:type="dxa"/>
            <w:vAlign w:val="bottom"/>
          </w:tcPr>
          <w:p>
            <w:pPr>
              <w:spacing w:after="0"/>
              <w:rPr>
                <w:sz w:val="1"/>
                <w:szCs w:val="1"/>
                <w:color w:val="auto"/>
              </w:rPr>
            </w:pPr>
          </w:p>
        </w:tc>
      </w:tr>
      <w:tr>
        <w:trPr>
          <w:trHeight w:val="193"/>
        </w:trPr>
        <w:tc>
          <w:tcPr>
            <w:tcW w:w="8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Net investment in sales-type lease</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10,651</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8,224</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Restricted cash - non-current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w:t>
            </w:r>
          </w:p>
        </w:tc>
        <w:tc>
          <w:tcPr>
            <w:tcW w:w="0" w:type="dxa"/>
            <w:vAlign w:val="bottom"/>
          </w:tcPr>
          <w:p>
            <w:pPr>
              <w:spacing w:after="0"/>
              <w:rPr>
                <w:sz w:val="1"/>
                <w:szCs w:val="1"/>
                <w:color w:val="auto"/>
              </w:rPr>
            </w:pPr>
          </w:p>
        </w:tc>
      </w:tr>
      <w:tr>
        <w:trPr>
          <w:trHeight w:val="193"/>
        </w:trPr>
        <w:tc>
          <w:tcPr>
            <w:tcW w:w="8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54,608</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54,608</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long-term assets</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42,307</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44,398</w:t>
            </w:r>
          </w:p>
        </w:tc>
        <w:tc>
          <w:tcPr>
            <w:tcW w:w="0" w:type="dxa"/>
            <w:vAlign w:val="bottom"/>
          </w:tcPr>
          <w:p>
            <w:pPr>
              <w:spacing w:after="0"/>
              <w:rPr>
                <w:sz w:val="1"/>
                <w:szCs w:val="1"/>
                <w:color w:val="auto"/>
              </w:rPr>
            </w:pPr>
          </w:p>
        </w:tc>
      </w:tr>
      <w:tr>
        <w:trPr>
          <w:trHeight w:val="186"/>
        </w:trPr>
        <w:tc>
          <w:tcPr>
            <w:tcW w:w="8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1,060,602</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959,469</w:t>
            </w:r>
          </w:p>
        </w:tc>
        <w:tc>
          <w:tcPr>
            <w:tcW w:w="0" w:type="dxa"/>
            <w:vAlign w:val="bottom"/>
          </w:tcPr>
          <w:p>
            <w:pPr>
              <w:spacing w:after="0"/>
              <w:rPr>
                <w:sz w:val="1"/>
                <w:szCs w:val="1"/>
                <w:color w:val="auto"/>
              </w:rPr>
            </w:pPr>
          </w:p>
        </w:tc>
      </w:tr>
      <w:tr>
        <w:trPr>
          <w:trHeight w:val="23"/>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4"/>
                <w:szCs w:val="14"/>
                <w:b w:val="1"/>
                <w:bCs w:val="1"/>
                <w:color w:val="auto"/>
              </w:rPr>
              <w:t>Liabilities and Stockholders' Equity (Deficit)</w:t>
            </w:r>
            <w:r>
              <w:rPr>
                <w:rFonts w:ascii="Times New Roman" w:cs="Times New Roman" w:eastAsia="Times New Roman" w:hAnsi="Times New Roman"/>
                <w:sz w:val="18"/>
                <w:szCs w:val="18"/>
                <w:b w:val="1"/>
                <w:bCs w:val="1"/>
                <w:color w:val="auto"/>
                <w:vertAlign w:val="superscript"/>
              </w:rPr>
              <w:t>(1)</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payable(3)</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9,631</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19,004</w:t>
            </w:r>
          </w:p>
        </w:tc>
        <w:tc>
          <w:tcPr>
            <w:tcW w:w="0" w:type="dxa"/>
            <w:vAlign w:val="bottom"/>
          </w:tcPr>
          <w:p>
            <w:pPr>
              <w:spacing w:after="0"/>
              <w:rPr>
                <w:sz w:val="1"/>
                <w:szCs w:val="1"/>
                <w:color w:val="auto"/>
              </w:rPr>
            </w:pPr>
          </w:p>
        </w:tc>
      </w:tr>
      <w:tr>
        <w:trPr>
          <w:trHeight w:val="193"/>
        </w:trPr>
        <w:tc>
          <w:tcPr>
            <w:tcW w:w="8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Contract liabilities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5,070</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6,296</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Loan, current portion</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19,473</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15,062</w:t>
            </w:r>
          </w:p>
        </w:tc>
        <w:tc>
          <w:tcPr>
            <w:tcW w:w="0" w:type="dxa"/>
            <w:vAlign w:val="bottom"/>
          </w:tcPr>
          <w:p>
            <w:pPr>
              <w:spacing w:after="0"/>
              <w:rPr>
                <w:sz w:val="1"/>
                <w:szCs w:val="1"/>
                <w:color w:val="auto"/>
              </w:rPr>
            </w:pPr>
          </w:p>
        </w:tc>
      </w:tr>
      <w:tr>
        <w:trPr>
          <w:trHeight w:val="193"/>
        </w:trPr>
        <w:tc>
          <w:tcPr>
            <w:tcW w:w="8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62,890</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63,857</w:t>
            </w:r>
          </w:p>
        </w:tc>
        <w:tc>
          <w:tcPr>
            <w:tcW w:w="0" w:type="dxa"/>
            <w:vAlign w:val="bottom"/>
          </w:tcPr>
          <w:p>
            <w:pPr>
              <w:spacing w:after="0"/>
              <w:rPr>
                <w:sz w:val="1"/>
                <w:szCs w:val="1"/>
                <w:color w:val="auto"/>
              </w:rPr>
            </w:pPr>
          </w:p>
        </w:tc>
      </w:tr>
      <w:tr>
        <w:trPr>
          <w:trHeight w:val="23"/>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97,064</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104,219</w:t>
            </w:r>
          </w:p>
        </w:tc>
        <w:tc>
          <w:tcPr>
            <w:tcW w:w="0" w:type="dxa"/>
            <w:vAlign w:val="bottom"/>
          </w:tcPr>
          <w:p>
            <w:pPr>
              <w:spacing w:after="0"/>
              <w:rPr>
                <w:sz w:val="1"/>
                <w:szCs w:val="1"/>
                <w:color w:val="auto"/>
              </w:rPr>
            </w:pPr>
          </w:p>
        </w:tc>
      </w:tr>
      <w:tr>
        <w:trPr>
          <w:trHeight w:val="186"/>
        </w:trPr>
        <w:tc>
          <w:tcPr>
            <w:tcW w:w="8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Loans, net of debt issuance costs</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427,698</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337,063</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23,946</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20,430</w:t>
            </w:r>
          </w:p>
        </w:tc>
        <w:tc>
          <w:tcPr>
            <w:tcW w:w="0" w:type="dxa"/>
            <w:vAlign w:val="bottom"/>
          </w:tcPr>
          <w:p>
            <w:pPr>
              <w:spacing w:after="0"/>
              <w:rPr>
                <w:sz w:val="1"/>
                <w:szCs w:val="1"/>
                <w:color w:val="auto"/>
              </w:rPr>
            </w:pPr>
          </w:p>
        </w:tc>
      </w:tr>
      <w:tr>
        <w:trPr>
          <w:trHeight w:val="186"/>
        </w:trPr>
        <w:tc>
          <w:tcPr>
            <w:tcW w:w="8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548,708</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461,712</w:t>
            </w:r>
          </w:p>
        </w:tc>
        <w:tc>
          <w:tcPr>
            <w:tcW w:w="0" w:type="dxa"/>
            <w:vAlign w:val="bottom"/>
          </w:tcPr>
          <w:p>
            <w:pPr>
              <w:spacing w:after="0"/>
              <w:rPr>
                <w:sz w:val="1"/>
                <w:szCs w:val="1"/>
                <w:color w:val="auto"/>
              </w:rPr>
            </w:pPr>
          </w:p>
        </w:tc>
      </w:tr>
      <w:tr>
        <w:trPr>
          <w:trHeight w:val="23"/>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Commitments and contingencies </w:t>
            </w:r>
            <w:r>
              <w:rPr>
                <w:rFonts w:ascii="Times New Roman" w:cs="Times New Roman" w:eastAsia="Times New Roman" w:hAnsi="Times New Roman"/>
                <w:sz w:val="14"/>
                <w:szCs w:val="14"/>
                <w:i w:val="1"/>
                <w:iCs w:val="1"/>
                <w:color w:val="auto"/>
              </w:rPr>
              <w:t>Note 12</w:t>
            </w: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preferred non-controlling interests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130,000</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Redeemable non-controlling interests</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343,467</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377,898</w:t>
            </w:r>
          </w:p>
        </w:tc>
        <w:tc>
          <w:tcPr>
            <w:tcW w:w="0" w:type="dxa"/>
            <w:vAlign w:val="bottom"/>
          </w:tcPr>
          <w:p>
            <w:pPr>
              <w:spacing w:after="0"/>
              <w:rPr>
                <w:sz w:val="1"/>
                <w:szCs w:val="1"/>
                <w:color w:val="auto"/>
              </w:rPr>
            </w:pPr>
          </w:p>
        </w:tc>
      </w:tr>
      <w:tr>
        <w:trPr>
          <w:trHeight w:val="193"/>
        </w:trPr>
        <w:tc>
          <w:tcPr>
            <w:tcW w:w="8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 common stock, $0.0001 par value, shares issued: 31,993,327 and 30,633,161 as of March 31, 2026 and December 31, 2025,</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respectively; shares outstanding: 30,357,544 and 28,997,378 as of March 31, 2026 and December 31, 2025, respectively</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8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B common stock, $0.0001 par value, 121,500,000 issued and outstanding as of March 31, 2026 and December 31, 2025</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C common stock, $0.0001 par value; none issued and outstanding as of March 31, 2026 and December 31, 2025</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5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Class D common stock, $0.0001 par value, 22,899,037 shares issued and outstanding as of March 31, 2026 and December 31, 2025</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Retained earnings (accumulated deficit)</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19,632</w:t>
            </w:r>
          </w:p>
        </w:tc>
        <w:tc>
          <w:tcPr>
            <w:tcW w:w="1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0" w:type="dxa"/>
            <w:vAlign w:val="bottom"/>
          </w:tcPr>
          <w:p>
            <w:pPr>
              <w:spacing w:after="0"/>
              <w:rPr>
                <w:sz w:val="1"/>
                <w:szCs w:val="1"/>
                <w:color w:val="auto"/>
              </w:rPr>
            </w:pPr>
          </w:p>
        </w:tc>
      </w:tr>
      <w:tr>
        <w:trPr>
          <w:trHeight w:val="193"/>
        </w:trPr>
        <w:tc>
          <w:tcPr>
            <w:tcW w:w="8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3"/>
        </w:trPr>
        <w:tc>
          <w:tcPr>
            <w:tcW w:w="8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 common stock in treasury, at cost; 1,635,783 as of March 31, 2026 and December 31, 2025</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0" w:type="dxa"/>
            <w:vAlign w:val="bottom"/>
          </w:tcPr>
          <w:p>
            <w:pPr>
              <w:spacing w:after="0"/>
              <w:rPr>
                <w:sz w:val="1"/>
                <w:szCs w:val="1"/>
                <w:color w:val="auto"/>
              </w:rPr>
            </w:pPr>
          </w:p>
        </w:tc>
      </w:tr>
      <w:tr>
        <w:trPr>
          <w:trHeight w:val="186"/>
        </w:trPr>
        <w:tc>
          <w:tcPr>
            <w:tcW w:w="8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equity (deficit) attributable to the Company</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8,219</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(12,930)</w:t>
            </w:r>
          </w:p>
        </w:tc>
        <w:tc>
          <w:tcPr>
            <w:tcW w:w="0" w:type="dxa"/>
            <w:vAlign w:val="bottom"/>
          </w:tcPr>
          <w:p>
            <w:pPr>
              <w:spacing w:after="0"/>
              <w:rPr>
                <w:sz w:val="1"/>
                <w:szCs w:val="1"/>
                <w:color w:val="auto"/>
              </w:rPr>
            </w:pPr>
          </w:p>
        </w:tc>
      </w:tr>
      <w:tr>
        <w:trPr>
          <w:trHeight w:val="23"/>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Non-redeemable non-controlling interests</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10,208</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w:t>
            </w:r>
          </w:p>
        </w:tc>
        <w:tc>
          <w:tcPr>
            <w:tcW w:w="0" w:type="dxa"/>
            <w:vAlign w:val="bottom"/>
          </w:tcPr>
          <w:p>
            <w:pPr>
              <w:spacing w:after="0"/>
              <w:rPr>
                <w:sz w:val="1"/>
                <w:szCs w:val="1"/>
                <w:color w:val="auto"/>
              </w:rPr>
            </w:pPr>
          </w:p>
        </w:tc>
      </w:tr>
      <w:tr>
        <w:trPr>
          <w:trHeight w:val="186"/>
        </w:trPr>
        <w:tc>
          <w:tcPr>
            <w:tcW w:w="8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18,427</w:t>
            </w:r>
          </w:p>
        </w:tc>
        <w:tc>
          <w:tcPr>
            <w:tcW w:w="1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(10,141)</w:t>
            </w:r>
          </w:p>
        </w:tc>
        <w:tc>
          <w:tcPr>
            <w:tcW w:w="0" w:type="dxa"/>
            <w:vAlign w:val="bottom"/>
          </w:tcPr>
          <w:p>
            <w:pPr>
              <w:spacing w:after="0"/>
              <w:rPr>
                <w:sz w:val="1"/>
                <w:szCs w:val="1"/>
                <w:color w:val="auto"/>
              </w:rPr>
            </w:pPr>
          </w:p>
        </w:tc>
      </w:tr>
      <w:tr>
        <w:trPr>
          <w:trHeight w:val="23"/>
        </w:trPr>
        <w:tc>
          <w:tcPr>
            <w:tcW w:w="8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85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 redeemable preferred, redeemable non-controlling interests and stockholders' equity (deficit)</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1,060,602</w:t>
            </w: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959,469</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Includes amounts related to consolidated VIEs, which are presented separately in the table below.</w:t>
      </w:r>
    </w:p>
    <w:p>
      <w:pPr>
        <w:spacing w:after="0" w:line="161" w:lineRule="exact"/>
        <w:rPr>
          <w:sz w:val="20"/>
          <w:szCs w:val="20"/>
          <w:color w:val="auto"/>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Includes related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amounts of $15,327 and $13,318 as of March 31, 2026 and 2025, respectively.</w:t>
      </w:r>
    </w:p>
    <w:p>
      <w:pPr>
        <w:spacing w:after="0" w:line="15"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9"/>
          <w:szCs w:val="9"/>
          <w:color w:val="auto"/>
        </w:rPr>
        <w:t xml:space="preserve">(3) </w:t>
      </w:r>
      <w:r>
        <w:rPr>
          <w:rFonts w:ascii="Times New Roman" w:cs="Times New Roman" w:eastAsia="Times New Roman" w:hAnsi="Times New Roman"/>
          <w:sz w:val="14"/>
          <w:szCs w:val="14"/>
          <w:color w:val="auto"/>
        </w:rPr>
        <w:t>Includes related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party amounts of $3,046 and $8,951 as of March 31, 2026 and 2025, respectively.</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type w:val="continuous"/>
        </w:sectPr>
      </w:pPr>
    </w:p>
    <w:bookmarkStart w:id="14" w:name="page15"/>
    <w:bookmarkEnd w:id="14"/>
    <w:p>
      <w:pPr>
        <w:ind w:left="5010"/>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ind w:left="277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ind w:left="307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79" w:lineRule="exact"/>
        <w:rPr>
          <w:sz w:val="20"/>
          <w:szCs w:val="20"/>
          <w:color w:val="auto"/>
        </w:rPr>
      </w:pPr>
    </w:p>
    <w:tbl>
      <w:tblPr>
        <w:tblLayout w:type="fixed"/>
        <w:tblInd w:w="870" w:type="dxa"/>
        <w:tblCellMar>
          <w:top w:w="0" w:type="dxa"/>
          <w:left w:w="0" w:type="dxa"/>
          <w:bottom w:w="0" w:type="dxa"/>
          <w:right w:w="0" w:type="dxa"/>
        </w:tblCellMar>
      </w:tblPr>
      <w:tr>
        <w:trPr>
          <w:trHeight w:val="223"/>
        </w:trPr>
        <w:tc>
          <w:tcPr>
            <w:tcW w:w="5980" w:type="dxa"/>
            <w:vAlign w:val="bottom"/>
            <w:shd w:val="clear" w:color="auto" w:fill="CCEEFF"/>
          </w:tcPr>
          <w:p>
            <w:pPr>
              <w:spacing w:after="0"/>
              <w:rPr>
                <w:sz w:val="19"/>
                <w:szCs w:val="19"/>
                <w:color w:val="auto"/>
              </w:rPr>
            </w:pPr>
          </w:p>
        </w:tc>
        <w:tc>
          <w:tcPr>
            <w:tcW w:w="26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shd w:val="clear" w:color="auto" w:fill="CCEEFF"/>
          </w:tcPr>
          <w:p>
            <w:pPr>
              <w:spacing w:after="0"/>
              <w:rPr>
                <w:sz w:val="19"/>
                <w:szCs w:val="19"/>
                <w:color w:val="auto"/>
              </w:rPr>
            </w:pPr>
          </w:p>
        </w:tc>
      </w:tr>
      <w:tr>
        <w:trPr>
          <w:trHeight w:val="193"/>
        </w:trPr>
        <w:tc>
          <w:tcPr>
            <w:tcW w:w="59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6"/>
                <w:szCs w:val="16"/>
                <w:color w:val="auto"/>
              </w:rPr>
            </w:pPr>
          </w:p>
        </w:tc>
      </w:tr>
      <w:tr>
        <w:trPr>
          <w:trHeight w:val="23"/>
        </w:trPr>
        <w:tc>
          <w:tcPr>
            <w:tcW w:w="5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6"/>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93"/>
        </w:trPr>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RNG fuel</w:t>
            </w:r>
          </w:p>
        </w:tc>
        <w:tc>
          <w:tcPr>
            <w:tcW w:w="100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21,638</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27,599</w:t>
            </w:r>
          </w:p>
        </w:tc>
      </w:tr>
      <w:tr>
        <w:trPr>
          <w:trHeight w:val="23"/>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5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Fuel station services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44,566</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50,678</w:t>
            </w:r>
          </w:p>
        </w:tc>
      </w:tr>
      <w:tr>
        <w:trPr>
          <w:trHeight w:val="193"/>
        </w:trPr>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Renewable power</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7,171</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7,130</w:t>
            </w:r>
          </w:p>
        </w:tc>
      </w:tr>
      <w:tr>
        <w:trPr>
          <w:trHeight w:val="23"/>
        </w:trPr>
        <w:tc>
          <w:tcPr>
            <w:tcW w:w="5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73,375</w:t>
            </w:r>
          </w:p>
        </w:tc>
        <w:tc>
          <w:tcPr>
            <w:tcW w:w="10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85,407</w:t>
            </w:r>
          </w:p>
        </w:tc>
      </w:tr>
      <w:tr>
        <w:trPr>
          <w:trHeight w:val="173"/>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0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r>
      <w:tr>
        <w:trPr>
          <w:trHeight w:val="23"/>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5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 RNG fuel</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12,829</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12,153</w:t>
            </w:r>
          </w:p>
        </w:tc>
      </w:tr>
      <w:tr>
        <w:trPr>
          <w:trHeight w:val="193"/>
        </w:trPr>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Cost of sales - Fuel station services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35,390</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39,722</w:t>
            </w:r>
          </w:p>
        </w:tc>
      </w:tr>
      <w:tr>
        <w:trPr>
          <w:trHeight w:val="23"/>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5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Cost of sales - Renewable power</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5,630</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6,762</w:t>
            </w:r>
          </w:p>
        </w:tc>
      </w:tr>
      <w:tr>
        <w:trPr>
          <w:trHeight w:val="193"/>
        </w:trPr>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Project development and start up costs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6,081</w:t>
            </w:r>
          </w:p>
        </w:tc>
      </w:tr>
      <w:tr>
        <w:trPr>
          <w:trHeight w:val="23"/>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5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15,184</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15,967</w:t>
            </w:r>
          </w:p>
        </w:tc>
      </w:tr>
      <w:tr>
        <w:trPr>
          <w:trHeight w:val="193"/>
        </w:trPr>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5,942</w:t>
            </w:r>
          </w:p>
        </w:tc>
      </w:tr>
      <w:tr>
        <w:trPr>
          <w:trHeight w:val="23"/>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5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Impairment loss</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from equity method investments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722</w:t>
            </w:r>
          </w:p>
        </w:tc>
      </w:tr>
      <w:tr>
        <w:trPr>
          <w:trHeight w:val="23"/>
        </w:trPr>
        <w:tc>
          <w:tcPr>
            <w:tcW w:w="5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09"/>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78,218</w:t>
            </w:r>
          </w:p>
        </w:tc>
        <w:tc>
          <w:tcPr>
            <w:tcW w:w="10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87,349</w:t>
            </w:r>
          </w:p>
        </w:tc>
      </w:tr>
      <w:tr>
        <w:trPr>
          <w:trHeight w:val="186"/>
        </w:trPr>
        <w:tc>
          <w:tcPr>
            <w:tcW w:w="5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Operating income</w:t>
            </w: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(4,843)</w:t>
            </w:r>
          </w:p>
        </w:tc>
        <w:tc>
          <w:tcPr>
            <w:tcW w:w="10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(1,942)</w:t>
            </w:r>
          </w:p>
        </w:tc>
      </w:tr>
      <w:tr>
        <w:trPr>
          <w:trHeight w:val="23"/>
        </w:trPr>
        <w:tc>
          <w:tcPr>
            <w:tcW w:w="5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76"/>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r>
      <w:tr>
        <w:trPr>
          <w:trHeight w:val="192"/>
        </w:trPr>
        <w:tc>
          <w:tcPr>
            <w:tcW w:w="59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 and financing expense, net</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(5,884)</w:t>
            </w: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(6,065)</w:t>
            </w:r>
          </w:p>
        </w:tc>
      </w:tr>
      <w:tr>
        <w:trPr>
          <w:trHeight w:val="23"/>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6"/>
        </w:trPr>
        <w:tc>
          <w:tcPr>
            <w:tcW w:w="59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Other income</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0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w:t>
            </w:r>
          </w:p>
        </w:tc>
      </w:tr>
      <w:tr>
        <w:trPr>
          <w:trHeight w:val="186"/>
        </w:trPr>
        <w:tc>
          <w:tcPr>
            <w:tcW w:w="5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other expenses</w:t>
            </w: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(6,459)</w:t>
            </w:r>
          </w:p>
        </w:tc>
        <w:tc>
          <w:tcPr>
            <w:tcW w:w="10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(4,811)</w:t>
            </w:r>
          </w:p>
        </w:tc>
      </w:tr>
      <w:tr>
        <w:trPr>
          <w:trHeight w:val="23"/>
        </w:trPr>
        <w:tc>
          <w:tcPr>
            <w:tcW w:w="5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(loss) income before income tax benefit</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(11,302)</w:t>
            </w:r>
          </w:p>
        </w:tc>
        <w:tc>
          <w:tcPr>
            <w:tcW w:w="10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(6,753)</w:t>
            </w:r>
          </w:p>
        </w:tc>
      </w:tr>
      <w:tr>
        <w:trPr>
          <w:trHeight w:val="186"/>
        </w:trPr>
        <w:tc>
          <w:tcPr>
            <w:tcW w:w="5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Income tax benefit</w:t>
            </w: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10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8,037</w:t>
            </w:r>
          </w:p>
        </w:tc>
      </w:tr>
      <w:tr>
        <w:trPr>
          <w:trHeight w:val="23"/>
        </w:trPr>
        <w:tc>
          <w:tcPr>
            <w:tcW w:w="5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10"/>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(5,593)</w:t>
            </w:r>
          </w:p>
        </w:tc>
        <w:tc>
          <w:tcPr>
            <w:tcW w:w="10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r>
      <w:tr>
        <w:trPr>
          <w:trHeight w:val="186"/>
        </w:trPr>
        <w:tc>
          <w:tcPr>
            <w:tcW w:w="5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 attributable to redeemable non-controlling interest</w:t>
            </w:r>
          </w:p>
        </w:tc>
        <w:tc>
          <w:tcPr>
            <w:tcW w:w="10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(12,567)</w:t>
            </w:r>
          </w:p>
        </w:tc>
        <w:tc>
          <w:tcPr>
            <w:tcW w:w="10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(1,174)</w:t>
            </w:r>
          </w:p>
        </w:tc>
      </w:tr>
      <w:tr>
        <w:trPr>
          <w:trHeight w:val="23"/>
        </w:trPr>
        <w:tc>
          <w:tcPr>
            <w:tcW w:w="5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196"/>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attributable to non-redeemable non-controlling interest</w:t>
            </w:r>
          </w:p>
        </w:tc>
        <w:tc>
          <w:tcPr>
            <w:tcW w:w="10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93"/>
        </w:trPr>
        <w:tc>
          <w:tcPr>
            <w:tcW w:w="59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Dividends on redeemable preferred non-controlling interests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9,534</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w:t>
            </w:r>
          </w:p>
        </w:tc>
      </w:tr>
      <w:tr>
        <w:trPr>
          <w:trHeight w:val="23"/>
        </w:trPr>
        <w:tc>
          <w:tcPr>
            <w:tcW w:w="5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5"/>
        </w:trPr>
        <w:tc>
          <w:tcPr>
            <w:tcW w:w="5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income attributable to Class A common stockholders</w:t>
            </w:r>
          </w:p>
        </w:tc>
        <w:tc>
          <w:tcPr>
            <w:tcW w:w="100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(2,642)</w:t>
            </w:r>
          </w:p>
        </w:tc>
        <w:tc>
          <w:tcPr>
            <w:tcW w:w="1060" w:type="dxa"/>
            <w:vAlign w:val="bottom"/>
            <w:tcBorders>
              <w:bottom w:val="single" w:sz="8" w:color="CCEEFF"/>
            </w:tcBorders>
            <w:shd w:val="clear" w:color="auto" w:fill="CCEEFF"/>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130" w:hanging="130"/>
        <w:spacing w:after="0"/>
        <w:tabs>
          <w:tab w:leader="none" w:pos="130" w:val="left"/>
        </w:tabs>
        <w:numPr>
          <w:ilvl w:val="0"/>
          <w:numId w:val="1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revenues from related parties of $17,042 and $20,101 for the three months ended March 31, 2026 and 2025, respectively.</w:t>
      </w:r>
    </w:p>
    <w:p>
      <w:pPr>
        <w:spacing w:after="0" w:line="136" w:lineRule="exact"/>
        <w:rPr>
          <w:rFonts w:ascii="Times New Roman" w:cs="Times New Roman" w:eastAsia="Times New Roman" w:hAnsi="Times New Roman"/>
          <w:sz w:val="16"/>
          <w:szCs w:val="16"/>
          <w:color w:val="auto"/>
          <w:vertAlign w:val="superscript"/>
        </w:rPr>
      </w:pPr>
    </w:p>
    <w:p>
      <w:pPr>
        <w:ind w:left="150" w:hanging="150"/>
        <w:spacing w:after="0"/>
        <w:tabs>
          <w:tab w:leader="none" w:pos="150" w:val="left"/>
        </w:tabs>
        <w:numPr>
          <w:ilvl w:val="0"/>
          <w:numId w:val="1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revenues from related parties of $13,107 and $16,603 for the three months ended March 31, 2026 and 2025, respectively.</w:t>
      </w:r>
    </w:p>
    <w:p>
      <w:pPr>
        <w:spacing w:after="0" w:line="162" w:lineRule="exact"/>
        <w:rPr>
          <w:rFonts w:ascii="Times New Roman" w:cs="Times New Roman" w:eastAsia="Times New Roman" w:hAnsi="Times New Roman"/>
          <w:sz w:val="19"/>
          <w:szCs w:val="19"/>
          <w:color w:val="auto"/>
          <w:vertAlign w:val="superscript"/>
        </w:rPr>
      </w:pPr>
    </w:p>
    <w:p>
      <w:pPr>
        <w:ind w:left="150" w:hanging="150"/>
        <w:spacing w:after="0"/>
        <w:tabs>
          <w:tab w:leader="none" w:pos="150" w:val="left"/>
        </w:tabs>
        <w:numPr>
          <w:ilvl w:val="0"/>
          <w:numId w:val="1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Includes revenues from related parties of $872 and $1,166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41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0030"/>
          </w:cols>
          <w:pgMar w:left="490" w:top="1413" w:right="13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68"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22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193"/>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900" w:type="dxa"/>
            <w:vAlign w:val="bottom"/>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(5,593)</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1,284</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0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income to net cash provided by operating activities:</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5,942</w:t>
            </w: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2,055</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r>
      <w:tr>
        <w:trPr>
          <w:trHeight w:val="195"/>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Allowance for accounts receivable</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from investments in other entities</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w:t>
            </w:r>
          </w:p>
        </w:tc>
      </w:tr>
      <w:tr>
        <w:trPr>
          <w:trHeight w:val="193"/>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 from return on investments in other entities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8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1,240</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Changes in operating assets and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r>
      <w:tr>
        <w:trPr>
          <w:trHeight w:val="216"/>
        </w:trPr>
        <w:tc>
          <w:tcPr>
            <w:tcW w:w="8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Accounts receivable</w:t>
            </w:r>
            <w:r>
              <w:rPr>
                <w:rFonts w:ascii="Times New Roman" w:cs="Times New Roman" w:eastAsia="Times New Roman" w:hAnsi="Times New Roman"/>
                <w:sz w:val="18"/>
                <w:szCs w:val="18"/>
                <w:color w:val="auto"/>
                <w:vertAlign w:val="superscript"/>
              </w:rPr>
              <w:t>(1)</w:t>
            </w:r>
          </w:p>
        </w:tc>
        <w:tc>
          <w:tcPr>
            <w:tcW w:w="9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18,918</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8,689</w:t>
            </w:r>
          </w:p>
        </w:tc>
      </w:tr>
      <w:tr>
        <w:trPr>
          <w:trHeight w:val="196"/>
        </w:trPr>
        <w:tc>
          <w:tcPr>
            <w:tcW w:w="8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Parts inventory</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r>
      <w:tr>
        <w:trPr>
          <w:trHeight w:val="193"/>
        </w:trPr>
        <w:tc>
          <w:tcPr>
            <w:tcW w:w="8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Prepaid expenses and other current and long-term assets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8,799</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10,810</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8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Accounts payable</w:t>
            </w:r>
            <w:r>
              <w:rPr>
                <w:rFonts w:ascii="Times New Roman" w:cs="Times New Roman" w:eastAsia="Times New Roman" w:hAnsi="Times New Roman"/>
                <w:sz w:val="18"/>
                <w:szCs w:val="18"/>
                <w:color w:val="auto"/>
                <w:vertAlign w:val="superscript"/>
              </w:rPr>
              <w:t>(2)</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(9,088)</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4,621</w:t>
            </w:r>
          </w:p>
        </w:tc>
      </w:tr>
      <w:tr>
        <w:trPr>
          <w:trHeight w:val="193"/>
        </w:trPr>
        <w:tc>
          <w:tcPr>
            <w:tcW w:w="8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Accrued expenses and other current and non-current liabilities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(2,902)</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w:t>
            </w:r>
          </w:p>
        </w:tc>
      </w:tr>
      <w:tr>
        <w:trPr>
          <w:trHeight w:val="2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12,916</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29,679</w:t>
            </w:r>
          </w:p>
        </w:tc>
      </w:tr>
      <w:tr>
        <w:trPr>
          <w:trHeight w:val="17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r>
      <w:tr>
        <w:trPr>
          <w:trHeight w:val="20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(24,367)</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(11,566)</w:t>
            </w:r>
          </w:p>
        </w:tc>
      </w:tr>
      <w:tr>
        <w:trPr>
          <w:trHeight w:val="193"/>
        </w:trPr>
        <w:tc>
          <w:tcPr>
            <w:tcW w:w="8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Distributions from return of investments in other entities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5,961</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7,939</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8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Cash paid, related to investments in other entities</w:t>
            </w: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(5,650)</w:t>
            </w:r>
          </w:p>
        </w:tc>
      </w:tr>
      <w:tr>
        <w:trPr>
          <w:trHeight w:val="18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(19,384)</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(9,277)</w:t>
            </w:r>
          </w:p>
        </w:tc>
      </w:tr>
      <w:tr>
        <w:trPr>
          <w:trHeight w:val="2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93"/>
        </w:trPr>
        <w:tc>
          <w:tcPr>
            <w:tcW w:w="8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loans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128,382</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8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Repayment of loans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(33,058)</w:t>
            </w: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r>
      <w:tr>
        <w:trPr>
          <w:trHeight w:val="193"/>
        </w:trPr>
        <w:tc>
          <w:tcPr>
            <w:tcW w:w="8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Proceeds from redeemable preferred non-controlling interest and warrants issuance, net of issuance costs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116,670</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8220" w:type="dxa"/>
            <w:vAlign w:val="bottom"/>
            <w:shd w:val="clear" w:color="auto" w:fill="CCEEFF"/>
          </w:tcPr>
          <w:p>
            <w:pPr>
              <w:ind w:left="160"/>
              <w:spacing w:after="0" w:line="161" w:lineRule="exact"/>
              <w:rPr>
                <w:sz w:val="20"/>
                <w:szCs w:val="20"/>
                <w:color w:val="auto"/>
              </w:rPr>
            </w:pPr>
            <w:r>
              <w:rPr>
                <w:rFonts w:ascii="Times New Roman" w:cs="Times New Roman" w:eastAsia="Times New Roman" w:hAnsi="Times New Roman"/>
                <w:sz w:val="14"/>
                <w:szCs w:val="14"/>
                <w:color w:val="auto"/>
              </w:rPr>
              <w:t>Redemption of redeemable preferred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controlling interest</w:t>
            </w:r>
          </w:p>
        </w:tc>
        <w:tc>
          <w:tcPr>
            <w:tcW w:w="9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Financing costs paid to other third parties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(1,250)</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8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Repayment of principal portion of finance lease liabilities</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w:t>
            </w: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Payment of preferred dividends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(3,444)</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(2,617)</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96"/>
        </w:trPr>
        <w:tc>
          <w:tcPr>
            <w:tcW w:w="8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Distribution to non-redeemable non-controlling interest</w:t>
            </w:r>
          </w:p>
        </w:tc>
        <w:tc>
          <w:tcPr>
            <w:tcW w:w="9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193"/>
        </w:trPr>
        <w:tc>
          <w:tcPr>
            <w:tcW w:w="82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Cash paid for taxes related to net share settlement of equity awards</w:t>
            </w:r>
          </w:p>
        </w:tc>
        <w:tc>
          <w:tcPr>
            <w:tcW w:w="9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w:t>
            </w:r>
          </w:p>
        </w:tc>
      </w:tr>
      <w:tr>
        <w:trPr>
          <w:trHeight w:val="23"/>
        </w:trPr>
        <w:tc>
          <w:tcPr>
            <w:tcW w:w="8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8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Capital contribution from non-redeemable non-controlling interests</w:t>
            </w: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7,402</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9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115,124</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(4,732)</w:t>
            </w:r>
          </w:p>
        </w:tc>
      </w:tr>
      <w:tr>
        <w:trPr>
          <w:trHeight w:val="2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restricted cash, and cash equivalents</w:t>
            </w:r>
          </w:p>
        </w:tc>
        <w:tc>
          <w:tcPr>
            <w:tcW w:w="9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108,656</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15,670</w:t>
            </w:r>
          </w:p>
        </w:tc>
      </w:tr>
      <w:tr>
        <w:trPr>
          <w:trHeight w:val="186"/>
        </w:trPr>
        <w:tc>
          <w:tcPr>
            <w:tcW w:w="8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restricted cash, and cash equivalents, beginning of period</w:t>
            </w:r>
          </w:p>
        </w:tc>
        <w:tc>
          <w:tcPr>
            <w:tcW w:w="9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28,318</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29,228</w:t>
            </w:r>
          </w:p>
        </w:tc>
      </w:tr>
      <w:tr>
        <w:trPr>
          <w:trHeight w:val="23"/>
        </w:trPr>
        <w:tc>
          <w:tcPr>
            <w:tcW w:w="8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5"/>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restricted cash, and cash equivalents, end of period</w:t>
            </w:r>
          </w:p>
        </w:tc>
        <w:tc>
          <w:tcPr>
            <w:tcW w:w="900" w:type="dxa"/>
            <w:vAlign w:val="bottom"/>
            <w:tcBorders>
              <w:bottom w:val="single" w:sz="8" w:color="auto"/>
            </w:tcBorders>
            <w:shd w:val="clear" w:color="auto" w:fill="CCEEFF"/>
          </w:tcPr>
          <w:p>
            <w:pPr>
              <w:jc w:val="right"/>
              <w:ind w:right="748"/>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136,974</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13"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color w:val="auto"/>
        </w:rPr>
        <w:t>Non-GAAP Financial Measures (Unaudited)</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This release includes various financial measures that are non-GAAP financial measures as defined under the rules of the Securities and Exchange Commission. We believe these measures provide important supplemental information to investors to use in evaluating ongoing operating results. We use these measures, together with accounting principles generally accepted in the United States ("GAAP" or "U.S. GAAP"), for internal managerial purposes and as a means to evaluate period-to-period comparisons. However, we do not, and you should not, rely on non-GAAP financial measures alone as measures of our performance. We believe that non-GAAP financial measures reflect an additional way of viewing aspects of our operations, that when taken together with GAAP results and the reconciliations to corresponding GAAP financial measures that we also provide, give a more complete understanding of factors and trends affecting our business. We strongly encourage you to review all of our financial statements and publicly filed reports in their entirety and to not solely rely on any single non-GAAP financial measure.</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Non-GAAP financial measures are limited as an analytical tool and should not be considered in isolation from, or as a substitute for, the Company's GAAP results. The Company expects to continue reporting non-GAAP financial measures, adjusting for the items described below (and/or other items that may arise in the future as the Company's management deems appropriate), and the Company expects to continue to incur expenses, charges or gains like the non-GAAP adjustments described below. Accordingly, unless expressly stated otherwise, the exclusion of these and other similar items in the presentation of non-GAAP financial measures should not be construed as an inference that these costs are unusual, infrequent, or non-recurring. These Non-GAAP financial measures are not recognized terms under GAAP and do not purport to be alternatives to GAAP net income or any other GAAP measure as indicators of operating performance. Moreover, because not all companies use identical measures and calculations, the Company's presentation of Non-GAAP financial measures may not be comparable to other similarly titled measures used by other companies. We strongly encourage you to review all of our financial statements and publicly filed reports in their entirety and to not solely rely on any single non-GAAP financial measure.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EBITDA</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To supplement the Company's unaudited condensed consolidated financial statements presented in accordance with GAAP, the Company uses a non-GAAP financial measure that it calls Adjusted EBITDA ("Adjusted EBITDA"). This non-GAAP financial measure adjusts net income for interest and financing expense, net, net income attributable to non-redeemable non-controlling interests, depreciation, amortization and accretion, adjustments to reflect Adjusted EBITDA from equity method investments, fair value changes and non-recurring charges, Stock-based compensation, major maintenance, RNG development costs, 45z generation and ITC proceeds, net.</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Management believes this non-GAAP financial measure provides meaningful supplemental information about the Company's performance, for the following reasons: (1) it allows for greater transparency with respect to key metrics used by management to assess the Company's operating performance and make financial and operational decisions; (2) the measure excludes the effect of items that management believes are not directly attributable to the Company's core operating performance and may obscure trends in the business; (3) the measure better aligns revenues with expenses; and (4) the measure is used by institutional investors and the analyst community to help analyze the Company's business. In future quarters, the Company may adjust for other expenditures, charges or gains to present non-GAAP financial measures that the Company's management believes are indicative of the Company's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0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0"/>
          <w:szCs w:val="20"/>
          <w:color w:val="auto"/>
        </w:rPr>
        <w:t>The following table presents the reconciliation of our net income to Adjusted EBITDA:</w:t>
      </w:r>
    </w:p>
    <w:p>
      <w:pPr>
        <w:spacing w:after="0" w:line="18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auto"/>
        </w:rPr>
        <w:t>Reconciliation of GAAP Net (Loss) Income to Adjusted EBITDA</w:t>
      </w:r>
    </w:p>
    <w:p>
      <w:pPr>
        <w:spacing w:after="0" w:line="3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For the Three Months Ended March 31, 2026</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dollars)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60" w:type="dxa"/>
            <w:vAlign w:val="bottom"/>
            <w:gridSpan w:val="5"/>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140" w:type="dxa"/>
            <w:vAlign w:val="bottom"/>
          </w:tcPr>
          <w:p>
            <w:pPr>
              <w:spacing w:after="0"/>
              <w:rPr>
                <w:sz w:val="11"/>
                <w:szCs w:val="11"/>
                <w:color w:val="auto"/>
              </w:rPr>
            </w:pPr>
          </w:p>
        </w:tc>
        <w:tc>
          <w:tcPr>
            <w:tcW w:w="940" w:type="dxa"/>
            <w:vAlign w:val="bottom"/>
          </w:tcPr>
          <w:p>
            <w:pPr>
              <w:jc w:val="right"/>
              <w:ind w:right="88"/>
              <w:spacing w:after="0" w:line="135"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140" w:type="dxa"/>
            <w:vAlign w:val="bottom"/>
          </w:tcPr>
          <w:p>
            <w:pPr>
              <w:spacing w:after="0"/>
              <w:rPr>
                <w:sz w:val="11"/>
                <w:szCs w:val="11"/>
                <w:color w:val="auto"/>
              </w:rPr>
            </w:pPr>
          </w:p>
        </w:tc>
        <w:tc>
          <w:tcPr>
            <w:tcW w:w="920" w:type="dxa"/>
            <w:vAlign w:val="bottom"/>
          </w:tcPr>
          <w:p>
            <w:pPr>
              <w:jc w:val="center"/>
              <w:ind w:right="68"/>
              <w:spacing w:after="0" w:line="135"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160" w:type="dxa"/>
            <w:vAlign w:val="bottom"/>
          </w:tcPr>
          <w:p>
            <w:pPr>
              <w:spacing w:after="0"/>
              <w:rPr>
                <w:sz w:val="11"/>
                <w:szCs w:val="11"/>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1"/>
                <w:szCs w:val="11"/>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7"/>
                <w:szCs w:val="17"/>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1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Net (loss) income </w:t>
            </w:r>
            <w:r>
              <w:rPr>
                <w:rFonts w:ascii="Times New Roman" w:cs="Times New Roman" w:eastAsia="Times New Roman" w:hAnsi="Times New Roman"/>
                <w:sz w:val="18"/>
                <w:szCs w:val="18"/>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(13,063)</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(5,591)</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Adjustments to reconcile net (loss) income to Adjusted EBITDA</w:t>
            </w: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 and financing expense, net</w:t>
            </w:r>
          </w:p>
        </w:tc>
        <w:tc>
          <w:tcPr>
            <w:tcW w:w="8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6,335</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5,884</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Net income attributable to non-redeemable non-controlling interests</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5"/>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8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3,093</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5,613</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Adjustments to reflect Adjusted EBITDA from equity method investments </w:t>
            </w:r>
            <w:r>
              <w:rPr>
                <w:rFonts w:ascii="Times New Roman" w:cs="Times New Roman" w:eastAsia="Times New Roman" w:hAnsi="Times New Roman"/>
                <w:sz w:val="18"/>
                <w:szCs w:val="18"/>
                <w:color w:val="auto"/>
                <w:vertAlign w:val="superscript"/>
              </w:rPr>
              <w:t>(2)</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4,937</w:t>
            </w:r>
          </w:p>
        </w:tc>
        <w:tc>
          <w:tcPr>
            <w:tcW w:w="0" w:type="dxa"/>
            <w:vAlign w:val="bottom"/>
          </w:tcPr>
          <w:p>
            <w:pPr>
              <w:spacing w:after="0"/>
              <w:rPr>
                <w:sz w:val="1"/>
                <w:szCs w:val="1"/>
                <w:color w:val="auto"/>
              </w:rPr>
            </w:pPr>
          </w:p>
        </w:tc>
      </w:tr>
      <w:tr>
        <w:trPr>
          <w:trHeight w:val="195"/>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Fair value changes and certain financing and ITC-related charges</w:t>
            </w:r>
          </w:p>
        </w:tc>
        <w:tc>
          <w:tcPr>
            <w:tcW w:w="8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1,636</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w:t>
            </w:r>
          </w:p>
        </w:tc>
        <w:tc>
          <w:tcPr>
            <w:tcW w:w="0" w:type="dxa"/>
            <w:vAlign w:val="bottom"/>
          </w:tcPr>
          <w:p>
            <w:pPr>
              <w:spacing w:after="0"/>
              <w:rPr>
                <w:sz w:val="1"/>
                <w:szCs w:val="1"/>
                <w:color w:val="auto"/>
              </w:rPr>
            </w:pPr>
          </w:p>
        </w:tc>
      </w:tr>
      <w:tr>
        <w:trPr>
          <w:trHeight w:val="203"/>
        </w:trPr>
        <w:tc>
          <w:tcPr>
            <w:tcW w:w="5200" w:type="dxa"/>
            <w:vAlign w:val="bottom"/>
          </w:tcPr>
          <w:p>
            <w:pPr>
              <w:ind w:left="60"/>
              <w:spacing w:after="0" w:line="202" w:lineRule="exact"/>
              <w:rPr>
                <w:sz w:val="20"/>
                <w:szCs w:val="20"/>
                <w:color w:val="auto"/>
              </w:rPr>
            </w:pPr>
            <w:r>
              <w:rPr>
                <w:rFonts w:ascii="Times New Roman" w:cs="Times New Roman" w:eastAsia="Times New Roman" w:hAnsi="Times New Roman"/>
                <w:sz w:val="14"/>
                <w:szCs w:val="14"/>
                <w:color w:val="auto"/>
              </w:rPr>
              <w:t xml:space="preserve">RNG development costs </w:t>
            </w:r>
            <w:r>
              <w:rPr>
                <w:rFonts w:ascii="Times New Roman" w:cs="Times New Roman" w:eastAsia="Times New Roman" w:hAnsi="Times New Roman"/>
                <w:sz w:val="18"/>
                <w:szCs w:val="18"/>
                <w:color w:val="auto"/>
                <w:vertAlign w:val="superscript"/>
              </w:rPr>
              <w:t>(3)</w:t>
            </w:r>
          </w:p>
        </w:tc>
        <w:tc>
          <w:tcPr>
            <w:tcW w:w="8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Major maintenance</w:t>
            </w: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w:t>
            </w:r>
          </w:p>
        </w:tc>
        <w:tc>
          <w:tcPr>
            <w:tcW w:w="0" w:type="dxa"/>
            <w:vAlign w:val="bottom"/>
          </w:tcPr>
          <w:p>
            <w:pPr>
              <w:spacing w:after="0"/>
              <w:rPr>
                <w:sz w:val="1"/>
                <w:szCs w:val="1"/>
                <w:color w:val="auto"/>
              </w:rPr>
            </w:pPr>
          </w:p>
        </w:tc>
      </w:tr>
      <w:tr>
        <w:trPr>
          <w:trHeight w:val="195"/>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45Z</w:t>
            </w:r>
          </w:p>
        </w:tc>
        <w:tc>
          <w:tcPr>
            <w:tcW w:w="8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4,922</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4,922</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Tax benefit, net</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(5,709)</w:t>
            </w:r>
          </w:p>
        </w:tc>
        <w:tc>
          <w:tcPr>
            <w:tcW w:w="0" w:type="dxa"/>
            <w:vAlign w:val="bottom"/>
          </w:tcPr>
          <w:p>
            <w:pPr>
              <w:spacing w:after="0"/>
              <w:rPr>
                <w:sz w:val="1"/>
                <w:szCs w:val="1"/>
                <w:color w:val="auto"/>
              </w:rPr>
            </w:pPr>
          </w:p>
        </w:tc>
      </w:tr>
      <w:tr>
        <w:trPr>
          <w:trHeight w:val="188"/>
        </w:trPr>
        <w:tc>
          <w:tcPr>
            <w:tcW w:w="5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Adjusted EBITDA</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16,684</w:t>
            </w: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(loss) income by segment is included in our quarterly report on Form 10-Q.</w:t>
      </w:r>
    </w:p>
    <w:p>
      <w:pPr>
        <w:spacing w:after="0" w:line="132"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interest, depreciation, amortization and accretion and RNG development costs incurred on equity method investments.</w:t>
      </w:r>
    </w:p>
    <w:p>
      <w:pPr>
        <w:spacing w:after="0" w:line="162" w:lineRule="exact"/>
        <w:rPr>
          <w:rFonts w:ascii="Times New Roman" w:cs="Times New Roman" w:eastAsia="Times New Roman" w:hAnsi="Times New Roman"/>
          <w:sz w:val="19"/>
          <w:szCs w:val="19"/>
          <w:color w:val="auto"/>
          <w:vertAlign w:val="superscript"/>
        </w:rPr>
      </w:pPr>
    </w:p>
    <w:p>
      <w:pPr>
        <w:ind w:left="140" w:hanging="132"/>
        <w:spacing w:after="0"/>
        <w:tabs>
          <w:tab w:leader="none" w:pos="140" w:val="left"/>
        </w:tabs>
        <w:numPr>
          <w:ilvl w:val="0"/>
          <w:numId w:val="1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development costs on our Central Valley and Prince William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Net Income (Loss) to Adjusted EBITDA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Three Months Ended March 31, 2025</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of dollars)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60" w:type="dxa"/>
            <w:vAlign w:val="bottom"/>
            <w:gridSpan w:val="5"/>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RNG Fuel</w:t>
            </w:r>
          </w:p>
        </w:tc>
        <w:tc>
          <w:tcPr>
            <w:tcW w:w="140" w:type="dxa"/>
            <w:vAlign w:val="bottom"/>
          </w:tcPr>
          <w:p>
            <w:pPr>
              <w:spacing w:after="0"/>
              <w:rPr>
                <w:sz w:val="11"/>
                <w:szCs w:val="11"/>
                <w:color w:val="auto"/>
              </w:rPr>
            </w:pPr>
          </w:p>
        </w:tc>
        <w:tc>
          <w:tcPr>
            <w:tcW w:w="940" w:type="dxa"/>
            <w:vAlign w:val="bottom"/>
          </w:tcPr>
          <w:p>
            <w:pPr>
              <w:jc w:val="right"/>
              <w:ind w:right="88"/>
              <w:spacing w:after="0" w:line="137" w:lineRule="exact"/>
              <w:rPr>
                <w:sz w:val="20"/>
                <w:szCs w:val="20"/>
                <w:color w:val="auto"/>
              </w:rPr>
            </w:pPr>
            <w:r>
              <w:rPr>
                <w:rFonts w:ascii="Times New Roman" w:cs="Times New Roman" w:eastAsia="Times New Roman" w:hAnsi="Times New Roman"/>
                <w:sz w:val="14"/>
                <w:szCs w:val="14"/>
                <w:b w:val="1"/>
                <w:bCs w:val="1"/>
                <w:color w:val="auto"/>
              </w:rPr>
              <w:t>Fuel Station</w:t>
            </w:r>
          </w:p>
        </w:tc>
        <w:tc>
          <w:tcPr>
            <w:tcW w:w="140" w:type="dxa"/>
            <w:vAlign w:val="bottom"/>
          </w:tcPr>
          <w:p>
            <w:pPr>
              <w:spacing w:after="0"/>
              <w:rPr>
                <w:sz w:val="11"/>
                <w:szCs w:val="11"/>
                <w:color w:val="auto"/>
              </w:rPr>
            </w:pPr>
          </w:p>
        </w:tc>
        <w:tc>
          <w:tcPr>
            <w:tcW w:w="920" w:type="dxa"/>
            <w:vAlign w:val="bottom"/>
          </w:tcPr>
          <w:p>
            <w:pPr>
              <w:jc w:val="center"/>
              <w:ind w:right="68"/>
              <w:spacing w:after="0" w:line="137"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160" w:type="dxa"/>
            <w:vAlign w:val="bottom"/>
          </w:tcPr>
          <w:p>
            <w:pPr>
              <w:spacing w:after="0"/>
              <w:rPr>
                <w:sz w:val="11"/>
                <w:szCs w:val="11"/>
                <w:color w:val="auto"/>
              </w:rPr>
            </w:pPr>
          </w:p>
        </w:tc>
        <w:tc>
          <w:tcPr>
            <w:tcW w:w="90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1"/>
                <w:szCs w:val="11"/>
                <w:color w:val="auto"/>
              </w:rPr>
            </w:pPr>
          </w:p>
        </w:tc>
        <w:tc>
          <w:tcPr>
            <w:tcW w:w="84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140" w:type="dxa"/>
            <w:vAlign w:val="bottom"/>
          </w:tcPr>
          <w:p>
            <w:pPr>
              <w:spacing w:after="0"/>
              <w:rPr>
                <w:sz w:val="16"/>
                <w:szCs w:val="16"/>
                <w:color w:val="auto"/>
              </w:rPr>
            </w:pPr>
          </w:p>
        </w:tc>
        <w:tc>
          <w:tcPr>
            <w:tcW w:w="9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9"/>
              </w:rPr>
              <w:t>Power</w:t>
            </w:r>
          </w:p>
        </w:tc>
        <w:tc>
          <w:tcPr>
            <w:tcW w:w="1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Net income (loss) </w:t>
            </w:r>
            <w:r>
              <w:rPr>
                <w:rFonts w:ascii="Times New Roman" w:cs="Times New Roman" w:eastAsia="Times New Roman" w:hAnsi="Times New Roman"/>
                <w:sz w:val="18"/>
                <w:szCs w:val="18"/>
                <w:color w:val="auto"/>
                <w:vertAlign w:val="superscript"/>
              </w:rPr>
              <w:t>(1)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w:t>
            </w:r>
          </w:p>
        </w:tc>
        <w:tc>
          <w:tcPr>
            <w:tcW w:w="0" w:type="dxa"/>
            <w:vAlign w:val="bottom"/>
          </w:tcPr>
          <w:p>
            <w:pPr>
              <w:spacing w:after="0"/>
              <w:rPr>
                <w:sz w:val="1"/>
                <w:szCs w:val="1"/>
                <w:color w:val="auto"/>
              </w:rPr>
            </w:pPr>
          </w:p>
        </w:tc>
      </w:tr>
      <w:tr>
        <w:trPr>
          <w:trHeight w:val="257"/>
        </w:trPr>
        <w:tc>
          <w:tcPr>
            <w:tcW w:w="5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(loss) to Adjusted EBITDA</w:t>
            </w: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financing expense, net</w:t>
            </w:r>
          </w:p>
        </w:tc>
        <w:tc>
          <w:tcPr>
            <w:tcW w:w="8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6,017</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6,065</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attributable to non-redeemable non-controlling interests</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amortization and accretion</w:t>
            </w:r>
          </w:p>
        </w:tc>
        <w:tc>
          <w:tcPr>
            <w:tcW w:w="8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2,034</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5,942</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 xml:space="preserve">Adjustments to reflect Adjusted EBITDA from equity method investments </w:t>
            </w:r>
            <w:r>
              <w:rPr>
                <w:rFonts w:ascii="Times New Roman" w:cs="Times New Roman" w:eastAsia="Times New Roman" w:hAnsi="Times New Roman"/>
                <w:sz w:val="18"/>
                <w:szCs w:val="18"/>
                <w:color w:val="auto"/>
                <w:vertAlign w:val="superscript"/>
              </w:rPr>
              <w:t>(2)</w:t>
            </w:r>
          </w:p>
        </w:tc>
        <w:tc>
          <w:tcPr>
            <w:tcW w:w="8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4,137</w:t>
            </w:r>
          </w:p>
        </w:tc>
        <w:tc>
          <w:tcPr>
            <w:tcW w:w="0" w:type="dxa"/>
            <w:vAlign w:val="bottom"/>
          </w:tcPr>
          <w:p>
            <w:pPr>
              <w:spacing w:after="0"/>
              <w:rPr>
                <w:sz w:val="1"/>
                <w:szCs w:val="1"/>
                <w:color w:val="auto"/>
              </w:rPr>
            </w:pPr>
          </w:p>
        </w:tc>
      </w:tr>
      <w:tr>
        <w:trPr>
          <w:trHeight w:val="203"/>
        </w:trPr>
        <w:tc>
          <w:tcPr>
            <w:tcW w:w="5200" w:type="dxa"/>
            <w:vAlign w:val="bottom"/>
          </w:tcPr>
          <w:p>
            <w:pPr>
              <w:ind w:left="60"/>
              <w:spacing w:after="0" w:line="202" w:lineRule="exact"/>
              <w:rPr>
                <w:sz w:val="20"/>
                <w:szCs w:val="20"/>
                <w:color w:val="auto"/>
              </w:rPr>
            </w:pPr>
            <w:r>
              <w:rPr>
                <w:rFonts w:ascii="Times New Roman" w:cs="Times New Roman" w:eastAsia="Times New Roman" w:hAnsi="Times New Roman"/>
                <w:sz w:val="14"/>
                <w:szCs w:val="14"/>
                <w:color w:val="auto"/>
              </w:rPr>
              <w:t xml:space="preserve">Fair value changes and non-recurring charges </w:t>
            </w:r>
            <w:r>
              <w:rPr>
                <w:rFonts w:ascii="Times New Roman" w:cs="Times New Roman" w:eastAsia="Times New Roman" w:hAnsi="Times New Roman"/>
                <w:sz w:val="18"/>
                <w:szCs w:val="18"/>
                <w:color w:val="auto"/>
                <w:vertAlign w:val="superscript"/>
              </w:rPr>
              <w:t>(3)</w:t>
            </w:r>
          </w:p>
        </w:tc>
        <w:tc>
          <w:tcPr>
            <w:tcW w:w="8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1,640</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w:t>
            </w: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1,751</w:t>
            </w:r>
          </w:p>
        </w:tc>
        <w:tc>
          <w:tcPr>
            <w:tcW w:w="0" w:type="dxa"/>
            <w:vAlign w:val="bottom"/>
          </w:tcPr>
          <w:p>
            <w:pPr>
              <w:spacing w:after="0"/>
              <w:rPr>
                <w:sz w:val="1"/>
                <w:szCs w:val="1"/>
                <w:color w:val="auto"/>
              </w:rPr>
            </w:pPr>
          </w:p>
        </w:tc>
      </w:tr>
      <w:tr>
        <w:trPr>
          <w:trHeight w:val="203"/>
        </w:trPr>
        <w:tc>
          <w:tcPr>
            <w:tcW w:w="5200" w:type="dxa"/>
            <w:vAlign w:val="bottom"/>
          </w:tcPr>
          <w:p>
            <w:pPr>
              <w:ind w:left="60"/>
              <w:spacing w:after="0" w:line="202" w:lineRule="exact"/>
              <w:rPr>
                <w:sz w:val="20"/>
                <w:szCs w:val="20"/>
                <w:color w:val="auto"/>
              </w:rPr>
            </w:pPr>
            <w:r>
              <w:rPr>
                <w:rFonts w:ascii="Times New Roman" w:cs="Times New Roman" w:eastAsia="Times New Roman" w:hAnsi="Times New Roman"/>
                <w:sz w:val="14"/>
                <w:szCs w:val="14"/>
                <w:color w:val="auto"/>
              </w:rPr>
              <w:t xml:space="preserve">RNG development costs </w:t>
            </w:r>
            <w:r>
              <w:rPr>
                <w:rFonts w:ascii="Times New Roman" w:cs="Times New Roman" w:eastAsia="Times New Roman" w:hAnsi="Times New Roman"/>
                <w:sz w:val="18"/>
                <w:szCs w:val="18"/>
                <w:color w:val="auto"/>
                <w:vertAlign w:val="superscript"/>
              </w:rPr>
              <w:t>(4)</w:t>
            </w:r>
          </w:p>
        </w:tc>
        <w:tc>
          <w:tcPr>
            <w:tcW w:w="8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5,169</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5,169</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Major maintenance</w:t>
            </w: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0" w:type="dxa"/>
            <w:vAlign w:val="bottom"/>
          </w:tcPr>
          <w:p>
            <w:pPr>
              <w:spacing w:after="0"/>
              <w:rPr>
                <w:sz w:val="1"/>
                <w:szCs w:val="1"/>
                <w:color w:val="auto"/>
              </w:rPr>
            </w:pPr>
          </w:p>
        </w:tc>
      </w:tr>
      <w:tr>
        <w:trPr>
          <w:trHeight w:val="195"/>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Tax benefit, net</w:t>
            </w:r>
          </w:p>
        </w:tc>
        <w:tc>
          <w:tcPr>
            <w:tcW w:w="8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(8,037)</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(8,037)</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(10,261)</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20,063</w:t>
            </w:r>
          </w:p>
        </w:tc>
        <w:tc>
          <w:tcPr>
            <w:tcW w:w="0" w:type="dxa"/>
            <w:vAlign w:val="bottom"/>
          </w:tcPr>
          <w:p>
            <w:pPr>
              <w:spacing w:after="0"/>
              <w:rPr>
                <w:sz w:val="1"/>
                <w:szCs w:val="1"/>
                <w:color w:val="auto"/>
              </w:rPr>
            </w:pPr>
          </w:p>
        </w:tc>
      </w:tr>
    </w:tbl>
    <w:p>
      <w:pPr>
        <w:spacing w:after="0" w:line="217" w:lineRule="exact"/>
        <w:rPr>
          <w:sz w:val="20"/>
          <w:szCs w:val="20"/>
          <w:color w:val="auto"/>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income (loss) by segment is included in our quarterly report on Form 10-Q.</w:t>
      </w:r>
    </w:p>
    <w:p>
      <w:pPr>
        <w:spacing w:after="0" w:line="132"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interest, depreciation, amortization and accretion and RNG development costs incurred on equity method investments.</w:t>
      </w:r>
    </w:p>
    <w:p>
      <w:pPr>
        <w:spacing w:after="0" w:line="132" w:lineRule="exact"/>
        <w:rPr>
          <w:rFonts w:ascii="Times New Roman" w:cs="Times New Roman" w:eastAsia="Times New Roman" w:hAnsi="Times New Roman"/>
          <w:sz w:val="19"/>
          <w:szCs w:val="19"/>
          <w:color w:val="auto"/>
          <w:vertAlign w:val="superscript"/>
        </w:rPr>
      </w:pPr>
    </w:p>
    <w:p>
      <w:pPr>
        <w:ind w:left="160" w:hanging="152"/>
        <w:spacing w:after="0"/>
        <w:tabs>
          <w:tab w:leader="none" w:pos="160" w:val="left"/>
        </w:tabs>
        <w:numPr>
          <w:ilvl w:val="0"/>
          <w:numId w:val="1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Includes changes in the fair value, ITC costs and one-time, non-recurring charges</w:t>
      </w:r>
    </w:p>
    <w:p>
      <w:pPr>
        <w:spacing w:after="0" w:line="162" w:lineRule="exact"/>
        <w:rPr>
          <w:rFonts w:ascii="Times New Roman" w:cs="Times New Roman" w:eastAsia="Times New Roman" w:hAnsi="Times New Roman"/>
          <w:sz w:val="19"/>
          <w:szCs w:val="19"/>
          <w:color w:val="auto"/>
          <w:vertAlign w:val="superscript"/>
        </w:rPr>
      </w:pPr>
    </w:p>
    <w:p>
      <w:pPr>
        <w:ind w:right="300" w:firstLine="8"/>
        <w:spacing w:after="0" w:line="362" w:lineRule="auto"/>
        <w:tabs>
          <w:tab w:leader="none" w:pos="132" w:val="left"/>
        </w:tabs>
        <w:numPr>
          <w:ilvl w:val="0"/>
          <w:numId w:val="1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Includes virtual pipeline costs on our Prince William and Polk facilities. These are temporary additional transportation costs incurred until a permanent pipeline solution is completed. Also includes RNG development costs which are lease costs related to Central Valley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sectPr>
      <w:pgSz w:w="11900" w:h="16838" w:orient="portrait"/>
      <w:cols w:equalWidth="0" w:num="1">
        <w:col w:w="11240"/>
      </w:cols>
      <w:pgMar w:left="320" w:top="13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lvl>
    <w:lvl w:ilvl="1">
      <w:lvlJc w:val="left"/>
      <w:lvlText w:val="•"/>
      <w:numFmt w:val="bullet"/>
      <w:start w:val="1"/>
    </w:lvl>
  </w:abstractNum>
  <w:abstractNum w:abstractNumId="3">
    <w:nsid w:val="12200854"/>
    <w:multiLevelType w:val="hybridMultilevel"/>
    <w:lvl w:ilvl="0">
      <w:lvlJc w:val="left"/>
      <w:lvlText w:val="(%1)"/>
      <w:numFmt w:val="decimal"/>
      <w:start w:val="2"/>
    </w:lvl>
    <w:lvl w:ilvl="1">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2"/>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914"/>
    </w:lvl>
  </w:abstractNum>
  <w:abstractNum w:abstractNumId="11">
    <w:nsid w:val="109CF92E"/>
    <w:multiLevelType w:val="hybridMultilevel"/>
    <w:lvl w:ilvl="0">
      <w:lvlJc w:val="left"/>
      <w:lvlText w:val="(%1)"/>
      <w:numFmt w:val="decimal"/>
      <w:start w:val="914"/>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2026-05-11T06:22:51Z</dcterms:created>
  <dcterms:modified xsi:type="dcterms:W3CDTF">2026-05-11T06:22:51Z</dcterms:modified>
</cp:coreProperties>
</file>