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40" w:type="dxa"/>
        <w:tblCellMar>
          <w:top w:w="0" w:type="dxa"/>
          <w:left w:w="0" w:type="dxa"/>
          <w:bottom w:w="0" w:type="dxa"/>
          <w:right w:w="0" w:type="dxa"/>
        </w:tblCellMar>
      </w:tblPr>
      <w:tr>
        <w:trPr>
          <w:trHeight w:val="212"/>
        </w:trPr>
        <w:tc>
          <w:tcPr>
            <w:tcW w:w="4280" w:type="dxa"/>
            <w:vAlign w:val="bottom"/>
          </w:tcPr>
          <w:p>
            <w:pPr>
              <w:jc w:val="center"/>
              <w:ind w:right="721"/>
              <w:spacing w:after="0"/>
              <w:rPr>
                <w:sz w:val="20"/>
                <w:szCs w:val="20"/>
                <w:color w:val="auto"/>
              </w:rPr>
            </w:pPr>
            <w:r>
              <w:rPr>
                <w:rFonts w:ascii="Arial" w:cs="Arial" w:eastAsia="Arial" w:hAnsi="Arial"/>
                <w:sz w:val="18"/>
                <w:szCs w:val="18"/>
                <w:b w:val="1"/>
                <w:bCs w:val="1"/>
                <w:color w:val="auto"/>
                <w:w w:val="90"/>
              </w:rPr>
              <w:t>Cayman Islands</w:t>
            </w:r>
          </w:p>
        </w:tc>
        <w:tc>
          <w:tcPr>
            <w:tcW w:w="2880" w:type="dxa"/>
            <w:vAlign w:val="bottom"/>
          </w:tcPr>
          <w:p>
            <w:pPr>
              <w:ind w:left="820"/>
              <w:spacing w:after="0"/>
              <w:rPr>
                <w:sz w:val="20"/>
                <w:szCs w:val="20"/>
                <w:color w:val="auto"/>
              </w:rPr>
            </w:pPr>
            <w:r>
              <w:rPr>
                <w:rFonts w:ascii="Arial" w:cs="Arial" w:eastAsia="Arial" w:hAnsi="Arial"/>
                <w:sz w:val="18"/>
                <w:szCs w:val="18"/>
                <w:b w:val="1"/>
                <w:bCs w:val="1"/>
                <w:color w:val="auto"/>
              </w:rPr>
              <w:t>001-40272</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98-1578357</w:t>
            </w:r>
          </w:p>
        </w:tc>
      </w:tr>
      <w:tr>
        <w:trPr>
          <w:trHeight w:val="148"/>
        </w:trPr>
        <w:tc>
          <w:tcPr>
            <w:tcW w:w="4280" w:type="dxa"/>
            <w:vAlign w:val="bottom"/>
          </w:tcPr>
          <w:p>
            <w:pPr>
              <w:jc w:val="center"/>
              <w:ind w:right="7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8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280" w:type="dxa"/>
            <w:vAlign w:val="bottom"/>
          </w:tcPr>
          <w:p>
            <w:pPr>
              <w:jc w:val="center"/>
              <w:ind w:right="721"/>
              <w:spacing w:after="0"/>
              <w:rPr>
                <w:sz w:val="20"/>
                <w:szCs w:val="20"/>
                <w:color w:val="auto"/>
              </w:rPr>
            </w:pPr>
            <w:r>
              <w:rPr>
                <w:rFonts w:ascii="Arial" w:cs="Arial" w:eastAsia="Arial" w:hAnsi="Arial"/>
                <w:sz w:val="14"/>
                <w:szCs w:val="14"/>
                <w:b w:val="1"/>
                <w:bCs w:val="1"/>
                <w:color w:val="auto"/>
                <w:w w:val="94"/>
              </w:rPr>
              <w:t>incorporation or organization)</w:t>
            </w:r>
          </w:p>
        </w:tc>
        <w:tc>
          <w:tcPr>
            <w:tcW w:w="2880" w:type="dxa"/>
            <w:vAlign w:val="bottom"/>
          </w:tcPr>
          <w:p>
            <w:pPr>
              <w:ind w:left="80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08"/>
        </w:trPr>
        <w:tc>
          <w:tcPr>
            <w:tcW w:w="4280" w:type="dxa"/>
            <w:vAlign w:val="bottom"/>
          </w:tcPr>
          <w:p>
            <w:pPr>
              <w:jc w:val="center"/>
              <w:ind w:right="701"/>
              <w:spacing w:after="0"/>
              <w:rPr>
                <w:sz w:val="20"/>
                <w:szCs w:val="20"/>
                <w:color w:val="auto"/>
              </w:rPr>
            </w:pPr>
            <w:r>
              <w:rPr>
                <w:rFonts w:ascii="Arial" w:cs="Arial" w:eastAsia="Arial" w:hAnsi="Arial"/>
                <w:sz w:val="18"/>
                <w:szCs w:val="18"/>
                <w:b w:val="1"/>
                <w:bCs w:val="1"/>
                <w:color w:val="auto"/>
                <w:w w:val="91"/>
              </w:rPr>
              <w:t>200 Clarendon Street, 55th Floor Boston, MA</w:t>
            </w:r>
          </w:p>
        </w:tc>
        <w:tc>
          <w:tcPr>
            <w:tcW w:w="2880" w:type="dxa"/>
            <w:vAlign w:val="bottom"/>
          </w:tcPr>
          <w:p>
            <w:pPr>
              <w:spacing w:after="0"/>
              <w:rPr>
                <w:sz w:val="24"/>
                <w:szCs w:val="24"/>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02116</w:t>
            </w:r>
          </w:p>
        </w:tc>
      </w:tr>
      <w:tr>
        <w:trPr>
          <w:trHeight w:val="186"/>
        </w:trPr>
        <w:tc>
          <w:tcPr>
            <w:tcW w:w="4280" w:type="dxa"/>
            <w:vAlign w:val="bottom"/>
          </w:tcPr>
          <w:p>
            <w:pPr>
              <w:jc w:val="center"/>
              <w:ind w:right="7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8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531-6300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Share, $0.0001 par value, and one-fifth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Redeemable warrants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 each whole warrant exercisable for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7"/>
              </w:rPr>
              <w:t>$11.50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p>
      <w:pPr>
        <w:ind w:left="120"/>
        <w:spacing w:after="0" w:line="207" w:lineRule="exact"/>
        <w:tabs>
          <w:tab w:leader="none" w:pos="2100" w:val="left"/>
          <w:tab w:leader="none" w:pos="8580" w:val="left"/>
          <w:tab w:leader="none" w:pos="10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520" w:space="480"/>
            <w:col w:w="5760" w:space="720"/>
            <w:col w:w="1980" w:space="340"/>
            <w:col w:w="160"/>
          </w:cols>
          <w:pgMar w:left="440" w:top="106" w:right="499" w:bottom="1440" w:gutter="0" w:footer="0" w:header="0"/>
        </w:sectPr>
      </w:pPr>
    </w:p>
    <w:p>
      <w:pPr>
        <w:spacing w:after="0" w:line="33"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60" w:space="340"/>
            <w:col w:w="160"/>
          </w:cols>
          <w:pgMar w:left="440" w:top="106" w:right="499" w:bottom="1440" w:gutter="0" w:footer="0" w:header="0"/>
          <w:type w:val="continuous"/>
        </w:sectPr>
      </w:pPr>
    </w:p>
    <w:p>
      <w:pPr>
        <w:spacing w:after="0" w:line="48"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November 5, 2021, 31,116,305 shares of Class A ordinary shares, par value $0.0001, and 7,779,076 shares of Class B ordinary shares,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06"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1"/>
        </w:trPr>
        <w:tc>
          <w:tcPr>
            <w:tcW w:w="10660" w:type="dxa"/>
            <w:vAlign w:val="bottom"/>
            <w:gridSpan w:val="24"/>
            <w:vMerge w:val="restart"/>
          </w:tcPr>
          <w:p>
            <w:pPr>
              <w:ind w:left="3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56"/>
        </w:trPr>
        <w:tc>
          <w:tcPr>
            <w:tcW w:w="10660" w:type="dxa"/>
            <w:vAlign w:val="bottom"/>
            <w:gridSpan w:val="24"/>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80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 as of September 30, 2021 (unaudited)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2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Statements of Operations for the Three Months ended September 30, 2021, and for the period from January 13,</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(inception) through September 30, 2021</w:t>
              </w:r>
            </w:hyperlink>
          </w:p>
        </w:tc>
        <w:tc>
          <w:tcPr>
            <w:tcW w:w="1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22"/>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Statement of Changes in Shareholders’ Deficit for the Three Months Ended September 30, 2021 and for the</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period from January 13, 2021 (inception) through September 30, 2021</w:t>
              </w:r>
            </w:hyperlink>
          </w:p>
        </w:tc>
        <w:tc>
          <w:tcPr>
            <w:tcW w:w="4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0" w:type="dxa"/>
            <w:vAlign w:val="bottom"/>
            <w:gridSpan w:val="22"/>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Unaudited Condensed Statement of Cash Flows for the period from January 13, 2021 (inception) through September 30, 2021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Financial Statements</w:t>
              </w:r>
            </w:hyperlink>
          </w:p>
        </w:tc>
        <w:tc>
          <w:tcPr>
            <w:tcW w:w="5260" w:type="dxa"/>
            <w:vAlign w:val="bottom"/>
            <w:tcBorders>
              <w:top w:val="single" w:sz="8" w:color="0000EE"/>
            </w:tcBorders>
            <w:gridSpan w:val="6"/>
          </w:tcPr>
          <w:p>
            <w:pPr>
              <w:spacing w:after="0"/>
              <w:rPr>
                <w:sz w:val="17"/>
                <w:szCs w:val="17"/>
                <w:color w:val="auto"/>
              </w:rPr>
            </w:pPr>
          </w:p>
        </w:tc>
        <w:tc>
          <w:tcPr>
            <w:tcW w:w="7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4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80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24"/>
          </w:tcPr>
          <w:p>
            <w:pPr>
              <w:ind w:left="360"/>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846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 from Registered Securities</w:t>
              </w:r>
            </w:hyperlink>
          </w:p>
        </w:tc>
        <w:tc>
          <w:tcPr>
            <w:tcW w:w="34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80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748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0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920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0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SIGNATURES</w:t>
        </w:r>
      </w:hyperlink>
    </w:p>
    <w:p>
      <w:pPr>
        <w:sectPr>
          <w:pgSz w:w="11900" w:h="16838" w:orient="portrait"/>
          <w:cols w:equalWidth="0" w:num="1">
            <w:col w:w="11080"/>
          </w:cols>
          <w:pgMar w:left="320" w:top="486"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ARCLIGHT CLEAN TRANSITION CORP. II</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UNAUDITED CONDENSED 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SEPTEMBER 30, 2021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2,134,685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311,171,488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313,306,173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77,565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277,565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legal fees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10,890,707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16,991,180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28,751,810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9"/>
              </w:rPr>
              <w:t>Class A ordinary shares subject to possible redemption; $0.0001 par value; 31,116,305 shares at redemption value of $10.00</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311,163,050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Class A ordinary shares, $0.0001 par value; 500,000,000 shares authorized (excluding 31,116,305 shares subject to possible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Class B ordinary shares, $0.0001 par value; 50,000,000 shares authorized; 7,779,076 shares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(26,609,465)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(26,608,687)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313,306,173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73"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SEPTEMBER 30, 2021 AND THE PERIOD FROM JANUARY 13,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(INCEPTION) THROUGH SEPTEMBER 30,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34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3"/>
              </w:rPr>
              <w:t>For the three</w:t>
            </w:r>
          </w:p>
        </w:tc>
        <w:tc>
          <w:tcPr>
            <w:tcW w:w="116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January 13, 2021</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3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8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3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(750,307)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(1,273,196)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8,958,980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(1,995,420)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8,962,961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(2,449,602)</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8,212,654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(3,722,798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1"/>
              </w:rPr>
              <w:t>Weighted average shares outstanding of Class A common stock (subject to possible redemption), basic and</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31,116,305</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23,275,976</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(loss)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Weighted average shares outstanding of Class B common stock (non-redeemable), basic and 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6,875,000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6,875,000</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(loss)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CHANGES IN SHAREHOLDERS’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SEPTEMBER 30, 2021 AND THE PERIOD FROM JANUARY 13,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(INCEPTION) THROUGH SEPTEMBER 30,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5"/>
              </w:rPr>
              <w:t>Total</w:t>
            </w:r>
          </w:p>
        </w:tc>
      </w:tr>
      <w:tr>
        <w:trPr>
          <w:trHeight w:val="156"/>
        </w:trPr>
        <w:tc>
          <w:tcPr>
            <w:tcW w:w="4400" w:type="dxa"/>
            <w:vAlign w:val="bottom"/>
          </w:tcPr>
          <w:p>
            <w:pPr>
              <w:spacing w:after="0"/>
              <w:rPr>
                <w:sz w:val="13"/>
                <w:szCs w:val="13"/>
                <w:color w:val="auto"/>
              </w:rPr>
            </w:pPr>
          </w:p>
        </w:tc>
        <w:tc>
          <w:tcPr>
            <w:tcW w:w="860" w:type="dxa"/>
            <w:vAlign w:val="bottom"/>
            <w:tcBorders>
              <w:bottom w:val="single" w:sz="8" w:color="auto"/>
            </w:tcBorders>
            <w:gridSpan w:val="3"/>
          </w:tcPr>
          <w:p>
            <w:pPr>
              <w:ind w:left="360"/>
              <w:spacing w:after="0" w:line="155"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Class B</w:t>
            </w: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3"/>
          </w:tcPr>
          <w:p>
            <w:pPr>
              <w:jc w:val="right"/>
              <w:ind w:right="301"/>
              <w:spacing w:after="0" w:line="155" w:lineRule="exact"/>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jc w:val="center"/>
              <w:ind w:right="61"/>
              <w:spacing w:after="0" w:line="155" w:lineRule="exact"/>
              <w:rPr>
                <w:sz w:val="20"/>
                <w:szCs w:val="20"/>
                <w:color w:val="auto"/>
              </w:rPr>
            </w:pPr>
            <w:r>
              <w:rPr>
                <w:rFonts w:ascii="Arial" w:cs="Arial" w:eastAsia="Arial" w:hAnsi="Arial"/>
                <w:sz w:val="14"/>
                <w:szCs w:val="14"/>
                <w:b w:val="1"/>
                <w:bCs w:val="1"/>
                <w:color w:val="auto"/>
                <w:w w:val="92"/>
              </w:rPr>
              <w:t>Shareholders’</w:t>
            </w:r>
          </w:p>
        </w:tc>
      </w:tr>
      <w:tr>
        <w:trPr>
          <w:trHeight w:val="155"/>
        </w:trPr>
        <w:tc>
          <w:tcPr>
            <w:tcW w:w="4400" w:type="dxa"/>
            <w:vAlign w:val="bottom"/>
          </w:tcPr>
          <w:p>
            <w:pPr>
              <w:spacing w:after="0"/>
              <w:rPr>
                <w:sz w:val="13"/>
                <w:szCs w:val="13"/>
                <w:color w:val="auto"/>
              </w:rPr>
            </w:pPr>
          </w:p>
        </w:tc>
        <w:tc>
          <w:tcPr>
            <w:tcW w:w="420" w:type="dxa"/>
            <w:vAlign w:val="bottom"/>
          </w:tcPr>
          <w:p>
            <w:pPr>
              <w:spacing w:after="0" w:line="155"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3"/>
                <w:szCs w:val="13"/>
                <w:color w:val="auto"/>
              </w:rPr>
            </w:pPr>
          </w:p>
        </w:tc>
        <w:tc>
          <w:tcPr>
            <w:tcW w:w="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08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180" w:type="dxa"/>
            <w:vAlign w:val="bottom"/>
            <w:gridSpan w:val="2"/>
          </w:tcPr>
          <w:p>
            <w:pPr>
              <w:jc w:val="right"/>
              <w:ind w:right="50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121"/>
              <w:spacing w:after="0" w:line="155" w:lineRule="exact"/>
              <w:rPr>
                <w:sz w:val="20"/>
                <w:szCs w:val="20"/>
                <w:color w:val="auto"/>
              </w:rPr>
            </w:pPr>
            <w:r>
              <w:rPr>
                <w:rFonts w:ascii="Arial" w:cs="Arial" w:eastAsia="Arial" w:hAnsi="Arial"/>
                <w:sz w:val="14"/>
                <w:szCs w:val="14"/>
                <w:b w:val="1"/>
                <w:bCs w:val="1"/>
                <w:color w:val="auto"/>
                <w:w w:val="93"/>
              </w:rPr>
              <w:t>Deficit</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Balance—January 13, 2021 (inception)</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Issuance of Class B ordinary shares to Sponsor</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7,906,250</w:t>
            </w:r>
          </w:p>
        </w:tc>
        <w:tc>
          <w:tcPr>
            <w:tcW w:w="16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24,209</w:t>
            </w:r>
          </w:p>
        </w:tc>
        <w:tc>
          <w:tcPr>
            <w:tcW w:w="10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Accrection on Class A ordinary shares subject to possible</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(24,222)</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0"/>
              </w:rPr>
              <w:t>(22,886,667)</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(22,910,889)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Forfeiture of Class B ordinary shares from Sponsor</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(127,174)</w:t>
            </w:r>
          </w:p>
        </w:tc>
        <w:tc>
          <w:tcPr>
            <w:tcW w:w="1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(319,783)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(319,783)</w:t>
            </w: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Balance—March 31, 2021 (unaudited)</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7,779,076</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79"/>
              </w:rPr>
              <w:t>778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(23,206,450)</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(23,205,672)</w:t>
            </w:r>
          </w:p>
        </w:tc>
        <w:tc>
          <w:tcPr>
            <w:tcW w:w="12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0"/>
              </w:rPr>
              <w:t>(11,615,669)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(11,615,669)</w:t>
            </w: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Balance—June 30, 2021 (unaudited)</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7,779,076</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79"/>
              </w:rPr>
              <w:t>778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(34,822,119)</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(34,821,341)</w:t>
            </w:r>
          </w:p>
        </w:tc>
        <w:tc>
          <w:tcPr>
            <w:tcW w:w="12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8,212,654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8,212,654</w:t>
            </w: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Balance—September 30, 2021 (unaudited)</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7,779,076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778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(26,609,465</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(26,608,687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4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760"/>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left="1760"/>
        <w:spacing w:after="0"/>
        <w:rPr>
          <w:sz w:val="20"/>
          <w:szCs w:val="20"/>
          <w:color w:val="auto"/>
        </w:rPr>
      </w:pPr>
      <w:r>
        <w:rPr>
          <w:rFonts w:ascii="Arial" w:cs="Arial" w:eastAsia="Arial" w:hAnsi="Arial"/>
          <w:sz w:val="18"/>
          <w:szCs w:val="18"/>
          <w:b w:val="1"/>
          <w:bCs w:val="1"/>
          <w:color w:val="auto"/>
        </w:rPr>
        <w:t>UNAUDITED CONDENSED STATEMENT OF CASH FLOWS</w:t>
      </w:r>
    </w:p>
    <w:p>
      <w:pPr>
        <w:spacing w:after="0" w:line="9" w:lineRule="exact"/>
        <w:rPr>
          <w:sz w:val="20"/>
          <w:szCs w:val="20"/>
          <w:color w:val="auto"/>
        </w:rPr>
      </w:pPr>
    </w:p>
    <w:p>
      <w:pPr>
        <w:jc w:val="center"/>
        <w:ind w:left="1760"/>
        <w:spacing w:after="0"/>
        <w:rPr>
          <w:sz w:val="20"/>
          <w:szCs w:val="20"/>
          <w:color w:val="auto"/>
        </w:rPr>
      </w:pPr>
      <w:r>
        <w:rPr>
          <w:rFonts w:ascii="Arial" w:cs="Arial" w:eastAsia="Arial" w:hAnsi="Arial"/>
          <w:sz w:val="17"/>
          <w:szCs w:val="17"/>
          <w:b w:val="1"/>
          <w:bCs w:val="1"/>
          <w:color w:val="auto"/>
        </w:rPr>
        <w:t>FOR THE PERIOD FROM JANUARY 13, 2021 (INCEPTION) THROUGH SEPTEMBER 30, 2021</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General and administrative expenses paid by related party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General and administrative expenses paid by related party under promissory note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 in fair value of 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Financing costs—warrant liabilities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gain on investments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Deferred legal fees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Repayment of note payable to related party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received from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Proceeds received from private placement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costs paid</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Cash—beginning of the period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Cash—end of the period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Offering costs included in accrued expenses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Offering costs paid by related party under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Deferred underwriting commissions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Forfeiture of Class B ordinary shares from Sponsor</w:t>
      </w:r>
    </w:p>
    <w:p>
      <w:pPr>
        <w:spacing w:after="0" w:line="211" w:lineRule="exact"/>
        <w:rPr>
          <w:sz w:val="20"/>
          <w:szCs w:val="20"/>
          <w:color w:val="auto"/>
        </w:rPr>
      </w:pPr>
    </w:p>
    <w:p>
      <w:pPr>
        <w:jc w:val="center"/>
        <w:ind w:left="1760"/>
        <w:spacing w:after="0"/>
        <w:rPr>
          <w:sz w:val="20"/>
          <w:szCs w:val="20"/>
          <w:color w:val="auto"/>
        </w:rPr>
      </w:pPr>
      <w:r>
        <w:rPr>
          <w:rFonts w:ascii="Arial" w:cs="Arial" w:eastAsia="Arial" w:hAnsi="Arial"/>
          <w:sz w:val="17"/>
          <w:szCs w:val="17"/>
          <w:i w:val="1"/>
          <w:iCs w:val="1"/>
          <w:color w:val="auto"/>
        </w:rPr>
        <w:t>The accompanying notes are an integral part of these unaudited condensed financial statements.</w:t>
      </w:r>
    </w:p>
    <w:p>
      <w:pPr>
        <w:spacing w:after="0" w:line="169"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9" w:hanging="269"/>
        <w:spacing w:after="0"/>
        <w:tabs>
          <w:tab w:leader="none" w:pos="269" w:val="left"/>
        </w:tabs>
        <w:numPr>
          <w:ilvl w:val="0"/>
          <w:numId w:val="3"/>
        </w:numPr>
        <w:rPr>
          <w:rFonts w:ascii="Arial" w:cs="Arial" w:eastAsia="Arial" w:hAnsi="Arial"/>
          <w:sz w:val="16"/>
          <w:szCs w:val="16"/>
          <w:color w:val="auto"/>
        </w:rPr>
      </w:pPr>
      <w:r>
        <w:rPr>
          <w:rFonts w:ascii="Arial" w:cs="Arial" w:eastAsia="Arial" w:hAnsi="Arial"/>
          <w:sz w:val="16"/>
          <w:szCs w:val="16"/>
          <w:color w:val="auto"/>
        </w:rPr>
        <w:t>(3,722,798)</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26,800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1,995,420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462,620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(8,438)</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(1,041,828)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7,565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592,358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686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(1,663,301)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686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32" w:lineRule="exact"/>
        <w:rPr>
          <w:sz w:val="20"/>
          <w:szCs w:val="20"/>
          <w:color w:val="auto"/>
        </w:rPr>
      </w:pPr>
    </w:p>
    <w:p>
      <w:pPr>
        <w:ind w:left="109"/>
        <w:spacing w:after="0"/>
        <w:rPr>
          <w:sz w:val="20"/>
          <w:szCs w:val="20"/>
          <w:color w:val="auto"/>
        </w:rPr>
      </w:pPr>
      <w:r>
        <w:rPr>
          <w:rFonts w:ascii="Arial" w:cs="Arial" w:eastAsia="Arial" w:hAnsi="Arial"/>
          <w:sz w:val="16"/>
          <w:szCs w:val="16"/>
          <w:u w:val="single" w:color="auto"/>
          <w:color w:val="auto"/>
        </w:rPr>
        <w:t>(311,163,050</w:t>
      </w:r>
      <w:r>
        <w:rPr>
          <w:rFonts w:ascii="Arial" w:cs="Arial" w:eastAsia="Arial" w:hAnsi="Arial"/>
          <w:sz w:val="16"/>
          <w:szCs w:val="16"/>
          <w:color w:val="auto"/>
        </w:rPr>
        <w:t>)</w:t>
      </w:r>
    </w:p>
    <w:p>
      <w:pPr>
        <w:spacing w:after="0" w:line="59" w:lineRule="exact"/>
        <w:rPr>
          <w:sz w:val="20"/>
          <w:szCs w:val="20"/>
          <w:color w:val="auto"/>
        </w:rPr>
      </w:pPr>
    </w:p>
    <w:p>
      <w:pPr>
        <w:ind w:left="109"/>
        <w:spacing w:after="0"/>
        <w:rPr>
          <w:sz w:val="20"/>
          <w:szCs w:val="20"/>
          <w:color w:val="auto"/>
        </w:rPr>
      </w:pPr>
      <w:r>
        <w:rPr>
          <w:rFonts w:ascii="Arial" w:cs="Arial" w:eastAsia="Arial" w:hAnsi="Arial"/>
          <w:sz w:val="16"/>
          <w:szCs w:val="16"/>
          <w:u w:val="single" w:color="auto"/>
          <w:color w:val="auto"/>
        </w:rPr>
        <w:t>(311,163,050</w:t>
      </w:r>
      <w:r>
        <w:rPr>
          <w:rFonts w:ascii="Arial" w:cs="Arial" w:eastAsia="Arial" w:hAnsi="Arial"/>
          <w:sz w:val="16"/>
          <w:szCs w:val="16"/>
          <w:color w:val="auto"/>
        </w:rPr>
        <w:t>)</w:t>
      </w: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(171,742)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311,163,050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9,223,261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(6,295,461)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68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 w:lineRule="exact"/>
        <w:rPr>
          <w:sz w:val="20"/>
          <w:szCs w:val="20"/>
          <w:color w:val="auto"/>
        </w:rPr>
      </w:pPr>
    </w:p>
    <w:p>
      <w:pPr>
        <w:ind w:left="149"/>
        <w:spacing w:after="0"/>
        <w:rPr>
          <w:sz w:val="20"/>
          <w:szCs w:val="20"/>
          <w:color w:val="auto"/>
        </w:rPr>
      </w:pPr>
      <w:r>
        <w:rPr>
          <w:rFonts w:ascii="Arial" w:cs="Arial" w:eastAsia="Arial" w:hAnsi="Arial"/>
          <w:sz w:val="17"/>
          <w:szCs w:val="17"/>
          <w:color w:val="auto"/>
        </w:rPr>
        <w:t>313,919,208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668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8" w:lineRule="exact"/>
        <w:rPr>
          <w:sz w:val="20"/>
          <w:szCs w:val="20"/>
          <w:color w:val="auto"/>
        </w:rPr>
      </w:pPr>
    </w:p>
    <w:p>
      <w:pPr>
        <w:ind w:left="329"/>
        <w:spacing w:after="0"/>
        <w:rPr>
          <w:sz w:val="20"/>
          <w:szCs w:val="20"/>
          <w:color w:val="auto"/>
        </w:rPr>
      </w:pPr>
      <w:r>
        <w:rPr>
          <w:rFonts w:ascii="Arial" w:cs="Arial" w:eastAsia="Arial" w:hAnsi="Arial"/>
          <w:sz w:val="17"/>
          <w:szCs w:val="17"/>
          <w:color w:val="auto"/>
        </w:rPr>
        <w:t>1,092,857</w:t>
      </w:r>
    </w:p>
    <w:p>
      <w:pPr>
        <w:spacing w:after="0" w:line="35" w:lineRule="exact"/>
        <w:rPr>
          <w:sz w:val="20"/>
          <w:szCs w:val="20"/>
          <w:color w:val="auto"/>
        </w:rPr>
      </w:pPr>
    </w:p>
    <w:p>
      <w:pPr>
        <w:ind w:left="78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686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329" w:hanging="329"/>
        <w:spacing w:after="0"/>
        <w:tabs>
          <w:tab w:leader="none" w:pos="329" w:val="left"/>
        </w:tabs>
        <w:numPr>
          <w:ilvl w:val="0"/>
          <w:numId w:val="4"/>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1,092,857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6686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75" w:lineRule="exact"/>
        <w:rPr>
          <w:sz w:val="20"/>
          <w:szCs w:val="20"/>
          <w:color w:val="auto"/>
        </w:rPr>
      </w:pPr>
    </w:p>
    <w:p>
      <w:pPr>
        <w:ind w:left="469" w:hanging="469"/>
        <w:spacing w:after="0"/>
        <w:tabs>
          <w:tab w:leader="none" w:pos="469" w:val="left"/>
        </w:tabs>
        <w:numPr>
          <w:ilvl w:val="0"/>
          <w:numId w:val="5"/>
        </w:numPr>
        <w:rPr>
          <w:rFonts w:ascii="Arial" w:cs="Arial" w:eastAsia="Arial" w:hAnsi="Arial"/>
          <w:sz w:val="17"/>
          <w:szCs w:val="17"/>
          <w:color w:val="auto"/>
        </w:rPr>
      </w:pPr>
      <w:r>
        <w:rPr>
          <w:rFonts w:ascii="Arial" w:cs="Arial" w:eastAsia="Arial" w:hAnsi="Arial"/>
          <w:sz w:val="17"/>
          <w:szCs w:val="17"/>
          <w:color w:val="auto"/>
        </w:rPr>
        <w:t>200,000</w:t>
      </w:r>
    </w:p>
    <w:p>
      <w:pPr>
        <w:spacing w:after="0" w:line="35" w:lineRule="exact"/>
        <w:rPr>
          <w:sz w:val="20"/>
          <w:szCs w:val="20"/>
          <w:color w:val="auto"/>
        </w:rPr>
      </w:pPr>
    </w:p>
    <w:p>
      <w:pPr>
        <w:ind w:left="549" w:hanging="549"/>
        <w:spacing w:after="0"/>
        <w:tabs>
          <w:tab w:leader="none" w:pos="549" w:val="left"/>
        </w:tabs>
        <w:numPr>
          <w:ilvl w:val="0"/>
          <w:numId w:val="6"/>
        </w:numPr>
        <w:rPr>
          <w:rFonts w:ascii="Arial" w:cs="Arial" w:eastAsia="Arial" w:hAnsi="Arial"/>
          <w:sz w:val="18"/>
          <w:szCs w:val="18"/>
          <w:color w:val="auto"/>
        </w:rPr>
      </w:pPr>
      <w:r>
        <w:rPr>
          <w:rFonts w:ascii="Arial" w:cs="Arial" w:eastAsia="Arial" w:hAnsi="Arial"/>
          <w:sz w:val="18"/>
          <w:szCs w:val="18"/>
          <w:color w:val="auto"/>
        </w:rPr>
        <w:t>70,000</w:t>
      </w:r>
    </w:p>
    <w:p>
      <w:pPr>
        <w:spacing w:after="0" w:line="9" w:lineRule="exact"/>
        <w:rPr>
          <w:sz w:val="20"/>
          <w:szCs w:val="20"/>
          <w:color w:val="auto"/>
        </w:rPr>
      </w:pPr>
    </w:p>
    <w:p>
      <w:pPr>
        <w:ind w:left="469" w:hanging="469"/>
        <w:spacing w:after="0"/>
        <w:tabs>
          <w:tab w:leader="none" w:pos="469" w:val="left"/>
        </w:tabs>
        <w:numPr>
          <w:ilvl w:val="0"/>
          <w:numId w:val="7"/>
        </w:numPr>
        <w:rPr>
          <w:rFonts w:ascii="Arial" w:cs="Arial" w:eastAsia="Arial" w:hAnsi="Arial"/>
          <w:sz w:val="17"/>
          <w:szCs w:val="17"/>
          <w:color w:val="auto"/>
        </w:rPr>
      </w:pPr>
      <w:r>
        <w:rPr>
          <w:rFonts w:ascii="Arial" w:cs="Arial" w:eastAsia="Arial" w:hAnsi="Arial"/>
          <w:sz w:val="17"/>
          <w:szCs w:val="17"/>
          <w:color w:val="auto"/>
        </w:rPr>
        <w:t>144,842</w:t>
      </w:r>
    </w:p>
    <w:p>
      <w:pPr>
        <w:spacing w:after="0" w:line="20" w:lineRule="exact"/>
        <w:rPr>
          <w:rFonts w:ascii="Arial" w:cs="Arial" w:eastAsia="Arial" w:hAnsi="Arial"/>
          <w:sz w:val="17"/>
          <w:szCs w:val="17"/>
          <w:color w:val="auto"/>
        </w:rPr>
      </w:pPr>
    </w:p>
    <w:p>
      <w:pPr>
        <w:ind w:left="249" w:hanging="249"/>
        <w:spacing w:after="0"/>
        <w:tabs>
          <w:tab w:leader="none" w:pos="249" w:val="left"/>
        </w:tabs>
        <w:numPr>
          <w:ilvl w:val="0"/>
          <w:numId w:val="7"/>
        </w:numPr>
        <w:rPr>
          <w:rFonts w:ascii="Arial" w:cs="Arial" w:eastAsia="Arial" w:hAnsi="Arial"/>
          <w:sz w:val="17"/>
          <w:szCs w:val="17"/>
          <w:color w:val="auto"/>
        </w:rPr>
      </w:pPr>
      <w:r>
        <w:rPr>
          <w:rFonts w:ascii="Arial" w:cs="Arial" w:eastAsia="Arial" w:hAnsi="Arial"/>
          <w:sz w:val="17"/>
          <w:szCs w:val="17"/>
          <w:color w:val="auto"/>
        </w:rPr>
        <w:t>10,890,707</w:t>
      </w:r>
    </w:p>
    <w:p>
      <w:pPr>
        <w:spacing w:after="0" w:line="20" w:lineRule="exact"/>
        <w:rPr>
          <w:rFonts w:ascii="Arial" w:cs="Arial" w:eastAsia="Arial" w:hAnsi="Arial"/>
          <w:sz w:val="17"/>
          <w:szCs w:val="17"/>
          <w:color w:val="auto"/>
        </w:rPr>
      </w:pPr>
    </w:p>
    <w:p>
      <w:pPr>
        <w:ind w:left="869" w:hanging="869"/>
        <w:spacing w:after="0"/>
        <w:tabs>
          <w:tab w:leader="none" w:pos="869" w:val="left"/>
        </w:tabs>
        <w:numPr>
          <w:ilvl w:val="0"/>
          <w:numId w:val="7"/>
        </w:numPr>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2">
            <w:col w:w="9480" w:space="491"/>
            <w:col w:w="1109"/>
          </w:cols>
          <w:pgMar w:left="320" w:top="48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12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65"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As of September 30, 2021, the Company had not yet commenced operations. All activity for the period from January 13, 2021 (inception) through September 30,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6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92"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4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86"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9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5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5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86"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As of September 30, 2021, the Company had approximately $1.1 million in its operating bank account and working capital of approximately $1.3 million.</w:t>
      </w:r>
    </w:p>
    <w:p>
      <w:pPr>
        <w:spacing w:after="0" w:line="170"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Company’s liquidity needs up to September 30, 2021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To date, there were no amounts outstanding under any Working Capital Loans.</w:t>
      </w:r>
    </w:p>
    <w:p>
      <w:pPr>
        <w:spacing w:after="0" w:line="17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three months ended September 30, 2021 and for the period from January 13, 2021 (Inception) through September 30, 2021 are not necessarily indicative of the results that may be expected for the period from January 13, 2021 (inception) through December 31, 2021.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Revision to Previously Reported Financial Statements</w:t>
      </w:r>
    </w:p>
    <w:p>
      <w:pPr>
        <w:spacing w:after="0" w:line="117"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In preparation of the Company’s unaudited condensed financial statements as of and for quarterly period ended September 30, 2021, the Company concluded it should revise its financial statements to classify all Class A ordinary shares subject to possible redemption in temporary equity. In accordance with the SEC and its staff’s guidance on redeemable equity instruments, ASC 480-10-S99, redemption provisions not solely within the control of the Company require common stock subject to redemption to be classified outside of permanent equity. The Company had previously classified a portion of its Class A ordinary shares in permanent equity, or total shareholders’ equity. Although the Company did not specify a maximum redemption threshold, its charter currently provides that the Company will not redeem its Public Shares in an amount that would cause its net tangible assets to be less than $5,000,001. The Company considered that the threshold would not change the nature of the underlying shares as redeemable and thus would be required to be disclosed outside equity. As a result, the Company revised its previously filed financial statements to classify all of its Class A ordinary shares as temporary equity and to recognize accretion from the initial book value to redemption value at the time of its Initial Public Offering and in accordance with ASC 480. The change in the carrying value of the redeemable shares of Class A ordinary shares resulted in charges against additional paid-in capital and accumulated deficit.</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impact of the revision to the audited balance sheet as of March 25, 2021 (included as an exhibit to the Company’s Form 8-K filed with the SEC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26, 2021), is a reclassification as follows:</w:t>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Common stock subject to possible redemption</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Class A ordinary shares—$0.0001 par value</w:t>
      </w:r>
    </w:p>
    <w:p>
      <w:pPr>
        <w:spacing w:after="0" w:line="3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Class B ordinary shares—$0.0001 par value</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Additional paid-in-capital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Accumulated deficit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 Stockholders’ Equity (Deficit)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March 25,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4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4"/>
                <w:szCs w:val="14"/>
                <w:b w:val="1"/>
                <w:bCs w:val="1"/>
                <w:color w:val="auto"/>
              </w:rPr>
              <w:t>As Previously Reported</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Adjustment</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As Adjusted</w:t>
            </w:r>
          </w:p>
        </w:tc>
        <w:tc>
          <w:tcPr>
            <w:tcW w:w="6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282,777,640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$ 28,385,410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$311,163,050</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8"/>
                <w:szCs w:val="18"/>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5,498,446</w:t>
            </w:r>
          </w:p>
        </w:tc>
        <w:tc>
          <w:tcPr>
            <w:tcW w:w="280" w:type="dxa"/>
            <w:vAlign w:val="bottom"/>
          </w:tcPr>
          <w:p>
            <w:pPr>
              <w:spacing w:after="0"/>
              <w:rPr>
                <w:sz w:val="18"/>
                <w:szCs w:val="18"/>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(5,498,446)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(499,520)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(22,886,680)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(23,386,200)</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5,000,001</w:t>
            </w:r>
          </w:p>
        </w:tc>
        <w:tc>
          <w:tcPr>
            <w:tcW w:w="280" w:type="dxa"/>
            <w:vAlign w:val="bottom"/>
          </w:tcPr>
          <w:p>
            <w:pPr>
              <w:spacing w:after="0"/>
              <w:rPr>
                <w:sz w:val="20"/>
                <w:szCs w:val="20"/>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(28,385,410)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(23,385,409)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-831215</wp:posOffset>
            </wp:positionV>
            <wp:extent cx="587184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-548005</wp:posOffset>
            </wp:positionV>
            <wp:extent cx="587184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-273685</wp:posOffset>
            </wp:positionV>
            <wp:extent cx="587184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460"/>
          </w:cols>
          <w:pgMar w:left="320" w:top="486" w:right="439" w:bottom="1440" w:gutter="0" w:footer="0" w:header="0"/>
          <w:type w:val="continuous"/>
        </w:sectPr>
      </w:pP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of the revision to the unaudited condensed balance sheets as of March 31, 2021, and June 30, 2021 is a reclassification of</w:t>
      </w:r>
    </w:p>
    <w:p>
      <w:pPr>
        <w:spacing w:after="0" w:line="23"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$28,205,680 and $39,821,350, respectively, from total shareholders’ equity to Class A ordinary shares subject to possible redemption. There is no impact to the reported amounts for total assets, total liabilities, cash flows from operations, or net income (loss). In connection with the change in presentation for the Class A ordinary shares subject to possible redemption, the Company has revised its earnings per share calculation to allocate income and losses shared pro rata between the two classes of shares. This presentation contemplates a Business Combination as the most likely outcome, in which case, both classes of shares share pro rata in the income and losses of the Company. The impact on earnings per share to the unaudited condensed statement of operations for the three months ended March 31, 2021 was an increase of $0.19 per share for Class A (redeemable) and Class B (non-redeemable) shares. The impact on earnings per share to the unaudited condensed statement of operations for the three and six months ended June 30, 2021 was an increase of $0.30 per share and $0.31 per share for Class A (redeemable) and Class B (non-redeemable) shares,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shareholder reports and proxy statements, and exemptions from the requirements of holding a nonbinding advisory vote on executive compensation and stockholder approval of any golden parachute payments not previously approved.</w:t>
      </w:r>
    </w:p>
    <w:p>
      <w:pPr>
        <w:sectPr>
          <w:pgSz w:w="11900" w:h="16838" w:orient="portrait"/>
          <w:cols w:equalWidth="0" w:num="1">
            <w:col w:w="11140"/>
          </w:cols>
          <w:pgMar w:left="320" w:top="486" w:right="439" w:bottom="1440" w:gutter="0" w:footer="0" w:header="0"/>
          <w:type w:val="continuous"/>
        </w:sectPr>
      </w:pP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86"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66"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There were no cash equivalents as of September 30,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portfolio of investments is comprised of U.S. government securities, within the meaning set forth in</w:t>
      </w:r>
    </w:p>
    <w:p>
      <w:pPr>
        <w:spacing w:after="0" w:line="23"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condensed balance sheet at fair value at the end of each reporting period. Gains and losses resulting from the change in fair value of these securities is included in net gain on investments held in Trust Account in the accompanying unaudited condensed statements of operations. The estimated fair values of investments held in the Trust Account are determined using available market information.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2021, the Company has not experienced losses on these accounts and management believes the Company is not exposed to significant risks on such accounts.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8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97"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815-15, “Derivatives and Hedging” (“ASC 815”). The classification of derivative instruments, including whether such instruments should be recorded as liabilities or as equity, is re-assessed at the end of each reporting period.</w:t>
      </w:r>
    </w:p>
    <w:p>
      <w:pPr>
        <w:spacing w:after="0" w:line="15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condensed consolidated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September 30, 2021, 31,116,305 Class A ordinary shares subject to possible redemption is presented at redemption value as temporary equity, outside of the shareholders’ equity section of the Company’s condensed balance sheet.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8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Immediately upon the closing of the Initial Public Offering, the Company recognized the accretion from initial book value to redemption amount. The change in the carrying value of Class A ordinary shares subject to possible redemption resulted in charges against additional paid-in capital and accumulated deficit.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September 30,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20" w:right="52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three and nine months ended September 30, 2021. Accretion associated with the Class A ordinary shares subject to possible redemption is excluded from earnings per share as the redemption value approximates fair value.</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restart"/>
          </w:tcPr>
          <w:p>
            <w:pPr>
              <w:jc w:val="center"/>
              <w:ind w:right="420"/>
              <w:spacing w:after="0"/>
              <w:rPr>
                <w:sz w:val="20"/>
                <w:szCs w:val="20"/>
                <w:color w:val="auto"/>
              </w:rPr>
            </w:pPr>
            <w:r>
              <w:rPr>
                <w:rFonts w:ascii="Arial" w:cs="Arial" w:eastAsia="Arial" w:hAnsi="Arial"/>
                <w:sz w:val="14"/>
                <w:szCs w:val="14"/>
                <w:b w:val="1"/>
                <w:bCs w:val="1"/>
                <w:color w:val="auto"/>
                <w:w w:val="93"/>
              </w:rPr>
              <w:t>For the Three Months Ended</w:t>
            </w:r>
          </w:p>
        </w:tc>
        <w:tc>
          <w:tcPr>
            <w:tcW w:w="100" w:type="dxa"/>
            <w:vAlign w:val="bottom"/>
          </w:tcPr>
          <w:p>
            <w:pPr>
              <w:spacing w:after="0"/>
              <w:rPr>
                <w:sz w:val="14"/>
                <w:szCs w:val="14"/>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For the period January 13, 2021</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23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(inception) through September 30,</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4"/>
                <w:szCs w:val="14"/>
                <w:color w:val="auto"/>
              </w:rPr>
            </w:pPr>
          </w:p>
        </w:tc>
        <w:tc>
          <w:tcPr>
            <w:tcW w:w="1160" w:type="dxa"/>
            <w:vAlign w:val="bottom"/>
            <w:gridSpan w:val="2"/>
          </w:tcPr>
          <w:p>
            <w:pPr>
              <w:jc w:val="center"/>
              <w:ind w:left="759"/>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Class A</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Class B</w:t>
            </w: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income (loss) per common share: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income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6,726,472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1,486,182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(2,873,929)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(848,869)</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i w:val="1"/>
                <w:iCs w:val="1"/>
                <w:color w:val="auto"/>
              </w:rPr>
              <w:t>Denominator: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Basic and diluted weighted average common shares outstanding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31,116,305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6,875,000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23,275,976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6,875,000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Basic and diluted net income (loss) per common share</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6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updates,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7).</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2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 (see Note 8).</w:t>
      </w:r>
    </w:p>
    <w:p>
      <w:pPr>
        <w:spacing w:after="0" w:line="165"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September 30, 2021, the Company had no borrowings under the Working Capital Loans.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25, 2021, the Company entered into an agreement that provided that, commencing on the date that the Company’s securities were first listed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Nasdaq through the earlier of consummation of the initial Business Combination and the liquidation, the Company agreed to pay the Sponsor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 per month for office space, secretarial and administrative services provided to the Company. The Company incurred $30,000 and $70,000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expenses in connection with such services for the three months ended September 30, 2021 and for the period from January 13, 2021 (inception)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2021 as reflected in the accompanying unaudited condensed statements of operations.</w:t>
      </w:r>
    </w:p>
    <w:p>
      <w:pPr>
        <w:spacing w:after="0" w:line="21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Class A Ordinary Shares Subject to Possible Redemption</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Company’s Class A ordinary shares feature certain redemption rights that are considered to be outside of the Company’s control and subject to the occurrence of future events. The Company is authorized to issue 500,000,000 shares of Class A common stock with a par value of $0.0001 per share. Holder of the Company’s Class A ordinary shares are entitled to one vote for each share. As of September 30, 2021, there were 31,116,305 shares of Class A ordinary shares outstanding, all of which were subject to possible redemption.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September 30, 2021, Class A ordinary shares subject to possible redemption reflected on the balance sheet is reconciled on the following table:</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$311,163,050</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Proceeds from over-allotment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9,223,261</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Offering costs allocated to Class A shares subject to possible redemption</w:t>
            </w: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(17,138,390)</w:t>
            </w: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allocated to Public Warrants at issuance</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(14,995,760)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Plus:</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Accrection on Class A ordinary shares subject to possible redemption amount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22,910,889</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311,163,050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8-Shareholders’ Deficit</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Class A Ordinary Shares</w:t>
      </w:r>
      <w:r>
        <w:rPr>
          <w:rFonts w:ascii="Arial" w:cs="Arial" w:eastAsia="Arial" w:hAnsi="Arial"/>
          <w:sz w:val="16"/>
          <w:szCs w:val="16"/>
          <w:color w:val="auto"/>
        </w:rPr>
        <w:t>—The Company is authorized to issue 500,000,000 Class A ordinary shares with a par value of $0.0001 per share.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Class A ordinary shares are entitled to one vote for each share. As of September 30, 2021, there were 31,116,305 Class A ordinary shares issued and outstanding. All Class A ordinary shares subject to possible redemption have been classified as temporary equity (see Note 7).</w:t>
      </w:r>
    </w:p>
    <w:p>
      <w:pPr>
        <w:spacing w:after="0" w:line="14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50,000,000 Class B ordinary shares with a par value of $0.0001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are subject to forfeiture, to the Company by the Initial Shareholders for no consideration to the extent that the underwriters’ over-allotment option is not exercised in full or in part, so that the Initial Shareholders will collectively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September 30, 2021, there were 7,779,076 Class B ordinary shares issued and outstanding.</w:t>
      </w:r>
    </w:p>
    <w:p>
      <w:pPr>
        <w:spacing w:after="0" w:line="15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5,000,000 preference shares with a par value of $0.0001 per share. As of September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no preference shares issued or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9-Derivative Warrant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September 30, 2021, the Company had 6,223,261 and 9,223,261 Public Warrants and Private Placement Warrants, respectively, outstanding.</w:t>
      </w:r>
    </w:p>
    <w:p>
      <w:pPr>
        <w:spacing w:after="0" w:line="24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$18.00:</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(except as described herein with respect to the Private Placement Warrants):</w:t>
      </w:r>
    </w:p>
    <w:p>
      <w:pPr>
        <w:spacing w:after="0" w:line="76" w:lineRule="exact"/>
        <w:rPr>
          <w:sz w:val="20"/>
          <w:szCs w:val="20"/>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540" w:right="360" w:hanging="331"/>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when the price per Class A ordinary share equals or exceeds $10.00: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131" w:lineRule="exact"/>
        <w:rPr>
          <w:sz w:val="20"/>
          <w:szCs w:val="20"/>
          <w:color w:val="auto"/>
        </w:rPr>
      </w:pPr>
    </w:p>
    <w:p>
      <w:pPr>
        <w:ind w:left="1540" w:hanging="33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right="240" w:hanging="331"/>
        <w:spacing w:after="0" w:line="311"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Class A ordinary shares to be determined by reference to an agreed table based on the redemption date and the “fair market value” of Class A ordinary shares;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540" w:right="160" w:hanging="331"/>
        <w:spacing w:after="0" w:line="263"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ind w:left="1540" w:right="120" w:hanging="331"/>
        <w:spacing w:after="0" w:line="259"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10-Fair Value Measurements</w:t>
      </w:r>
    </w:p>
    <w:p>
      <w:pPr>
        <w:spacing w:after="0" w:line="121" w:lineRule="exact"/>
        <w:rPr>
          <w:sz w:val="20"/>
          <w:szCs w:val="20"/>
          <w:color w:val="auto"/>
        </w:rPr>
      </w:pPr>
    </w:p>
    <w:p>
      <w:pPr>
        <w:ind w:left="120" w:right="860"/>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September 30, 2021 and indicates the fair value hierarchy of the valuation techniques that the Company utilized to determine such fair value.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September 30, 2021:</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Quoted</w:t>
            </w:r>
          </w:p>
        </w:tc>
        <w:tc>
          <w:tcPr>
            <w:tcW w:w="40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Prices</w:t>
            </w:r>
          </w:p>
        </w:tc>
        <w:tc>
          <w:tcPr>
            <w:tcW w:w="4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in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Active</w:t>
            </w:r>
          </w:p>
        </w:tc>
        <w:tc>
          <w:tcPr>
            <w:tcW w:w="112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Markets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99"/>
              <w:spacing w:after="0"/>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(Level 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w w:val="91"/>
              </w:rPr>
              <w:t>(Level 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311,171,488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Derivative warrant liabilities-public</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6,845,590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liabilities-private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10,145,590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w:t>
      </w:r>
    </w:p>
    <w:p>
      <w:pPr>
        <w:spacing w:after="0" w:line="184"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Level 1 assets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14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September 30, 2021 and for the period from January 13, 2021 (inception) through September 30, 2021, the Company recognized a change to the unaudited condensed statements of operations resulting from a decrease (increase) in the fair value of liabilities of approximately $9.0 million and $(2.0) million, respectively, presented as change in fair value of derivative warrant liabilities in the accompanying unaudited condensed statements of operations.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March 22,</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September</w:t>
            </w:r>
          </w:p>
        </w:tc>
      </w:tr>
      <w:tr>
        <w:trPr>
          <w:trHeight w:val="171"/>
        </w:trPr>
        <w:tc>
          <w:tcPr>
            <w:tcW w:w="616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30, 2021</w:t>
            </w:r>
          </w:p>
        </w:tc>
        <w:tc>
          <w:tcPr>
            <w:tcW w:w="200" w:type="dxa"/>
            <w:vAlign w:val="bottom"/>
          </w:tcPr>
          <w:p>
            <w:pPr>
              <w:spacing w:after="0"/>
              <w:rPr>
                <w:sz w:val="14"/>
                <w:szCs w:val="14"/>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9.81</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Volatility</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options to convert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Risk-free rate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change in the fair value of the Level 3 derivative warrant liabilities for the period from January 13, 2021 (inception) through September 30, 2021 is summarized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Public</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Private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warrant liabilities at January 13, 2021 (inception)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Issuance of Public and Private Warrants</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5,948,230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9,047,530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14,995,760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(146,580)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(124,580)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(271,160)</w:t>
            </w: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Derivative warrant liabilities at March 31, 2021</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5,801,650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8,922,950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14,724,600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4,653,430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6,572,130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11,225,560</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Transfer to Level 1</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(10,455,080)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(10,455,080)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June 30, 2021</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15,495,080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15,495,080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10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(5,349,490)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(5,349,490)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September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10,145,590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10,145,590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Management has evaluated subsequent events to determine if events or transactions occurring through the date the financial statement were issued.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8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References to the “Company,” “our,” “us” or “we” refer to ArcLight Clean Transition Corp. II.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(the “Business Combination”), that we have not yet identified. Our sponsor is ArcLight CTC Holdings II, L.P., a Delaware limited partnership (our “Sponsor”).</w:t>
      </w:r>
    </w:p>
    <w:p>
      <w:pPr>
        <w:spacing w:after="0" w:line="14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registration statement for our initial public offering (the “Initial Public Offering”) was declared effective on March 22, 2021. On March 25, 2021, we consummated our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and incurring offering costs of approximately $17.6 million, of which approximately $10.9 million was for deferred underwriting commissions.</w:t>
      </w:r>
    </w:p>
    <w:p>
      <w:pPr>
        <w:spacing w:after="0" w:line="18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9,223,261 warrants (each, a “Private Placement Warrant” and collectively, the “Private Placement Warrants”), at a price of $1.00 per Private Placement Warrant with the Sponsor, generating gross proceeds of approximately $9.2 million.</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8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or March 25, 2023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entire activity since inception through September 30, 2021 relates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warrant liabilities at each reporting period.</w:t>
      </w:r>
    </w:p>
    <w:p>
      <w:pPr>
        <w:spacing w:after="0" w:line="1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three months ended September 30, 2021, we had a net income of approximately $8.2 million from changes in the value of derivative warrant liabilities of approximately $9.0 million and $4,000 gain on investments held in Trust Account partially offset by approximately $750,000 in general and administrative costs.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period from January 13, 2021 (inception) through September 30, 2021, we had a net loss of approximately</w:t>
      </w:r>
    </w:p>
    <w:p>
      <w:pPr>
        <w:spacing w:after="0" w:line="23" w:lineRule="exact"/>
        <w:rPr>
          <w:sz w:val="20"/>
          <w:szCs w:val="20"/>
          <w:color w:val="auto"/>
        </w:rPr>
      </w:pPr>
    </w:p>
    <w:p>
      <w:pPr>
        <w:ind w:left="120" w:right="660"/>
        <w:spacing w:after="0" w:line="255" w:lineRule="auto"/>
        <w:rPr>
          <w:sz w:val="20"/>
          <w:szCs w:val="20"/>
          <w:color w:val="auto"/>
        </w:rPr>
      </w:pPr>
      <w:r>
        <w:rPr>
          <w:rFonts w:ascii="Arial" w:cs="Arial" w:eastAsia="Arial" w:hAnsi="Arial"/>
          <w:sz w:val="18"/>
          <w:szCs w:val="18"/>
          <w:color w:val="auto"/>
        </w:rPr>
        <w:t>$3.7 million from changes in the value of derivative warrant liabilities of approximately $2.0 million, financing costs attributable to the warrant liabilities of approximately $463,000 and approximately $1.3 million in general and administrative costs, partially offset by an $8,000 gain on investments held in Trust Account.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September 30, 2021, we had approximately $1.1 million in our operating bank account and working capital of approximately $1.3 million.</w:t>
      </w:r>
    </w:p>
    <w:p>
      <w:pPr>
        <w:spacing w:after="0" w:line="23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Our liquidity needs up to September 30, 2021 had been satisfied through a payment of $25,000 from the Sponsor to cover certain expenses on behalf of the Company in exchange for the issuance of the Founder Shares (as defined below), a loan under a promissory note from our Sponsor of approximately $172,000 (the “Note”), and the net proceeds from the consummation of the Private Placement not held in the Trust Account. The Note was repaid in full on March 26, 2021. In addition, in order to finance transaction costs in connection with a Business Combination, our officers, directors and Initial Shareholders may, but are not obligated to, provide the Company with Working Capital Loans. To date, there are no amounts outstanding under any Working Capital Loans.</w:t>
      </w:r>
    </w:p>
    <w:p>
      <w:pPr>
        <w:spacing w:after="0" w:line="19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the Sponsor or an affiliate of the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6"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We continue to evaluate the impact of the COVID-19 pandemic and has concluded that the specific impact is not readily determinable as of the date of the condensed balance sheet. The financial statement does not include any adjustments that might result from the outcome of this uncertainty.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an administrative services agreement to pay our Sponsor $10,000 per month for office space, secretarial and administrative services provided to 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its critical accounting policies: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account for our Class A ordinary shares subject to possible redemption in accordance with the guidance in ASC Topic 480 “Distinguishing Liabilities from Equity.” Class A ordinary shares subject to mandatory redemption (if any) is classified as liability instruments and are measured at fair value. Conditionally redeemable Class A ordinary shares (including Class ordinary shares that features redemption rights that are either within the control of the holder or subject to redemption upon the occurrence of uncertain events not solely within our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as of September 30, 2021, 31,116,305 Class A ordinary shares subject to possible redemption is presented at redemption value as temporary equity, outside of the shareholders’ equity section of our condensed balance sheet.</w:t>
      </w:r>
    </w:p>
    <w:p>
      <w:pPr>
        <w:spacing w:after="0" w:line="178"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Immediately upon the closing of the Initial Public Offering, we recognized the accretion from initial book value to redemption amount. The change in the carrying value of redeemable shares of Class A ordinary shares resulted in charges against additional paid-in capital and accumulated deficit.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our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 The classification of derivative instruments, including whether such instruments should be recorded as liabilities or as equity, is re-assessed at the end of each reporting period.</w:t>
      </w:r>
    </w:p>
    <w:p>
      <w:pPr>
        <w:spacing w:after="0" w:line="16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warrants issued in our Initial Public Offering, the underwriters’ exercise of their overallotment option and Private Placement Warrants are recognized as derivative liabilities in accordance with ASC 815.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unaudited condensed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have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We have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three and nine months ended September 30, 2021. Accretion associated with the Class A ordinary shares subject to possible redemption is excluded from earnings per share as the redemption value approximates fair value.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standards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unaudited condensed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4" w:lineRule="exact"/>
        <w:rPr>
          <w:sz w:val="20"/>
          <w:szCs w:val="20"/>
          <w:color w:val="auto"/>
        </w:rPr>
      </w:pPr>
    </w:p>
    <w:p>
      <w:pPr>
        <w:ind w:left="120" w:right="40" w:hanging="4"/>
        <w:spacing w:after="0" w:line="255" w:lineRule="auto"/>
        <w:tabs>
          <w:tab w:leader="none" w:pos="4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September 30, 2021, as such term is defined in Rules 13a-15(e) and 15d-15(e) under the Exchange Act. Based on this evaluation, our chief executive officer and chief financial officer have concluded that during the period covered by this report, our disclosure controls and procedures were not effective as of September 30, 2021.</w:t>
      </w:r>
    </w:p>
    <w:p>
      <w:pPr>
        <w:spacing w:after="0" w:line="18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Our internal control over financial reporting did not result in the proper accounting classification of certain of the Warrants we issued in March 2021 which, due to its impact on our financial statements, we determined to be a material weakness. This mistake in classification was brought to our attention only when the SEC issued a Staff Statement on Accounting and Reporting Considerations for Warrants Issued by Special Purpose Acquisition Companies (“SPACs”) dated April 12, 2021 (the “SEC Statement”). The SEC Statement addresses certain accounting and reporting considerations related to warrants of a kind similar to those we issued at the time of our initial public offering in March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There was no change in our internal control over financial reporting that occurred during the period from January 13, 2021 (inception) through September 30, 2021, covered by this Quarterly Report on Form 10-Q that has materially affected, or is reasonably likely to materially affect, our internal control over financial reporting, other than the remediation steps taken to address the material weakness. Management has implemented remediation steps to address the material weakness and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most recent prospectus for the Initial Public Offering as filed with the SEC on March 22,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740"/>
        <w:spacing w:after="0" w:line="37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from Registered Securities </w:t>
      </w:r>
      <w:r>
        <w:rPr>
          <w:rFonts w:ascii="Arial" w:cs="Arial" w:eastAsia="Arial" w:hAnsi="Arial"/>
          <w:sz w:val="18"/>
          <w:szCs w:val="18"/>
          <w:i w:val="1"/>
          <w:iCs w:val="1"/>
          <w:color w:val="auto"/>
        </w:rPr>
        <w:t>Unregistered Sales</w:t>
      </w:r>
    </w:p>
    <w:p>
      <w:pPr>
        <w:spacing w:after="0" w:line="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January 3, 2021, our Sponsor paid an aggregate of $25,000 for certain expenses on our behalf in exchange for issuance of 7,187,500 Class B ordinary shares (the “Founder Shares”). On February 2, 2021, our Sponsor transferred 35,000 Founder Shares to each of Arno Harris, Ja-Chin Audrey Lee, Brian Goncher and Steven Berkenfeld, our independent director nominees. On March 22, 2021, we effected a share capitalization resulting in an aggregate of 7,906,250 Founder Shares issued and outstanding. Up to 1,031,250 Founder Shares were subject to forfeiture by the Sponsor, to the extent that the option to purchase additional units was not exercised in full by the underwriters, so that the Founder Shares would represent 20% of the Company’s issued and outstanding shares after the Initial Public Offering. The underwriters partially exercised their over-allotment option on March 22, 2021, with the remaining portion of the over-allotment option expiring at the conclusion of the 45-day option period. As a result, an aggregate of 127,174 Founder Shares were forfeited by the Sponsor upon the expiration of the over-allotment option.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Initial Public Offering and the underwriters of their over-allotment option, we incurred offering costs of approximately</w:t>
      </w:r>
    </w:p>
    <w:p>
      <w:pPr>
        <w:spacing w:after="0" w:line="35" w:lineRule="exact"/>
        <w:rPr>
          <w:sz w:val="20"/>
          <w:szCs w:val="20"/>
          <w:color w:val="auto"/>
        </w:rPr>
      </w:pPr>
    </w:p>
    <w:p>
      <w:pPr>
        <w:jc w:val="both"/>
        <w:ind w:left="120" w:right="300"/>
        <w:spacing w:after="0" w:line="252" w:lineRule="auto"/>
        <w:rPr>
          <w:sz w:val="20"/>
          <w:szCs w:val="20"/>
          <w:color w:val="auto"/>
        </w:rPr>
      </w:pPr>
      <w:r>
        <w:rPr>
          <w:rFonts w:ascii="Arial" w:cs="Arial" w:eastAsia="Arial" w:hAnsi="Arial"/>
          <w:sz w:val="18"/>
          <w:szCs w:val="18"/>
          <w:color w:val="auto"/>
        </w:rPr>
        <w:t>$15.9 million (including deferred underwriting commissions of approximately $9.8 million).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$277.5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97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7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9740" w:type="dxa"/>
            <w:vAlign w:val="bottom"/>
            <w:gridSpan w:val="6"/>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Certification of Chief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Adopted Pursuant to Section 302 of the Sarbanes-Oxley Act of 2002.</w:t>
              </w:r>
            </w:hyperlink>
          </w:p>
        </w:tc>
        <w:tc>
          <w:tcPr>
            <w:tcW w:w="4380" w:type="dxa"/>
            <w:vAlign w:val="bottom"/>
            <w:tcBorders>
              <w:top w:val="single" w:sz="8" w:color="0000EE"/>
            </w:tcBorders>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93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Chief Financial Officer Pursuant to Rules 13a-14(a) and 15d-14(a) under the Securities Exchange Act of 1934, as</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Adopted Pursuant to Section 302 of the Sarbanes-Oxley Act of 2002.</w:t>
              </w:r>
            </w:hyperlink>
          </w:p>
        </w:tc>
        <w:tc>
          <w:tcPr>
            <w:tcW w:w="47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9740" w:type="dxa"/>
            <w:vAlign w:val="bottom"/>
            <w:gridSpan w:val="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Chief Executive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2002.</w:t>
              </w:r>
            </w:hyperlink>
          </w:p>
        </w:tc>
        <w:tc>
          <w:tcPr>
            <w:tcW w:w="4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580" w:type="dxa"/>
            <w:vAlign w:val="bottom"/>
          </w:tcPr>
          <w:p>
            <w:pPr>
              <w:jc w:val="right"/>
              <w:ind w:right="330"/>
              <w:spacing w:after="0"/>
              <w:rPr>
                <w:sz w:val="20"/>
                <w:szCs w:val="20"/>
                <w:color w:val="auto"/>
              </w:rPr>
            </w:pPr>
            <w:r>
              <w:rPr>
                <w:rFonts w:ascii="Arial" w:cs="Arial" w:eastAsia="Arial" w:hAnsi="Arial"/>
                <w:sz w:val="18"/>
                <w:szCs w:val="18"/>
                <w:color w:val="auto"/>
              </w:rPr>
              <w:t>24</w:t>
            </w: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97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Chief Financial Officer Pursuant to 18 U.S.C. Section 1350, as Adopted Pursuant to Section 906 of the Sarbanes-Oxley</w:t>
              </w:r>
            </w:hyperlink>
          </w:p>
        </w:tc>
      </w:tr>
      <w:tr>
        <w:trPr>
          <w:trHeight w:val="196"/>
        </w:trPr>
        <w:tc>
          <w:tcPr>
            <w:tcW w:w="980" w:type="dxa"/>
            <w:vAlign w:val="bottom"/>
          </w:tcPr>
          <w:p>
            <w:pPr>
              <w:spacing w:after="0"/>
              <w:rPr>
                <w:sz w:val="17"/>
                <w:szCs w:val="17"/>
                <w:color w:val="auto"/>
              </w:rPr>
            </w:pPr>
          </w:p>
        </w:tc>
        <w:tc>
          <w:tcPr>
            <w:tcW w:w="9740" w:type="dxa"/>
            <w:vAlign w:val="bottom"/>
            <w:gridSpan w:val="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344"/>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4"/>
        </w:trPr>
        <w:tc>
          <w:tcPr>
            <w:tcW w:w="980" w:type="dxa"/>
            <w:vAlign w:val="bottom"/>
          </w:tcPr>
          <w:p>
            <w:pPr>
              <w:spacing w:after="0"/>
              <w:rPr>
                <w:sz w:val="24"/>
                <w:szCs w:val="24"/>
                <w:color w:val="auto"/>
              </w:rPr>
            </w:pPr>
          </w:p>
        </w:tc>
        <w:tc>
          <w:tcPr>
            <w:tcW w:w="9740" w:type="dxa"/>
            <w:vAlign w:val="bottom"/>
            <w:gridSpan w:val="2"/>
          </w:tcPr>
          <w:p>
            <w:pPr>
              <w:ind w:left="444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0840"/>
          </w:cols>
          <w:pgMar w:left="320" w:top="486" w:right="7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5th day of November,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80"/>
          </w:cols>
          <w:pgMar w:left="320" w:top="486" w:right="11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440" w:right="20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F. Erhard, certify that:</w:t>
      </w:r>
    </w:p>
    <w:p>
      <w:pPr>
        <w:spacing w:after="0" w:line="131"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three months ended September 30, 2021 of ArcLight Clean Transition Corp. II;</w:t>
      </w:r>
    </w:p>
    <w:p>
      <w:pPr>
        <w:spacing w:after="0" w:line="142" w:lineRule="exact"/>
        <w:rPr>
          <w:rFonts w:ascii="Arial" w:cs="Arial" w:eastAsia="Arial" w:hAnsi="Arial"/>
          <w:sz w:val="17"/>
          <w:szCs w:val="17"/>
          <w:color w:val="auto"/>
        </w:rPr>
      </w:pPr>
    </w:p>
    <w:p>
      <w:pPr>
        <w:jc w:val="both"/>
        <w:ind w:left="424" w:right="12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John F. Erhard</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440" w:right="20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Marco F. Gatti, certify that:</w:t>
      </w:r>
    </w:p>
    <w:p>
      <w:pPr>
        <w:spacing w:after="0" w:line="131"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three months ended September 30, 2021 of ArcLight Clean Transition Corp. II;</w:t>
      </w:r>
    </w:p>
    <w:p>
      <w:pPr>
        <w:spacing w:after="0" w:line="142" w:lineRule="exact"/>
        <w:rPr>
          <w:rFonts w:ascii="Arial" w:cs="Arial" w:eastAsia="Arial" w:hAnsi="Arial"/>
          <w:sz w:val="17"/>
          <w:szCs w:val="17"/>
          <w:color w:val="auto"/>
        </w:rPr>
      </w:pPr>
    </w:p>
    <w:p>
      <w:pPr>
        <w:jc w:val="both"/>
        <w:ind w:left="424" w:right="120" w:hanging="424"/>
        <w:spacing w:after="0" w:line="26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Marco F. Gatti</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In connection with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September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John F. Erhard, President, Chief Executive Officer and Director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5, 2021</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5715</wp:posOffset>
            </wp:positionV>
            <wp:extent cx="32143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024"/>
          </w:cols>
          <w:pgMar w:left="436"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connection with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w:t>
      </w:r>
    </w:p>
    <w:p>
      <w:pPr>
        <w:spacing w:after="0" w:line="23"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September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Marco F. Gatti, Chief Financial Officer of the Company, certify, pursuant to 18 U.S.C. Section 1350, as adopted pursuant to Section 906 of the Sarbanes-Oxley Act of 2002, that, to my knowledge:</w:t>
      </w:r>
    </w:p>
    <w:p>
      <w:pPr>
        <w:spacing w:after="0" w:line="95"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5, 2021</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5715</wp:posOffset>
            </wp:positionV>
            <wp:extent cx="32143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Name: Marco F. Gatti</w:t>
      </w:r>
    </w:p>
    <w:p>
      <w:pPr>
        <w:spacing w:after="0" w:line="23" w:lineRule="exact"/>
        <w:rPr>
          <w:sz w:val="20"/>
          <w:szCs w:val="20"/>
          <w:color w:val="auto"/>
        </w:rPr>
      </w:pPr>
    </w:p>
    <w:p>
      <w:pPr>
        <w:ind w:left="5944"/>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484"/>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2021-11-05T15:59:41Z</dcterms:created>
  <dcterms:modified xsi:type="dcterms:W3CDTF">2021-11-05T15:59:41Z</dcterms:modified>
</cp:coreProperties>
</file>