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17,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20" w:type="dxa"/>
            <w:vAlign w:val="bottom"/>
          </w:tcPr>
          <w:p>
            <w:pPr>
              <w:spacing w:after="0"/>
              <w:rPr>
                <w:sz w:val="21"/>
                <w:szCs w:val="21"/>
                <w:color w:val="auto"/>
              </w:rPr>
            </w:pPr>
          </w:p>
        </w:tc>
        <w:tc>
          <w:tcPr>
            <w:tcW w:w="2200" w:type="dxa"/>
            <w:vAlign w:val="bottom"/>
          </w:tcPr>
          <w:p>
            <w:pPr>
              <w:ind w:left="280"/>
              <w:spacing w:after="0"/>
              <w:rPr>
                <w:sz w:val="20"/>
                <w:szCs w:val="20"/>
                <w:color w:val="auto"/>
              </w:rPr>
            </w:pPr>
            <w:r>
              <w:rPr>
                <w:rFonts w:ascii="Arial" w:cs="Arial" w:eastAsia="Arial" w:hAnsi="Arial"/>
                <w:sz w:val="18"/>
                <w:szCs w:val="18"/>
                <w:b w:val="1"/>
                <w:bCs w:val="1"/>
                <w:color w:val="auto"/>
              </w:rPr>
              <w:t>Trading Symbol(s)</w:t>
            </w:r>
          </w:p>
        </w:tc>
        <w:tc>
          <w:tcPr>
            <w:tcW w:w="58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4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$.0001 per share</w:t>
            </w:r>
          </w:p>
        </w:tc>
        <w:tc>
          <w:tcPr>
            <w:tcW w:w="2200" w:type="dxa"/>
            <w:vAlign w:val="bottom"/>
          </w:tcPr>
          <w:p>
            <w:pPr>
              <w:ind w:left="980"/>
              <w:spacing w:after="0"/>
              <w:rPr>
                <w:sz w:val="20"/>
                <w:szCs w:val="20"/>
                <w:color w:val="auto"/>
              </w:rPr>
            </w:pPr>
            <w:r>
              <w:rPr>
                <w:rFonts w:ascii="Arial" w:cs="Arial" w:eastAsia="Arial" w:hAnsi="Arial"/>
                <w:sz w:val="18"/>
                <w:szCs w:val="18"/>
                <w:color w:val="auto"/>
              </w:rPr>
              <w:t>OPAL</w:t>
            </w:r>
          </w:p>
        </w:tc>
        <w:tc>
          <w:tcPr>
            <w:tcW w:w="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On November 17, 2023, OPAL Fuels Inc. (the “Company”) entered into an </w:t>
      </w:r>
      <w:r>
        <w:rPr>
          <w:rFonts w:ascii="Arial" w:cs="Arial" w:eastAsia="Arial" w:hAnsi="Arial"/>
          <w:sz w:val="21"/>
          <w:szCs w:val="21"/>
          <w:color w:val="auto"/>
        </w:rPr>
        <w:t>At Market Issuance Sales Agreement</w:t>
      </w:r>
      <w:r>
        <w:rPr>
          <w:rFonts w:ascii="Arial" w:cs="Arial" w:eastAsia="Arial" w:hAnsi="Arial"/>
          <w:sz w:val="18"/>
          <w:szCs w:val="18"/>
          <w:color w:val="auto"/>
        </w:rPr>
        <w:t xml:space="preserve">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issuance and sale of Class A common stock by the Company under the Sales Agreement will be effected pursuant to the registration statement on Form S-3 (File No. 333-273584) filed by the Company with the United States Securities and Exchange Commission (the “SEC”) on August 1, 2023 and amended on August 11, 2023, and declared effective by the SEC on September 6, 2023, </w:t>
      </w:r>
      <w:r>
        <w:rPr>
          <w:rFonts w:ascii="Arial" w:cs="Arial" w:eastAsia="Arial" w:hAnsi="Arial"/>
          <w:sz w:val="20"/>
          <w:szCs w:val="20"/>
          <w:color w:val="auto"/>
        </w:rPr>
        <w:t>together with a related prospectus supplement.</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Sales of the Company’s Class A common stock through the Agents may be made by any method that is deemed an “at the market offering” as defined in Rule 415(a)(4) promulgated under the Securities Act of 1933, as amended. Subject to the terms and conditions of the Sales Agreement, the Agents will use commercially reasonable efforts consistent with their normal trading and sales practices and applicable state and federal laws, rules and regulations to sell the Company’s Class A common stock from time to time, based upon the Company’s instructions (including any price, time or size limits or other customary parameters or conditions the Company imposes). The Company is not obligated to make any sales of common stock under the Sales Agreement.</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earlier terminated as provided below, the Sales Agreement will automatically terminate upon the issuance and sale of all of the Class A common stock subject to the Sales Agreement. The Sales Agreement may also be terminated by the Company or the Agents at any time upon two days’ notice to the other party, or by the Agents at any time in certain circumstances, including the occurrence of a material adverse change in the Company.</w:t>
      </w:r>
    </w:p>
    <w:p>
      <w:pPr>
        <w:spacing w:after="0" w:line="17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foregoing description of the Sales Agreement is not complete and is qualified in its entirety by reference to the full text of the Sales Agreement, a copy of which is filed herewith as Exhibit 10.1 to this Current Report on Form 8-K and is incorporated herein by reference. Sheppard, Mullin, Richter &amp; Hampton LLP, our counsel, has issued a legal opinion relating to the shares to be issued pursuant to the Sales Agreement. A copy of such legal opinion, including the consent included therein, is attached as Exhibit 5.1 to this Current Report on Form 8-K.</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securities discussed herein, nor shall there be any offer, solicitation, or sale of the securities in any state or country in which such offer, solicitation or sale would be unlawful prior to registration or qualification under the securities laws of any such state or country.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196"/>
        </w:trPr>
        <w:tc>
          <w:tcPr>
            <w:tcW w:w="22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5.1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58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0000FF"/>
              </w:rPr>
              <w:t>Opinion of Sheppard, Mullin, Richter &amp; Hampton LLP</w:t>
            </w:r>
          </w:p>
        </w:tc>
        <w:tc>
          <w:tcPr>
            <w:tcW w:w="320" w:type="dxa"/>
            <w:vAlign w:val="bottom"/>
          </w:tcPr>
          <w:p>
            <w:pPr>
              <w:spacing w:after="0"/>
              <w:rPr>
                <w:sz w:val="17"/>
                <w:szCs w:val="17"/>
                <w:color w:val="auto"/>
              </w:rPr>
            </w:pPr>
          </w:p>
        </w:tc>
      </w:tr>
      <w:tr>
        <w:trPr>
          <w:trHeight w:val="61"/>
        </w:trPr>
        <w:tc>
          <w:tcPr>
            <w:tcW w:w="2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980" w:type="dxa"/>
            <w:vAlign w:val="bottom"/>
            <w:tcBorders>
              <w:top w:val="single" w:sz="8" w:color="0000FF"/>
            </w:tcBorders>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20" w:type="dxa"/>
            <w:vAlign w:val="bottom"/>
          </w:tcPr>
          <w:p>
            <w:pPr>
              <w:spacing w:after="0"/>
              <w:rPr>
                <w:sz w:val="5"/>
                <w:szCs w:val="5"/>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tcBorders>
              <w:right w:val="single" w:sz="8" w:color="CCEEFF"/>
            </w:tcBorders>
            <w:gridSpan w:val="4"/>
            <w:shd w:val="clear" w:color="auto" w:fill="CCEEFF"/>
          </w:tcPr>
          <w:p>
            <w:pPr>
              <w:spacing w:after="0" w:line="202" w:lineRule="exact"/>
              <w:rPr>
                <w:sz w:val="20"/>
                <w:szCs w:val="20"/>
                <w:color w:val="auto"/>
              </w:rPr>
            </w:pPr>
            <w:r>
              <w:rPr>
                <w:rFonts w:ascii="Arial" w:cs="Arial" w:eastAsia="Arial" w:hAnsi="Arial"/>
                <w:sz w:val="18"/>
                <w:szCs w:val="18"/>
                <w:color w:val="0000FF"/>
                <w:w w:val="93"/>
              </w:rPr>
              <w:t>At Market Issuance Sales Agreement, dated November 17, 2023, among OPAL Fuels Inc., B. Riley Securities, Inc.,</w:t>
            </w:r>
          </w:p>
        </w:tc>
        <w:tc>
          <w:tcPr>
            <w:tcW w:w="320" w:type="dxa"/>
            <w:vAlign w:val="bottom"/>
          </w:tcPr>
          <w:p>
            <w:pPr>
              <w:spacing w:after="0"/>
              <w:rPr>
                <w:sz w:val="17"/>
                <w:szCs w:val="17"/>
                <w:color w:val="auto"/>
              </w:rPr>
            </w:pPr>
          </w:p>
        </w:tc>
      </w:tr>
      <w:tr>
        <w:trPr>
          <w:trHeight w:val="257"/>
        </w:trPr>
        <w:tc>
          <w:tcPr>
            <w:tcW w:w="224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160" w:type="dxa"/>
            <w:vAlign w:val="bottom"/>
            <w:tcBorders>
              <w:top w:val="single" w:sz="8" w:color="0000FF"/>
              <w:bottom w:val="single" w:sz="8" w:color="0000FF"/>
            </w:tcBorders>
            <w:gridSpan w:val="2"/>
            <w:shd w:val="clear" w:color="auto" w:fill="CCEEFF"/>
          </w:tcPr>
          <w:p>
            <w:pPr>
              <w:spacing w:after="0"/>
              <w:rPr>
                <w:sz w:val="20"/>
                <w:szCs w:val="20"/>
                <w:color w:val="auto"/>
              </w:rPr>
            </w:pPr>
            <w:r>
              <w:rPr>
                <w:rFonts w:ascii="Arial" w:cs="Arial" w:eastAsia="Arial" w:hAnsi="Arial"/>
                <w:sz w:val="18"/>
                <w:szCs w:val="18"/>
                <w:color w:val="0000FF"/>
                <w:w w:val="92"/>
              </w:rPr>
              <w:t>Cantor Fitzgerald &amp; Co. and Stifel, Nicolaus &amp; Company, Incorporated</w:t>
            </w:r>
          </w:p>
        </w:tc>
        <w:tc>
          <w:tcPr>
            <w:tcW w:w="3420" w:type="dxa"/>
            <w:vAlign w:val="bottom"/>
            <w:tcBorders>
              <w:top w:val="single" w:sz="8" w:color="0000FF"/>
              <w:bottom w:val="single" w:sz="8" w:color="CCEEFF"/>
              <w:right w:val="single" w:sz="8" w:color="CCEEFF"/>
            </w:tcBorders>
            <w:gridSpan w:val="2"/>
            <w:shd w:val="clear" w:color="auto" w:fill="CCEEFF"/>
          </w:tcPr>
          <w:p>
            <w:pPr>
              <w:spacing w:after="0"/>
              <w:rPr>
                <w:sz w:val="22"/>
                <w:szCs w:val="22"/>
                <w:color w:val="auto"/>
              </w:rPr>
            </w:pPr>
          </w:p>
        </w:tc>
        <w:tc>
          <w:tcPr>
            <w:tcW w:w="320" w:type="dxa"/>
            <w:vAlign w:val="bottom"/>
          </w:tcPr>
          <w:p>
            <w:pPr>
              <w:spacing w:after="0"/>
              <w:rPr>
                <w:sz w:val="22"/>
                <w:szCs w:val="22"/>
                <w:color w:val="auto"/>
              </w:rPr>
            </w:pPr>
          </w:p>
        </w:tc>
      </w:tr>
      <w:tr>
        <w:trPr>
          <w:trHeight w:val="202"/>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rPr>
              <w:t>23.1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gridSpan w:val="5"/>
          </w:tcPr>
          <w:p>
            <w:pPr>
              <w:spacing w:after="0" w:line="202" w:lineRule="exact"/>
              <w:rPr>
                <w:sz w:val="20"/>
                <w:szCs w:val="20"/>
                <w:color w:val="auto"/>
              </w:rPr>
            </w:pPr>
            <w:r>
              <w:rPr>
                <w:rFonts w:ascii="Arial" w:cs="Arial" w:eastAsia="Arial" w:hAnsi="Arial"/>
                <w:sz w:val="18"/>
                <w:szCs w:val="18"/>
                <w:color w:val="0000FF"/>
              </w:rPr>
              <w:t>Consent of Sheppard, Mullin, Richter &amp; Hampton LLP (included in Exhibit 5.1)</w:t>
            </w:r>
          </w:p>
        </w:tc>
      </w:tr>
      <w:tr>
        <w:trPr>
          <w:trHeight w:val="61"/>
        </w:trPr>
        <w:tc>
          <w:tcPr>
            <w:tcW w:w="2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980" w:type="dxa"/>
            <w:vAlign w:val="bottom"/>
            <w:tcBorders>
              <w:top w:val="single" w:sz="8" w:color="0000FF"/>
            </w:tcBorders>
          </w:tcPr>
          <w:p>
            <w:pPr>
              <w:spacing w:after="0"/>
              <w:rPr>
                <w:sz w:val="5"/>
                <w:szCs w:val="5"/>
                <w:color w:val="auto"/>
              </w:rPr>
            </w:pPr>
          </w:p>
        </w:tc>
        <w:tc>
          <w:tcPr>
            <w:tcW w:w="1180" w:type="dxa"/>
            <w:vAlign w:val="bottom"/>
            <w:tcBorders>
              <w:top w:val="single" w:sz="8" w:color="0000FF"/>
            </w:tcBorders>
          </w:tcPr>
          <w:p>
            <w:pPr>
              <w:spacing w:after="0"/>
              <w:rPr>
                <w:sz w:val="5"/>
                <w:szCs w:val="5"/>
                <w:color w:val="auto"/>
              </w:rPr>
            </w:pPr>
          </w:p>
        </w:tc>
        <w:tc>
          <w:tcPr>
            <w:tcW w:w="640" w:type="dxa"/>
            <w:vAlign w:val="bottom"/>
            <w:tcBorders>
              <w:top w:val="single" w:sz="8" w:color="0000FF"/>
            </w:tcBorders>
          </w:tcPr>
          <w:p>
            <w:pPr>
              <w:spacing w:after="0"/>
              <w:rPr>
                <w:sz w:val="5"/>
                <w:szCs w:val="5"/>
                <w:color w:val="auto"/>
              </w:rPr>
            </w:pPr>
          </w:p>
        </w:tc>
        <w:tc>
          <w:tcPr>
            <w:tcW w:w="2780" w:type="dxa"/>
            <w:vAlign w:val="bottom"/>
          </w:tcPr>
          <w:p>
            <w:pPr>
              <w:spacing w:after="0"/>
              <w:rPr>
                <w:sz w:val="5"/>
                <w:szCs w:val="5"/>
                <w:color w:val="auto"/>
              </w:rPr>
            </w:pPr>
          </w:p>
        </w:tc>
        <w:tc>
          <w:tcPr>
            <w:tcW w:w="320" w:type="dxa"/>
            <w:vAlign w:val="bottom"/>
          </w:tcPr>
          <w:p>
            <w:pPr>
              <w:spacing w:after="0"/>
              <w:rPr>
                <w:sz w:val="5"/>
                <w:szCs w:val="5"/>
                <w:color w:val="auto"/>
              </w:rPr>
            </w:pPr>
          </w:p>
        </w:tc>
      </w:tr>
      <w:tr>
        <w:trPr>
          <w:trHeight w:val="263"/>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580" w:type="dxa"/>
            <w:vAlign w:val="bottom"/>
            <w:tcBorders>
              <w:bottom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Cover Page Interactive Data File.</w:t>
            </w:r>
          </w:p>
        </w:tc>
        <w:tc>
          <w:tcPr>
            <w:tcW w:w="320" w:type="dxa"/>
            <w:vAlign w:val="bottom"/>
          </w:tcPr>
          <w:p>
            <w:pPr>
              <w:spacing w:after="0"/>
              <w:rPr>
                <w:sz w:val="22"/>
                <w:szCs w:val="22"/>
                <w:color w:val="auto"/>
              </w:rPr>
            </w:pPr>
          </w:p>
        </w:tc>
      </w:tr>
      <w:tr>
        <w:trPr>
          <w:trHeight w:val="1289"/>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17,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Scott Contino</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Scott Contino</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Interim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4" w:name="page5"/>
    <w:bookmarkEnd w:id="4"/>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554605" cy="34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November 17, 2023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 IA ELECTRONIC MAIL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OPAL Fuels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One North Lexington Avenue, Suite 1450</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White Plains, New York 10601</w:t>
      </w:r>
    </w:p>
    <w:p>
      <w:pPr>
        <w:spacing w:after="0" w:line="29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A t-The-Market Offering pursuant to Registration Statement on Form S-3</w:t>
      </w:r>
    </w:p>
    <w:p>
      <w:pPr>
        <w:spacing w:after="0" w:line="30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100" w:right="20" w:firstLine="846"/>
        <w:spacing w:after="0" w:line="270" w:lineRule="auto"/>
        <w:rPr>
          <w:sz w:val="20"/>
          <w:szCs w:val="20"/>
          <w:color w:val="auto"/>
        </w:rPr>
      </w:pPr>
      <w:r>
        <w:rPr>
          <w:rFonts w:ascii="Arial" w:cs="Arial" w:eastAsia="Arial" w:hAnsi="Arial"/>
          <w:sz w:val="17"/>
          <w:szCs w:val="17"/>
          <w:color w:val="auto"/>
        </w:rPr>
        <w:t>We have acted as counsel to OPAL Fuels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sale through B. Riley Securities, Inc., Cantor Fitzgerald &amp; Co. and Stifel, Nicolaus &amp; Company, Incorporated (each an “</w:t>
      </w:r>
      <w:r>
        <w:rPr>
          <w:rFonts w:ascii="Arial" w:cs="Arial" w:eastAsia="Arial" w:hAnsi="Arial"/>
          <w:sz w:val="17"/>
          <w:szCs w:val="17"/>
          <w:b w:val="1"/>
          <w:bCs w:val="1"/>
          <w:i w:val="1"/>
          <w:iCs w:val="1"/>
          <w:color w:val="auto"/>
        </w:rPr>
        <w:t>Agent</w:t>
      </w:r>
      <w:r>
        <w:rPr>
          <w:rFonts w:ascii="Arial" w:cs="Arial" w:eastAsia="Arial" w:hAnsi="Arial"/>
          <w:sz w:val="17"/>
          <w:szCs w:val="17"/>
          <w:color w:val="auto"/>
        </w:rPr>
        <w:t>,” and together, the “</w:t>
      </w:r>
      <w:r>
        <w:rPr>
          <w:rFonts w:ascii="Arial" w:cs="Arial" w:eastAsia="Arial" w:hAnsi="Arial"/>
          <w:sz w:val="17"/>
          <w:szCs w:val="17"/>
          <w:b w:val="1"/>
          <w:bCs w:val="1"/>
          <w:i w:val="1"/>
          <w:iCs w:val="1"/>
          <w:color w:val="auto"/>
        </w:rPr>
        <w:t>Agents</w:t>
      </w:r>
      <w:r>
        <w:rPr>
          <w:rFonts w:ascii="Arial" w:cs="Arial" w:eastAsia="Arial" w:hAnsi="Arial"/>
          <w:sz w:val="17"/>
          <w:szCs w:val="17"/>
          <w:color w:val="auto"/>
        </w:rPr>
        <w:t>”) as the sales agents, from time to time by the Company of shares of the Class A common stock of the Company,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having an aggregate offering price of up to $75,000,000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to be issued pursuant to a registration statement on Form S-3 filed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August 1, 2023 and amended on August 11, 2023, and declared effective by the SEC on September 6, 2023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the base prospectus included in the Registration Statement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and a prospectus supplement dated November 17, 2023 filed with the Commission pursuant to Rule 424(b) of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(together with the Base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and that certain At Market Issuance Sales Agreement, dated as of November 17, 2023, by and between the Company and the Agents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p>
    <w:p>
      <w:pPr>
        <w:spacing w:after="0" w:line="221" w:lineRule="exact"/>
        <w:rPr>
          <w:sz w:val="20"/>
          <w:szCs w:val="20"/>
          <w:color w:val="auto"/>
        </w:rPr>
      </w:pPr>
    </w:p>
    <w:p>
      <w:pPr>
        <w:jc w:val="both"/>
        <w:ind w:left="100" w:right="20" w:firstLine="846"/>
        <w:spacing w:after="0" w:line="263"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the Prospectus, other than as expressly stated herein with respect to the issue of the Shares.</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In connection with the issuance of this opinion letter, we have examined originals or copies, certified or otherwise identified to our satisfaction,</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of:</w:t>
      </w:r>
    </w:p>
    <w:p>
      <w:pPr>
        <w:spacing w:after="0" w:line="22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 the Registration Statement, all exhibits thereto and the Prospectus;</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 the Restated Certificate of Incorporation of the Company, as presently in effect;</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 the Bylaws of the Company, as presently in effect;</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 the Agreement; and</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d. certain resolutions adopted by the Board of Directors of the Company relating to the issuance of the Shares.</w:t>
      </w:r>
    </w:p>
    <w:p>
      <w:pPr>
        <w:spacing w:after="0" w:line="239" w:lineRule="exact"/>
        <w:rPr>
          <w:sz w:val="20"/>
          <w:szCs w:val="20"/>
          <w:color w:val="auto"/>
        </w:rPr>
      </w:pPr>
    </w:p>
    <w:p>
      <w:pPr>
        <w:jc w:val="both"/>
        <w:ind w:left="100" w:right="20" w:firstLine="648"/>
        <w:spacing w:after="0" w:line="263" w:lineRule="auto"/>
        <w:rPr>
          <w:sz w:val="20"/>
          <w:szCs w:val="20"/>
          <w:color w:val="auto"/>
        </w:rPr>
      </w:pPr>
      <w:r>
        <w:rPr>
          <w:rFonts w:ascii="Arial" w:cs="Arial" w:eastAsia="Arial" w:hAnsi="Arial"/>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ectPr>
          <w:pgSz w:w="11900" w:h="16838" w:orient="portrait"/>
          <w:cols w:equalWidth="0" w:num="1">
            <w:col w:w="11140"/>
          </w:cols>
          <w:pgMar w:left="320" w:top="1440" w:right="439" w:bottom="1440" w:gutter="0" w:footer="0" w:header="0"/>
        </w:sectPr>
      </w:pPr>
    </w:p>
    <w:bookmarkStart w:id="5" w:name="page6"/>
    <w:bookmarkEnd w:id="5"/>
    <w:p>
      <w:pPr>
        <w:spacing w:after="0" w:line="29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In our examination, we have assumed the genuineness of all signatures, including endorsements, the legal capacity and competency of all natural persons, the authenticity of all documents submitted to us as originals, the conformity to original documents of all documents submitted to us as facsimile, electronic, certified or photostatic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securities being registered while the Registration Statement is effective under the Securities Act.</w:t>
      </w:r>
    </w:p>
    <w:p>
      <w:pPr>
        <w:spacing w:after="0" w:line="19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Based upon the foregoing and subject to the qualifications and assumptions stated herein, we are of the opinion that the Shares have been duly authorized by all requisite corporate action on the part of the Company under the Delaware General Corporation Law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and when the Shares are delivered to and paid for in accordance with the terms of the Agreement and when evidence of the issuance thereof is duly recorded in the Company’s books and records, the Shares will be validly issued, fully paid and non-assessable. In rendering the foregoing opinion, we have assumed that (i) the Company will comply with all applicable notice requirements regarding uncertificated shares provided in the DGCL and (ii) upon the issue of any of the Shares, the total number of shares of Common Stock issued and outstanding will not exceed the total number of shares of Common Stock that the Company is then authorized to issue under its Restated Certificate of Incorporation.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opinion which we render herein is limited to those matters governed by the DGCL and we express no opinion with respect to any other laws.</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filing of this opinion with the Commission as an exhibit to the Company’s Current Report on Form 8-K being filed on the date hereof and incorporated by reference into the Registration Statement. We also hereby consent to the reference to our firm under the heading “Legal Matters” in the Registration Statement. In giving this consent, we do not thereby admit that we are within the category of persons whose consent is required under Section 7 of the Securities Act or the General Rules and Regulations under the Securities Act.</w:t>
      </w: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Shares or any other agreements or transactions that may be related thereto or contemplated thereby. We are expressing no opinion as to any obligations that parties other than the Company may have under or in respect of the Shares, or as to the effect that their performance of such obligations may have upon any of the matters referred to above. No opinion may be implied or inferred beyond the opinion expressly stated above.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1032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03245" cy="1714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SHEPPARD, MULLIN, RICHTER &amp; HAMPTON LLP</w:t>
      </w:r>
    </w:p>
    <w:p>
      <w:pPr>
        <w:sectPr>
          <w:pgSz w:w="11900" w:h="16838" w:orient="portrait"/>
          <w:cols w:equalWidth="0" w:num="1">
            <w:col w:w="11040"/>
          </w:cols>
          <w:pgMar w:left="420" w:top="144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322"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OPAL FUELS INC.</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Class A Common Stock</w:t>
      </w:r>
    </w:p>
    <w:p>
      <w:pPr>
        <w:ind w:left="4360"/>
        <w:spacing w:after="0"/>
        <w:rPr>
          <w:sz w:val="20"/>
          <w:szCs w:val="20"/>
          <w:color w:val="auto"/>
        </w:rPr>
      </w:pPr>
      <w:r>
        <w:rPr>
          <w:rFonts w:ascii="Arial" w:cs="Arial" w:eastAsia="Arial" w:hAnsi="Arial"/>
          <w:sz w:val="22"/>
          <w:szCs w:val="22"/>
          <w:color w:val="auto"/>
        </w:rPr>
        <w:t>(par value $0.0001 per share)</w:t>
      </w:r>
    </w:p>
    <w:p>
      <w:pPr>
        <w:spacing w:after="0" w:line="209"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At Market Issuance Sales Agreement</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November 17, 2023</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B. Riley Securities, Inc.</w:t>
      </w:r>
    </w:p>
    <w:p>
      <w:pPr>
        <w:spacing w:after="0" w:line="184" w:lineRule="auto"/>
        <w:rPr>
          <w:sz w:val="20"/>
          <w:szCs w:val="20"/>
          <w:color w:val="auto"/>
        </w:rPr>
      </w:pPr>
      <w:r>
        <w:rPr>
          <w:rFonts w:ascii="Arial" w:cs="Arial" w:eastAsia="Arial" w:hAnsi="Arial"/>
          <w:sz w:val="20"/>
          <w:szCs w:val="20"/>
          <w:color w:val="auto"/>
        </w:rPr>
        <w:t>299 Park Avenue,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Floor</w:t>
      </w:r>
    </w:p>
    <w:p>
      <w:pPr>
        <w:spacing w:after="0"/>
        <w:rPr>
          <w:sz w:val="20"/>
          <w:szCs w:val="20"/>
          <w:color w:val="auto"/>
        </w:rPr>
      </w:pPr>
      <w:r>
        <w:rPr>
          <w:rFonts w:ascii="Arial" w:cs="Arial" w:eastAsia="Arial" w:hAnsi="Arial"/>
          <w:sz w:val="22"/>
          <w:szCs w:val="22"/>
          <w:color w:val="auto"/>
        </w:rPr>
        <w:t>New York, NY 10171</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Cantor Fitzgerald &amp; Co.</w:t>
      </w:r>
    </w:p>
    <w:p>
      <w:pPr>
        <w:spacing w:after="0" w:line="204" w:lineRule="auto"/>
        <w:rPr>
          <w:sz w:val="20"/>
          <w:szCs w:val="20"/>
          <w:color w:val="auto"/>
        </w:rPr>
      </w:pPr>
      <w:r>
        <w:rPr>
          <w:rFonts w:ascii="Arial" w:cs="Arial" w:eastAsia="Arial" w:hAnsi="Arial"/>
          <w:sz w:val="22"/>
          <w:szCs w:val="22"/>
          <w:color w:val="auto"/>
        </w:rPr>
        <w:t>110 East 59th Street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10022</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spacing w:after="0" w:line="217" w:lineRule="auto"/>
        <w:rPr>
          <w:sz w:val="20"/>
          <w:szCs w:val="20"/>
          <w:color w:val="auto"/>
        </w:rPr>
      </w:pPr>
      <w:r>
        <w:rPr>
          <w:rFonts w:ascii="Arial" w:cs="Arial" w:eastAsia="Arial" w:hAnsi="Arial"/>
          <w:sz w:val="22"/>
          <w:szCs w:val="22"/>
          <w:color w:val="auto"/>
        </w:rPr>
        <w:t>787 7th Avenue 11th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NY 10019</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Opal Fuels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confirms its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with B. Riley Securities, Inc., Cantor Fitzgerald &amp; Co. and Stifel, Nicolaus &amp; Company, Incorporated (each, an “</w:t>
      </w:r>
      <w:r>
        <w:rPr>
          <w:rFonts w:ascii="Arial" w:cs="Arial" w:eastAsia="Arial" w:hAnsi="Arial"/>
          <w:sz w:val="22"/>
          <w:szCs w:val="22"/>
          <w:u w:val="single" w:color="auto"/>
          <w:color w:val="auto"/>
        </w:rPr>
        <w:t>Agent</w:t>
      </w:r>
      <w:r>
        <w:rPr>
          <w:rFonts w:ascii="Arial" w:cs="Arial" w:eastAsia="Arial" w:hAnsi="Arial"/>
          <w:sz w:val="22"/>
          <w:szCs w:val="22"/>
          <w:color w:val="auto"/>
        </w:rPr>
        <w:t>” and, together, the “</w:t>
      </w:r>
      <w:r>
        <w:rPr>
          <w:rFonts w:ascii="Arial" w:cs="Arial" w:eastAsia="Arial" w:hAnsi="Arial"/>
          <w:sz w:val="22"/>
          <w:szCs w:val="22"/>
          <w:u w:val="single" w:color="auto"/>
          <w:color w:val="auto"/>
        </w:rPr>
        <w:t>Agents</w:t>
      </w:r>
      <w:r>
        <w:rPr>
          <w:rFonts w:ascii="Arial" w:cs="Arial" w:eastAsia="Arial" w:hAnsi="Arial"/>
          <w:sz w:val="22"/>
          <w:szCs w:val="22"/>
          <w:color w:val="auto"/>
        </w:rPr>
        <w:t>”) as follows:</w:t>
      </w:r>
    </w:p>
    <w:p>
      <w:pPr>
        <w:spacing w:after="0" w:line="126" w:lineRule="exact"/>
        <w:rPr>
          <w:sz w:val="20"/>
          <w:szCs w:val="20"/>
          <w:color w:val="auto"/>
        </w:rPr>
      </w:pPr>
    </w:p>
    <w:p>
      <w:pPr>
        <w:ind w:left="1300" w:hanging="563"/>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Issuance and Sale of Shares</w:t>
      </w:r>
      <w:r>
        <w:rPr>
          <w:rFonts w:ascii="Arial" w:cs="Arial" w:eastAsia="Arial" w:hAnsi="Arial"/>
          <w:sz w:val="22"/>
          <w:szCs w:val="22"/>
          <w:color w:val="auto"/>
        </w:rPr>
        <w:t>. The Company agrees that, from time to time during</w:t>
      </w:r>
    </w:p>
    <w:p>
      <w:pPr>
        <w:jc w:val="both"/>
        <w:spacing w:after="0"/>
        <w:rPr>
          <w:sz w:val="20"/>
          <w:szCs w:val="20"/>
          <w:color w:val="auto"/>
        </w:rPr>
      </w:pPr>
      <w:r>
        <w:rPr>
          <w:rFonts w:ascii="Arial" w:cs="Arial" w:eastAsia="Arial" w:hAnsi="Arial"/>
          <w:sz w:val="19"/>
          <w:szCs w:val="19"/>
          <w:color w:val="auto"/>
        </w:rPr>
        <w:t>the term of this Agreement, on the terms and subject to the conditions set forth herein, it may issue and sell through or to one of the Agents, as sales agent or principal, shares (the “</w:t>
      </w:r>
      <w:r>
        <w:rPr>
          <w:rFonts w:ascii="Arial" w:cs="Arial" w:eastAsia="Arial" w:hAnsi="Arial"/>
          <w:sz w:val="19"/>
          <w:szCs w:val="19"/>
          <w:u w:val="single" w:color="auto"/>
          <w:color w:val="auto"/>
        </w:rPr>
        <w:t>Placement Shares</w:t>
      </w:r>
      <w:r>
        <w:rPr>
          <w:rFonts w:ascii="Arial" w:cs="Arial" w:eastAsia="Arial" w:hAnsi="Arial"/>
          <w:sz w:val="19"/>
          <w:szCs w:val="19"/>
          <w:color w:val="auto"/>
        </w:rPr>
        <w:t>”) of the Company’s Class A Common Stock, par value $0.0001 per share (the “</w:t>
      </w:r>
      <w:r>
        <w:rPr>
          <w:rFonts w:ascii="Arial" w:cs="Arial" w:eastAsia="Arial" w:hAnsi="Arial"/>
          <w:sz w:val="19"/>
          <w:szCs w:val="19"/>
          <w:u w:val="single" w:color="auto"/>
          <w:color w:val="auto"/>
        </w:rPr>
        <w:t>Common Stock</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no event shall the Company issue or sell through the Agents such number of Placement Shares that (a) exceeds the number of shares or dollar amount of Common Stock registered on the effective Registration Statement (as defined below) pursuant to which the offering is being made or (b) exceeds the number of shares or dollar amount registered on the Prospectus Supplement (as defined below) (the lesser of (a) or (b), the “</w:t>
      </w:r>
      <w:r>
        <w:rPr>
          <w:rFonts w:ascii="Arial" w:cs="Arial" w:eastAsia="Arial" w:hAnsi="Arial"/>
          <w:sz w:val="19"/>
          <w:szCs w:val="19"/>
          <w:u w:val="single" w:color="auto"/>
          <w:color w:val="auto"/>
        </w:rPr>
        <w:t>Maximum</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xml:space="preserve">”) and </w:t>
      </w:r>
      <w:r>
        <w:rPr>
          <w:rFonts w:ascii="Arial" w:cs="Arial" w:eastAsia="Arial" w:hAnsi="Arial"/>
          <w:sz w:val="19"/>
          <w:szCs w:val="19"/>
          <w:i w:val="1"/>
          <w:iCs w:val="1"/>
          <w:color w:val="auto"/>
        </w:rPr>
        <w:t>provided further, however,</w:t>
      </w:r>
      <w:r>
        <w:rPr>
          <w:rFonts w:ascii="Arial" w:cs="Arial" w:eastAsia="Arial" w:hAnsi="Arial"/>
          <w:sz w:val="19"/>
          <w:szCs w:val="19"/>
          <w:color w:val="auto"/>
        </w:rPr>
        <w:t xml:space="preserve"> that in no event shall the aggregate number of Placement Shares sold pursuant to this Agreement exceed the number of authorized but unissued shares of Common Stock. Notwithstanding anything to the contrary contained herein, the parties hereto agree that compliance with the limitations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on the number of Placement Shares issued and sold under this Agreement shall be the sole responsibility of the Company and that the Agents shall have no obligation in connection with such compliance. The issuance and sale of Placement Shares through the Agents will be effected pursuant to the Registration Statement (as defined below), although nothing in this Agreement shall be construed as requiring the Company to use the Registration Statement to issue any Placement Shares.</w:t>
      </w:r>
    </w:p>
    <w:p>
      <w:pPr>
        <w:spacing w:after="0" w:line="2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The Company has filed, in accordance with the provisions of the Securities Act of 1933, as amended and the rules and regulations thereunder (the “</w:t>
      </w:r>
      <w:r>
        <w:rPr>
          <w:rFonts w:ascii="Arial" w:cs="Arial" w:eastAsia="Arial" w:hAnsi="Arial"/>
          <w:sz w:val="19"/>
          <w:szCs w:val="19"/>
          <w:u w:val="single" w:color="auto"/>
          <w:color w:val="auto"/>
        </w:rPr>
        <w:t>Securities Act</w:t>
      </w:r>
      <w:r>
        <w:rPr>
          <w:rFonts w:ascii="Arial" w:cs="Arial" w:eastAsia="Arial" w:hAnsi="Arial"/>
          <w:sz w:val="19"/>
          <w:szCs w:val="19"/>
          <w:color w:val="auto"/>
        </w:rPr>
        <w:t>”), with the Securities and Exchange Commission (the “Commission”), a registration statement on Form S-3 (File No. 333-273584), including a base prospectus, relating to certain securities, including the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834" w:right="339" w:bottom="1440" w:gutter="0" w:footer="0" w:header="0"/>
        </w:sectPr>
      </w:pPr>
    </w:p>
    <w:bookmarkStart w:id="7" w:name="page8"/>
    <w:bookmarkEnd w:id="7"/>
    <w:p>
      <w:pPr>
        <w:spacing w:after="0" w:line="28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The Company has prepared a prospectus supplement to the base prospectus included as part of such registration statement specifically relating to the Placement Shares (the “</w:t>
      </w:r>
      <w:r>
        <w:rPr>
          <w:rFonts w:ascii="Arial" w:cs="Arial" w:eastAsia="Arial" w:hAnsi="Arial"/>
          <w:sz w:val="19"/>
          <w:szCs w:val="19"/>
          <w:u w:val="single" w:color="auto"/>
          <w:color w:val="auto"/>
        </w:rPr>
        <w:t>Prospectus Supplement</w:t>
      </w:r>
      <w:r>
        <w:rPr>
          <w:rFonts w:ascii="Arial" w:cs="Arial" w:eastAsia="Arial" w:hAnsi="Arial"/>
          <w:sz w:val="19"/>
          <w:szCs w:val="19"/>
          <w:color w:val="auto"/>
        </w:rPr>
        <w:t>”). The Company will furnish to the Agents, for use by the Agents, copies of the base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415(a)</w:t>
      </w:r>
    </w:p>
    <w:p>
      <w:pPr>
        <w:spacing w:after="0" w:line="2" w:lineRule="exact"/>
        <w:rPr>
          <w:sz w:val="20"/>
          <w:szCs w:val="20"/>
          <w:color w:val="auto"/>
        </w:rPr>
      </w:pPr>
    </w:p>
    <w:p>
      <w:pPr>
        <w:jc w:val="both"/>
        <w:ind w:firstLine="8"/>
        <w:spacing w:after="0" w:line="241" w:lineRule="auto"/>
        <w:tabs>
          <w:tab w:leader="none" w:pos="319" w:val="left"/>
        </w:tabs>
        <w:numPr>
          <w:ilvl w:val="0"/>
          <w:numId w:val="3"/>
        </w:numPr>
        <w:rPr>
          <w:rFonts w:ascii="Arial" w:cs="Arial" w:eastAsia="Arial" w:hAnsi="Arial"/>
          <w:sz w:val="19"/>
          <w:szCs w:val="19"/>
          <w:color w:val="auto"/>
        </w:rPr>
      </w:pPr>
      <w:r>
        <w:rPr>
          <w:rFonts w:ascii="Arial" w:cs="Arial" w:eastAsia="Arial" w:hAnsi="Arial"/>
          <w:sz w:val="19"/>
          <w:szCs w:val="19"/>
          <w:color w:val="auto"/>
        </w:rPr>
        <w:t>under the Securities Act by the Company to cover any Placement Shares, is herein called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The base prospectus,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as it may be supplemented by the Prospectus Supplement, in the form in which such base prospectus and/or Prospectus Supplement have most recently been filed by the Company with the Commission pursuant to Rule 424(b) under the Securities Act is herein called the “</w:t>
      </w:r>
      <w:r>
        <w:rPr>
          <w:rFonts w:ascii="Arial" w:cs="Arial" w:eastAsia="Arial" w:hAnsi="Arial"/>
          <w:sz w:val="19"/>
          <w:szCs w:val="19"/>
          <w:u w:val="single" w:color="auto"/>
          <w:color w:val="auto"/>
        </w:rPr>
        <w:t>Prospectus</w:t>
      </w:r>
      <w:r>
        <w:rPr>
          <w:rFonts w:ascii="Arial" w:cs="Arial" w:eastAsia="Arial" w:hAnsi="Arial"/>
          <w:sz w:val="19"/>
          <w:szCs w:val="19"/>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by reference therein (the “</w:t>
      </w:r>
      <w:r>
        <w:rPr>
          <w:rFonts w:ascii="Arial" w:cs="Arial" w:eastAsia="Arial" w:hAnsi="Arial"/>
          <w:sz w:val="19"/>
          <w:szCs w:val="19"/>
          <w:u w:val="single" w:color="auto"/>
          <w:color w:val="auto"/>
        </w:rPr>
        <w:t>Incorporated Documents</w:t>
      </w:r>
      <w:r>
        <w:rPr>
          <w:rFonts w:ascii="Arial" w:cs="Arial" w:eastAsia="Arial" w:hAnsi="Arial"/>
          <w:sz w:val="19"/>
          <w:szCs w:val="19"/>
          <w:color w:val="auto"/>
        </w:rPr>
        <w:t>”).</w:t>
      </w:r>
    </w:p>
    <w:p>
      <w:pPr>
        <w:spacing w:after="0" w:line="27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22"/>
          <w:szCs w:val="22"/>
          <w:u w:val="single" w:color="auto"/>
          <w:color w:val="auto"/>
        </w:rPr>
        <w:t>EDGAR</w:t>
      </w:r>
      <w:r>
        <w:rPr>
          <w:rFonts w:ascii="Arial" w:cs="Arial" w:eastAsia="Arial" w:hAnsi="Arial"/>
          <w:sz w:val="22"/>
          <w:szCs w:val="22"/>
          <w:color w:val="auto"/>
        </w:rPr>
        <w:t>”).</w:t>
      </w:r>
    </w:p>
    <w:p>
      <w:pPr>
        <w:spacing w:after="0" w:line="134" w:lineRule="exact"/>
        <w:rPr>
          <w:sz w:val="20"/>
          <w:szCs w:val="20"/>
          <w:color w:val="auto"/>
        </w:rPr>
      </w:pPr>
    </w:p>
    <w:p>
      <w:pPr>
        <w:jc w:val="both"/>
        <w:ind w:left="20" w:firstLine="717"/>
        <w:spacing w:after="0" w:line="241" w:lineRule="auto"/>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Placements</w:t>
      </w:r>
      <w:r>
        <w:rPr>
          <w:rFonts w:ascii="Arial" w:cs="Arial" w:eastAsia="Arial" w:hAnsi="Arial"/>
          <w:sz w:val="19"/>
          <w:szCs w:val="19"/>
          <w:color w:val="auto"/>
        </w:rPr>
        <w:t>. Each time that the Company wishes to issue and sell Placement Shares hereunder (each, a “</w:t>
      </w:r>
      <w:r>
        <w:rPr>
          <w:rFonts w:ascii="Arial" w:cs="Arial" w:eastAsia="Arial" w:hAnsi="Arial"/>
          <w:sz w:val="19"/>
          <w:szCs w:val="19"/>
          <w:u w:val="single" w:color="auto"/>
          <w:color w:val="auto"/>
        </w:rPr>
        <w:t>Placement</w:t>
      </w:r>
      <w:r>
        <w:rPr>
          <w:rFonts w:ascii="Arial" w:cs="Arial" w:eastAsia="Arial" w:hAnsi="Arial"/>
          <w:sz w:val="19"/>
          <w:szCs w:val="19"/>
          <w:color w:val="auto"/>
        </w:rPr>
        <w:t>”), it will notify an Agent (the “</w:t>
      </w:r>
      <w:r>
        <w:rPr>
          <w:rFonts w:ascii="Arial" w:cs="Arial" w:eastAsia="Arial" w:hAnsi="Arial"/>
          <w:sz w:val="19"/>
          <w:szCs w:val="19"/>
          <w:u w:val="single" w:color="auto"/>
          <w:color w:val="auto"/>
        </w:rPr>
        <w:t>Designated Agent</w:t>
      </w:r>
      <w:r>
        <w:rPr>
          <w:rFonts w:ascii="Arial" w:cs="Arial" w:eastAsia="Arial" w:hAnsi="Arial"/>
          <w:sz w:val="19"/>
          <w:szCs w:val="19"/>
          <w:color w:val="auto"/>
        </w:rPr>
        <w:t>”) by electronic mail (or other method mutually agreed to in writing by the parties) of the number of Placement Shares, the time period during which sales are requested to be made, any limitation on the number of Placement Shares that may be sold in any one day and any minimum price below which sales may not be made (a “</w:t>
      </w:r>
      <w:r>
        <w:rPr>
          <w:rFonts w:ascii="Arial" w:cs="Arial" w:eastAsia="Arial" w:hAnsi="Arial"/>
          <w:sz w:val="19"/>
          <w:szCs w:val="19"/>
          <w:u w:val="single" w:color="auto"/>
          <w:color w:val="auto"/>
        </w:rPr>
        <w:t>Placement Notice</w:t>
      </w:r>
      <w:r>
        <w:rPr>
          <w:rFonts w:ascii="Arial" w:cs="Arial" w:eastAsia="Arial" w:hAnsi="Arial"/>
          <w:sz w:val="19"/>
          <w:szCs w:val="19"/>
          <w:color w:val="auto"/>
        </w:rPr>
        <w:t xml:space="preserve">”), the form of which is attached hereto as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The Placement Notice shall originate from any of the individuals from the Company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(with a copy to each of the other individuals from the Company listed on such schedule), and shall be addressed to each of the individuals from the Designated Agent as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as such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may be amended from time to time. The Placement Notice shall be effective immediately upon receipt by the Designated Agent unless and until (i) the Designated Agent declines to accept the terms contained therein for any reason, in its sole discretion, within two (2) Business Days (as defined below) of receipt of such Placement Notice, (ii) the entire amount of the Placement Shares thereunder has been sold, (iii) the Company suspends or terminates the Placement Notice, which suspension and termination rights may be exercised by the Company in its sole discretion, or (iv) this Agreement has been terminated under the provisions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Arial" w:cs="Arial" w:eastAsia="Arial" w:hAnsi="Arial"/>
          <w:sz w:val="19"/>
          <w:szCs w:val="19"/>
          <w:u w:val="single" w:color="auto"/>
          <w:color w:val="auto"/>
        </w:rPr>
        <w:t>Schedule 2</w:t>
      </w:r>
      <w:r>
        <w:rPr>
          <w:rFonts w:ascii="Arial" w:cs="Arial" w:eastAsia="Arial" w:hAnsi="Arial"/>
          <w:sz w:val="19"/>
          <w:szCs w:val="19"/>
          <w:color w:val="auto"/>
        </w:rPr>
        <w: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8" w:name="page9"/>
    <w:bookmarkEnd w:id="8"/>
    <w:p>
      <w:pPr>
        <w:spacing w:after="0" w:line="150" w:lineRule="exact"/>
        <w:rPr>
          <w:sz w:val="20"/>
          <w:szCs w:val="20"/>
          <w:color w:val="auto"/>
        </w:rPr>
      </w:pPr>
    </w:p>
    <w:p>
      <w:pPr>
        <w:jc w:val="both"/>
        <w:ind w:left="20"/>
        <w:spacing w:after="0" w:line="252" w:lineRule="auto"/>
        <w:rPr>
          <w:sz w:val="20"/>
          <w:szCs w:val="20"/>
          <w:color w:val="auto"/>
        </w:rPr>
      </w:pPr>
      <w:r>
        <w:rPr>
          <w:rFonts w:ascii="Arial" w:cs="Arial" w:eastAsia="Arial" w:hAnsi="Arial"/>
          <w:sz w:val="19"/>
          <w:szCs w:val="19"/>
          <w:color w:val="auto"/>
        </w:rPr>
        <w:t xml:space="preserve">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of this Agreement and the terms of a Placement Notice, the terms of the Placement Notice will control.</w:t>
      </w:r>
    </w:p>
    <w:p>
      <w:pPr>
        <w:spacing w:after="0" w:line="135" w:lineRule="exact"/>
        <w:rPr>
          <w:sz w:val="20"/>
          <w:szCs w:val="20"/>
          <w:color w:val="auto"/>
        </w:rPr>
      </w:pPr>
    </w:p>
    <w:p>
      <w:pPr>
        <w:jc w:val="both"/>
        <w:ind w:left="20" w:firstLine="636"/>
        <w:spacing w:after="0" w:line="242" w:lineRule="auto"/>
        <w:tabs>
          <w:tab w:leader="none" w:pos="1300"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Sale of Placement Shares by the Agents</w:t>
      </w:r>
      <w:r>
        <w:rPr>
          <w:rFonts w:ascii="Arial" w:cs="Arial" w:eastAsia="Arial" w:hAnsi="Arial"/>
          <w:sz w:val="19"/>
          <w:szCs w:val="19"/>
          <w:color w:val="auto"/>
        </w:rPr>
        <w:t>. Subject to the terms and conditions of this Agreement, for the period specified in a Placement Notice, the Designated Agent shall use its commercially reasonable efforts consistent with its normal trading and sales practices and applicable state and federal laws, rules and regulations and the rules of The NASDAQ Capital Market (the “</w:t>
      </w:r>
      <w:r>
        <w:rPr>
          <w:rFonts w:ascii="Arial" w:cs="Arial" w:eastAsia="Arial" w:hAnsi="Arial"/>
          <w:sz w:val="19"/>
          <w:szCs w:val="19"/>
          <w:u w:val="single" w:color="auto"/>
          <w:color w:val="auto"/>
        </w:rPr>
        <w:t>Exchange</w:t>
      </w:r>
      <w:r>
        <w:rPr>
          <w:rFonts w:ascii="Arial" w:cs="Arial" w:eastAsia="Arial" w:hAnsi="Arial"/>
          <w:sz w:val="19"/>
          <w:szCs w:val="19"/>
          <w:color w:val="auto"/>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such sales, and the Net Proceeds (as defined below) payable to the Company, with an itemization of the deductions made by the Designated Agent (as set forth in </w:t>
      </w:r>
      <w:r>
        <w:rPr>
          <w:rFonts w:ascii="Arial" w:cs="Arial" w:eastAsia="Arial" w:hAnsi="Arial"/>
          <w:sz w:val="19"/>
          <w:szCs w:val="19"/>
          <w:u w:val="single" w:color="auto"/>
          <w:color w:val="auto"/>
        </w:rPr>
        <w:t>Section 5(b))</w:t>
      </w:r>
      <w:r>
        <w:rPr>
          <w:rFonts w:ascii="Arial" w:cs="Arial" w:eastAsia="Arial" w:hAnsi="Arial"/>
          <w:sz w:val="19"/>
          <w:szCs w:val="19"/>
          <w:color w:val="auto"/>
        </w:rPr>
        <w:t xml:space="preserve"> from the gross proceeds that it receives from such sales. Subject to the terms of a Placement Notice, the Designated Agent may sell Placement Shares by any method permitted by law deemed to be an “at the market offering” as defined in Rule 415 of the Securities Act. “</w:t>
      </w:r>
      <w:r>
        <w:rPr>
          <w:rFonts w:ascii="Arial" w:cs="Arial" w:eastAsia="Arial" w:hAnsi="Arial"/>
          <w:sz w:val="19"/>
          <w:szCs w:val="19"/>
          <w:u w:val="single" w:color="auto"/>
          <w:color w:val="auto"/>
        </w:rPr>
        <w:t>Trading Day</w:t>
      </w:r>
      <w:r>
        <w:rPr>
          <w:rFonts w:ascii="Arial" w:cs="Arial" w:eastAsia="Arial" w:hAnsi="Arial"/>
          <w:sz w:val="19"/>
          <w:szCs w:val="19"/>
          <w:color w:val="auto"/>
        </w:rPr>
        <w:t>” means any day on which shares of Common Stock are purchased and sold on the Exchange.</w:t>
      </w:r>
    </w:p>
    <w:p>
      <w:pPr>
        <w:spacing w:after="0" w:line="137" w:lineRule="exact"/>
        <w:rPr>
          <w:rFonts w:ascii="Arial" w:cs="Arial" w:eastAsia="Arial" w:hAnsi="Arial"/>
          <w:sz w:val="19"/>
          <w:szCs w:val="19"/>
          <w:color w:val="auto"/>
        </w:rPr>
      </w:pPr>
    </w:p>
    <w:p>
      <w:pPr>
        <w:jc w:val="both"/>
        <w:ind w:left="20" w:firstLine="636"/>
        <w:spacing w:after="0" w:line="219" w:lineRule="auto"/>
        <w:tabs>
          <w:tab w:leader="none" w:pos="1303"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Suspension of Sales</w:t>
      </w:r>
      <w:r>
        <w:rPr>
          <w:rFonts w:ascii="Arial" w:cs="Arial" w:eastAsia="Arial" w:hAnsi="Arial"/>
          <w:sz w:val="21"/>
          <w:szCs w:val="21"/>
          <w:color w:val="auto"/>
        </w:rPr>
        <w:t xml:space="preserve">. The Company or the Designated Agent may, upon notice to the other party in writing (including by email correspondence to each of the individuals of the other party set forth on </w:t>
      </w:r>
      <w:r>
        <w:rPr>
          <w:rFonts w:ascii="Arial" w:cs="Arial" w:eastAsia="Arial" w:hAnsi="Arial"/>
          <w:sz w:val="21"/>
          <w:szCs w:val="21"/>
          <w:u w:val="single" w:color="auto"/>
          <w:color w:val="auto"/>
        </w:rPr>
        <w:t>Schedule 3</w:t>
      </w:r>
      <w:r>
        <w:rPr>
          <w:rFonts w:ascii="Arial" w:cs="Arial" w:eastAsia="Arial" w:hAnsi="Arial"/>
          <w:sz w:val="21"/>
          <w:szCs w:val="21"/>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3), suspend the sale of Placement Shares (a “</w:t>
      </w:r>
      <w:r>
        <w:rPr>
          <w:rFonts w:ascii="Arial" w:cs="Arial" w:eastAsia="Arial" w:hAnsi="Arial"/>
          <w:sz w:val="21"/>
          <w:szCs w:val="21"/>
          <w:u w:val="single" w:color="auto"/>
          <w:color w:val="auto"/>
        </w:rPr>
        <w:t>Suspension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Arial" w:cs="Arial" w:eastAsia="Arial" w:hAnsi="Arial"/>
          <w:sz w:val="21"/>
          <w:szCs w:val="21"/>
          <w:u w:val="single" w:color="auto"/>
          <w:color w:val="auto"/>
        </w:rPr>
        <w:t>Sections 7(l)</w:t>
      </w:r>
      <w:r>
        <w:rPr>
          <w:rFonts w:ascii="Arial" w:cs="Arial" w:eastAsia="Arial" w:hAnsi="Arial"/>
          <w:sz w:val="21"/>
          <w:szCs w:val="21"/>
          <w:color w:val="auto"/>
        </w:rPr>
        <w:t xml:space="preserve">, </w:t>
      </w:r>
      <w:r>
        <w:rPr>
          <w:rFonts w:ascii="Arial" w:cs="Arial" w:eastAsia="Arial" w:hAnsi="Arial"/>
          <w:sz w:val="21"/>
          <w:szCs w:val="21"/>
          <w:u w:val="single" w:color="auto"/>
          <w:color w:val="auto"/>
        </w:rPr>
        <w:t>7(m)</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7(n)</w:t>
      </w:r>
      <w:r>
        <w:rPr>
          <w:rFonts w:ascii="Arial" w:cs="Arial" w:eastAsia="Arial" w:hAnsi="Arial"/>
          <w:sz w:val="21"/>
          <w:szCs w:val="21"/>
          <w:color w:val="auto"/>
        </w:rPr>
        <w:t xml:space="preserve"> with respect to the delivery of certificates, opinions or comfort letters to the Agents shall be waived. Each of the parties agrees that no such notice under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be effective against any other party unless it is made to one of the individuals named on </w:t>
      </w:r>
      <w:r>
        <w:rPr>
          <w:rFonts w:ascii="Arial" w:cs="Arial" w:eastAsia="Arial" w:hAnsi="Arial"/>
          <w:sz w:val="21"/>
          <w:szCs w:val="21"/>
          <w:u w:val="single" w:color="auto"/>
          <w:color w:val="auto"/>
        </w:rPr>
        <w:t>Schedule 3</w:t>
      </w:r>
      <w:r>
        <w:rPr>
          <w:rFonts w:ascii="Arial" w:cs="Arial" w:eastAsia="Arial" w:hAnsi="Arial"/>
          <w:sz w:val="21"/>
          <w:szCs w:val="21"/>
          <w:color w:val="auto"/>
        </w:rPr>
        <w:t xml:space="preserve"> hereto, as such Schedule may be amended from time to time, and no such notice by an Agent under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be effective with respect to another Agent.</w:t>
      </w:r>
    </w:p>
    <w:p>
      <w:pPr>
        <w:spacing w:after="0" w:line="154" w:lineRule="exact"/>
        <w:rPr>
          <w:rFonts w:ascii="Arial" w:cs="Arial" w:eastAsia="Arial" w:hAnsi="Arial"/>
          <w:sz w:val="21"/>
          <w:szCs w:val="21"/>
          <w:color w:val="auto"/>
        </w:rPr>
      </w:pPr>
    </w:p>
    <w:p>
      <w:pPr>
        <w:ind w:left="1300" w:hanging="644"/>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Sale and Delivery to the Agents; Settlement</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firstLine="1296"/>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Sale of Placement Shares</w:t>
      </w:r>
      <w:r>
        <w:rPr>
          <w:rFonts w:ascii="Arial" w:cs="Arial" w:eastAsia="Arial" w:hAnsi="Arial"/>
          <w:sz w:val="19"/>
          <w:szCs w:val="19"/>
          <w:color w:val="auto"/>
        </w:rPr>
        <w:t>.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9" w:name="page10"/>
    <w:bookmarkEnd w:id="9"/>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failure by the Designated Agent to use their commercially reasonable efforts consistent with its normal trading and sales practices and applicable state and federal laws, rules and regulations and the rules of the Exchange to sell such Placement Shares as required under this Agreement and (iii) the Agents shall be under no obligation to purchase Placement Shares on a principal basis pursuant to this Agreement, except as otherwise agreed by the Designated Agent and the Company.</w:t>
      </w:r>
    </w:p>
    <w:p>
      <w:pPr>
        <w:spacing w:after="0" w:line="131" w:lineRule="exact"/>
        <w:rPr>
          <w:sz w:val="20"/>
          <w:szCs w:val="20"/>
          <w:color w:val="auto"/>
        </w:rPr>
      </w:pPr>
    </w:p>
    <w:p>
      <w:pPr>
        <w:jc w:val="both"/>
        <w:ind w:firstLine="1304"/>
        <w:spacing w:after="0" w:line="214" w:lineRule="auto"/>
        <w:tabs>
          <w:tab w:leader="none" w:pos="1944"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Settlement of Placement Shares</w:t>
      </w:r>
      <w:r>
        <w:rPr>
          <w:rFonts w:ascii="Arial" w:cs="Arial" w:eastAsia="Arial" w:hAnsi="Arial"/>
          <w:sz w:val="21"/>
          <w:szCs w:val="21"/>
          <w:color w:val="auto"/>
        </w:rPr>
        <w:t>. Unless otherwise specified in the applicable Placement Notice, settlement for sales of Placement Shares will occur on the second (2</w:t>
      </w:r>
      <w:r>
        <w:rPr>
          <w:rFonts w:ascii="Arial" w:cs="Arial" w:eastAsia="Arial" w:hAnsi="Arial"/>
          <w:sz w:val="27"/>
          <w:szCs w:val="27"/>
          <w:color w:val="auto"/>
          <w:vertAlign w:val="superscript"/>
        </w:rPr>
        <w:t>nd</w:t>
      </w:r>
      <w:r>
        <w:rPr>
          <w:rFonts w:ascii="Arial" w:cs="Arial" w:eastAsia="Arial" w:hAnsi="Arial"/>
          <w:sz w:val="21"/>
          <w:szCs w:val="21"/>
          <w:color w:val="auto"/>
        </w:rPr>
        <w:t>) Trading Day (or such earlier day as is industry practice for regular-way trading) following the date on which such sales are made (each, a “</w:t>
      </w:r>
      <w:r>
        <w:rPr>
          <w:rFonts w:ascii="Arial" w:cs="Arial" w:eastAsia="Arial" w:hAnsi="Arial"/>
          <w:sz w:val="21"/>
          <w:szCs w:val="21"/>
          <w:u w:val="single" w:color="auto"/>
          <w:color w:val="auto"/>
        </w:rPr>
        <w:t>Settlement Date</w:t>
      </w:r>
      <w:r>
        <w:rPr>
          <w:rFonts w:ascii="Arial" w:cs="Arial" w:eastAsia="Arial" w:hAnsi="Arial"/>
          <w:sz w:val="21"/>
          <w:szCs w:val="21"/>
          <w:color w:val="auto"/>
        </w:rPr>
        <w:t>”). The Designated Agent shall notify the Company of each sale of Placement Shares no later than the opening of trading on the Trading Day following the Trading Day that the Designated Agent sold Placement Shares. The amount of proceeds to be delivered to the Company on a Settlement Date against receipt of the Placement Shares sold (the “</w:t>
      </w:r>
      <w:r>
        <w:rPr>
          <w:rFonts w:ascii="Arial" w:cs="Arial" w:eastAsia="Arial" w:hAnsi="Arial"/>
          <w:sz w:val="21"/>
          <w:szCs w:val="21"/>
          <w:u w:val="single" w:color="auto"/>
          <w:color w:val="auto"/>
        </w:rPr>
        <w:t>Net Proceeds</w:t>
      </w:r>
      <w:r>
        <w:rPr>
          <w:rFonts w:ascii="Arial" w:cs="Arial" w:eastAsia="Arial" w:hAnsi="Arial"/>
          <w:sz w:val="21"/>
          <w:szCs w:val="21"/>
          <w:color w:val="auto"/>
        </w:rPr>
        <w:t xml:space="preserve">”) will be equal to the aggregate sales price received by the relevant Agent, after deduction for (i) the Designated Agent’s commission, discount or other compensation for such sales payable by the Company pursuant to </w:t>
      </w:r>
      <w:r>
        <w:rPr>
          <w:rFonts w:ascii="Arial" w:cs="Arial" w:eastAsia="Arial" w:hAnsi="Arial"/>
          <w:sz w:val="21"/>
          <w:szCs w:val="21"/>
          <w:u w:val="single" w:color="auto"/>
          <w:color w:val="auto"/>
        </w:rPr>
        <w:t>Section 2</w:t>
      </w:r>
      <w:r>
        <w:rPr>
          <w:rFonts w:ascii="Arial" w:cs="Arial" w:eastAsia="Arial" w:hAnsi="Arial"/>
          <w:sz w:val="21"/>
          <w:szCs w:val="21"/>
          <w:color w:val="auto"/>
        </w:rPr>
        <w:t xml:space="preserve"> hereof, and (ii) any transaction fees imposed by any governmental or self-regulatory organization in respect of such sales.</w:t>
      </w:r>
    </w:p>
    <w:p>
      <w:pPr>
        <w:spacing w:after="0" w:line="133" w:lineRule="exact"/>
        <w:rPr>
          <w:rFonts w:ascii="Arial" w:cs="Arial" w:eastAsia="Arial" w:hAnsi="Arial"/>
          <w:sz w:val="21"/>
          <w:szCs w:val="21"/>
          <w:color w:val="auto"/>
        </w:rPr>
      </w:pPr>
    </w:p>
    <w:p>
      <w:pPr>
        <w:jc w:val="both"/>
        <w:ind w:firstLine="1304"/>
        <w:spacing w:after="0" w:line="241" w:lineRule="auto"/>
        <w:tabs>
          <w:tab w:leader="none" w:pos="1932"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Delivery of Placement Shares</w:t>
      </w:r>
      <w:r>
        <w:rPr>
          <w:rFonts w:ascii="Arial" w:cs="Arial" w:eastAsia="Arial" w:hAnsi="Arial"/>
          <w:sz w:val="19"/>
          <w:szCs w:val="19"/>
          <w:color w:val="auto"/>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Designated Agent, then in addition to and in no way limiting the rights and obligations set forth in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hereto, it will (i) hold the Designated Agent harmless against any loss, claim, damage, or reasonable, documented out-of-pocket expense (including reasonable and documented out-of-pocket legal fees and expenses), as incurred, arising out of or in connection with such default by the Company or its transfer agent (if applicable) and (ii) pay to the Designated Agent (without duplication) any commission, discount, or other compensation to which it would otherwise have been entitled absent such default.</w:t>
      </w:r>
    </w:p>
    <w:p>
      <w:pPr>
        <w:spacing w:after="0" w:line="154" w:lineRule="exact"/>
        <w:rPr>
          <w:rFonts w:ascii="Arial" w:cs="Arial" w:eastAsia="Arial" w:hAnsi="Arial"/>
          <w:sz w:val="19"/>
          <w:szCs w:val="19"/>
          <w:color w:val="auto"/>
        </w:rPr>
      </w:pPr>
    </w:p>
    <w:p>
      <w:pPr>
        <w:jc w:val="both"/>
        <w:ind w:firstLine="1304"/>
        <w:spacing w:after="0" w:line="244" w:lineRule="auto"/>
        <w:tabs>
          <w:tab w:leader="none" w:pos="1944"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Limitations on Offering Size</w:t>
      </w:r>
      <w:r>
        <w:rPr>
          <w:rFonts w:ascii="Arial" w:cs="Arial" w:eastAsia="Arial" w:hAnsi="Arial"/>
          <w:sz w:val="19"/>
          <w:szCs w:val="19"/>
          <w:color w:val="auto"/>
        </w:rPr>
        <w:t>. Under no circumstances shall the Company cause or request the offer or sale of any Placement Shares if, after giving effect to the sale of such Placement Shares, the aggregate number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executive committee, and notified to the Agents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Agents in writing.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50" w:lineRule="exact"/>
        <w:rPr>
          <w:sz w:val="20"/>
          <w:szCs w:val="20"/>
          <w:color w:val="auto"/>
        </w:rPr>
      </w:pPr>
    </w:p>
    <w:p>
      <w:pPr>
        <w:jc w:val="both"/>
        <w:ind w:left="20" w:firstLine="636"/>
        <w:spacing w:after="0" w:line="218" w:lineRule="auto"/>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Except as disclosed in the Registration Statement or the Prospectus (including the Incorporated Documents), the Company represents and warrants to, and agrees with each of the Agents that as of the date of this Agreement and as of each Applicable Time (as defined below), unless such representation, warranty or agreement specifies a different date or time:</w:t>
      </w:r>
    </w:p>
    <w:p>
      <w:pPr>
        <w:spacing w:after="0" w:line="147" w:lineRule="exact"/>
        <w:rPr>
          <w:rFonts w:ascii="Arial" w:cs="Arial" w:eastAsia="Arial" w:hAnsi="Arial"/>
          <w:sz w:val="22"/>
          <w:szCs w:val="22"/>
          <w:color w:val="auto"/>
        </w:rPr>
      </w:pPr>
    </w:p>
    <w:p>
      <w:pPr>
        <w:jc w:val="both"/>
        <w:ind w:firstLine="1304"/>
        <w:spacing w:after="0" w:line="212" w:lineRule="auto"/>
        <w:tabs>
          <w:tab w:leader="none" w:pos="1932"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Registration Statement and Prospectus</w:t>
      </w:r>
      <w:r>
        <w:rPr>
          <w:rFonts w:ascii="Arial" w:cs="Arial" w:eastAsia="Arial" w:hAnsi="Arial"/>
          <w:sz w:val="22"/>
          <w:szCs w:val="22"/>
          <w:color w:val="auto"/>
        </w:rPr>
        <w:t>. The Company meets the requirements for use of Form S-3 under the Securities Act. The Registration Statement and any post-effective amendment thereto has become effective under the Securities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137" w:lineRule="exact"/>
        <w:rPr>
          <w:sz w:val="20"/>
          <w:szCs w:val="20"/>
          <w:color w:val="auto"/>
        </w:rPr>
      </w:pPr>
    </w:p>
    <w:p>
      <w:pPr>
        <w:jc w:val="both"/>
        <w:ind w:firstLine="507"/>
        <w:spacing w:after="0"/>
        <w:rPr>
          <w:sz w:val="20"/>
          <w:szCs w:val="20"/>
          <w:color w:val="auto"/>
        </w:rPr>
      </w:pPr>
      <w:r>
        <w:rPr>
          <w:rFonts w:ascii="Arial" w:cs="Arial" w:eastAsia="Arial" w:hAnsi="Arial"/>
          <w:sz w:val="19"/>
          <w:szCs w:val="19"/>
          <w:color w:val="auto"/>
        </w:rPr>
        <w:t>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Agents have consented, which consent will not be unreasonably withheld or delayed, or that is required by applicable law or the listing maintenance requirements of the Exchange. The Common Stock is currently quoted on the Exchange under the trading symbol “OPAL.” The Company has not, in the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w:t>
      </w:r>
    </w:p>
    <w:p>
      <w:pPr>
        <w:spacing w:after="0" w:line="374" w:lineRule="exact"/>
        <w:rPr>
          <w:sz w:val="20"/>
          <w:szCs w:val="20"/>
          <w:color w:val="auto"/>
        </w:rPr>
      </w:pPr>
    </w:p>
    <w:p>
      <w:pPr>
        <w:jc w:val="both"/>
        <w:ind w:firstLine="1304"/>
        <w:spacing w:after="0" w:line="244" w:lineRule="auto"/>
        <w:tabs>
          <w:tab w:leader="none" w:pos="194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No Misstatement or Omission</w:t>
      </w:r>
      <w:r>
        <w:rPr>
          <w:rFonts w:ascii="Arial" w:cs="Arial" w:eastAsia="Arial" w:hAnsi="Arial"/>
          <w:sz w:val="19"/>
          <w:szCs w:val="19"/>
          <w:color w:val="auto"/>
        </w:rPr>
        <w: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50"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Agents specifically for use in the preparation thereof.</w:t>
      </w:r>
    </w:p>
    <w:p>
      <w:pPr>
        <w:spacing w:after="0" w:line="119" w:lineRule="exact"/>
        <w:rPr>
          <w:sz w:val="20"/>
          <w:szCs w:val="20"/>
          <w:color w:val="auto"/>
        </w:rPr>
      </w:pPr>
    </w:p>
    <w:p>
      <w:pPr>
        <w:jc w:val="both"/>
        <w:ind w:firstLine="1304"/>
        <w:spacing w:after="0" w:line="216" w:lineRule="auto"/>
        <w:tabs>
          <w:tab w:leader="none" w:pos="1932"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Conformity with Securities Act and Exchange Act</w:t>
      </w:r>
      <w:r>
        <w:rPr>
          <w:rFonts w:ascii="Arial" w:cs="Arial" w:eastAsia="Arial" w:hAnsi="Arial"/>
          <w:sz w:val="22"/>
          <w:szCs w:val="22"/>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30" w:lineRule="exact"/>
        <w:rPr>
          <w:rFonts w:ascii="Arial" w:cs="Arial" w:eastAsia="Arial" w:hAnsi="Arial"/>
          <w:sz w:val="22"/>
          <w:szCs w:val="22"/>
          <w:color w:val="auto"/>
        </w:rPr>
      </w:pPr>
    </w:p>
    <w:p>
      <w:pPr>
        <w:jc w:val="both"/>
        <w:ind w:firstLine="1304"/>
        <w:spacing w:after="0" w:line="246" w:lineRule="auto"/>
        <w:tabs>
          <w:tab w:leader="none" w:pos="194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Ineligible Issuer</w:t>
      </w:r>
      <w:r>
        <w:rPr>
          <w:rFonts w:ascii="Arial" w:cs="Arial" w:eastAsia="Arial" w:hAnsi="Arial"/>
          <w:sz w:val="19"/>
          <w:szCs w:val="19"/>
          <w:color w:val="auto"/>
        </w:rPr>
        <w:t>. The Company is an “ineligible issuer” in connection with the offering pursuant to Rules 164, 405 and 433 under the Securities Act. The Company has not, directly or indirectly, offered or sold any shares of Common Stock by means of any “prospectus” (within the meaning of the Securities Act) or used any “prospectus” (within the meaning of the Securities Act) in connection with the offer or sale of the Securities, in each case other than the Registration Statement; the Company has not, directly or indirectly, prepared, used or referred to, and will not, directly or indirectly, prepare, use or refer to, any free writing prospectus in connection with the offer and sale of the Placement Shares for so long as the Company remains an “ineligible issuer”; and the Company was and is an “ineligible issuer” (as defined in Rule 405 under the Act) as of the time of filing of the Registration Statement and as of the time of each sale of the Securities in connection with the offering.</w:t>
      </w:r>
    </w:p>
    <w:p>
      <w:pPr>
        <w:spacing w:after="0" w:line="138" w:lineRule="exact"/>
        <w:rPr>
          <w:rFonts w:ascii="Arial" w:cs="Arial" w:eastAsia="Arial" w:hAnsi="Arial"/>
          <w:sz w:val="19"/>
          <w:szCs w:val="19"/>
          <w:color w:val="auto"/>
        </w:rPr>
      </w:pPr>
    </w:p>
    <w:p>
      <w:pPr>
        <w:jc w:val="both"/>
        <w:ind w:firstLine="1304"/>
        <w:spacing w:after="0" w:line="223" w:lineRule="auto"/>
        <w:tabs>
          <w:tab w:leader="none" w:pos="1932"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Emerging Growth Company Status.</w:t>
      </w:r>
      <w:r>
        <w:rPr>
          <w:rFonts w:ascii="Arial" w:cs="Arial" w:eastAsia="Arial" w:hAnsi="Arial"/>
          <w:sz w:val="22"/>
          <w:szCs w:val="22"/>
          <w:color w:val="auto"/>
        </w:rPr>
        <w:t xml:space="preserve"> From the time of the initial filing of each Registration Statement with the Commission through the date hereof, the Company has been and is an “emerging growth company,” as defined in Section 2(a) of the Securities Act.</w:t>
      </w:r>
    </w:p>
    <w:p>
      <w:pPr>
        <w:spacing w:after="0" w:line="131" w:lineRule="exact"/>
        <w:rPr>
          <w:rFonts w:ascii="Arial" w:cs="Arial" w:eastAsia="Arial" w:hAnsi="Arial"/>
          <w:sz w:val="22"/>
          <w:szCs w:val="22"/>
          <w:color w:val="auto"/>
        </w:rPr>
      </w:pPr>
    </w:p>
    <w:p>
      <w:pPr>
        <w:jc w:val="both"/>
        <w:ind w:firstLine="1304"/>
        <w:spacing w:after="0" w:line="244" w:lineRule="auto"/>
        <w:tabs>
          <w:tab w:leader="none" w:pos="1935"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included in each of the Registration Statement and the Prospectus, together with the related schedules and notes thereto, comply as to form in all material respects with the applicable accounting requirements of the Securities Act and the Exchange Act, as applicable,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Arial" w:cs="Arial" w:eastAsia="Arial" w:hAnsi="Arial"/>
          <w:sz w:val="19"/>
          <w:szCs w:val="19"/>
          <w:u w:val="single" w:color="auto"/>
          <w:color w:val="auto"/>
        </w:rPr>
        <w:t>GAAP</w:t>
      </w:r>
      <w:r>
        <w:rPr>
          <w:rFonts w:ascii="Arial" w:cs="Arial" w:eastAsia="Arial" w:hAnsi="Arial"/>
          <w:sz w:val="19"/>
          <w:szCs w:val="19"/>
          <w:color w:val="auto"/>
        </w:rPr>
        <w:t>”) applied on a consistent basis throughout the periods covered thereby except for any normal year-end adjustments in the Company’s quarterly financial statements. The other financial information included in the Registration Statement and the Prospectus has been derived from the accounting records of the Company and its consolidated subsidiaries and presents fairly in all material respects the information shown thereby.</w:t>
      </w:r>
    </w:p>
    <w:p>
      <w:pPr>
        <w:spacing w:after="0" w:line="133" w:lineRule="exact"/>
        <w:rPr>
          <w:rFonts w:ascii="Arial" w:cs="Arial" w:eastAsia="Arial" w:hAnsi="Arial"/>
          <w:sz w:val="19"/>
          <w:szCs w:val="19"/>
          <w:color w:val="auto"/>
        </w:rPr>
      </w:pPr>
    </w:p>
    <w:p>
      <w:pPr>
        <w:jc w:val="both"/>
        <w:ind w:right="20" w:firstLine="1304"/>
        <w:spacing w:after="0" w:line="234" w:lineRule="auto"/>
        <w:tabs>
          <w:tab w:leader="none" w:pos="1944"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Conformity with EDGAR Filing</w:t>
      </w:r>
      <w:r>
        <w:rPr>
          <w:rFonts w:ascii="Arial" w:cs="Arial" w:eastAsia="Arial" w:hAnsi="Arial"/>
          <w:sz w:val="21"/>
          <w:szCs w:val="21"/>
          <w:color w:val="auto"/>
        </w:rPr>
        <w:t>. The Prospectus delivered to the Agents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44" w:lineRule="exact"/>
        <w:rPr>
          <w:rFonts w:ascii="Arial" w:cs="Arial" w:eastAsia="Arial" w:hAnsi="Arial"/>
          <w:sz w:val="21"/>
          <w:szCs w:val="21"/>
          <w:color w:val="auto"/>
        </w:rPr>
      </w:pPr>
    </w:p>
    <w:p>
      <w:pPr>
        <w:jc w:val="both"/>
        <w:ind w:firstLine="1304"/>
        <w:spacing w:after="0" w:line="249" w:lineRule="auto"/>
        <w:tabs>
          <w:tab w:leader="none" w:pos="194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 in Business</w:t>
      </w:r>
      <w:r>
        <w:rPr>
          <w:rFonts w:ascii="Arial" w:cs="Arial" w:eastAsia="Arial" w:hAnsi="Arial"/>
          <w:sz w:val="19"/>
          <w:szCs w:val="19"/>
          <w:color w:val="auto"/>
        </w:rPr>
        <w:t>. Except as otherwise stated therein, since the respective dates as of which information is given in the Registration Statement or the Prospectus, (A) there has been no material adverse change (i) in the condition, financial or otherwise, or in the earnings, business affairs or business prospects of the Company and its subsidiaries considered as one enterprise, whether or not arising in the ordinary course of business, (ii) on the legality, validity or enforceability of this Agreement and any other documents or agreements executed in connection with the transactions contemplated hereunder or (iii) on the Company’s ability to perform in any material respect on a timely basis 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obligations under Agreement and this Agreement any other documents or agreements executed in connection with the transactions contemplated hereunder (any material adverse change pursuant to this clause (A), a “Material Adverse Effect”),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w:t>
      </w:r>
    </w:p>
    <w:p>
      <w:pPr>
        <w:spacing w:after="0" w:line="135" w:lineRule="exact"/>
        <w:rPr>
          <w:sz w:val="20"/>
          <w:szCs w:val="20"/>
          <w:color w:val="auto"/>
        </w:rPr>
      </w:pPr>
    </w:p>
    <w:p>
      <w:pPr>
        <w:jc w:val="both"/>
        <w:ind w:firstLine="1304"/>
        <w:spacing w:after="0" w:line="224" w:lineRule="auto"/>
        <w:tabs>
          <w:tab w:leader="none" w:pos="1936"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Good Standing of the Company</w:t>
      </w:r>
      <w:r>
        <w:rPr>
          <w:rFonts w:ascii="Arial" w:cs="Arial" w:eastAsia="Arial" w:hAnsi="Arial"/>
          <w:sz w:val="21"/>
          <w:szCs w:val="21"/>
          <w:color w:val="auto"/>
        </w:rPr>
        <w:t>.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w:t>
      </w:r>
    </w:p>
    <w:p>
      <w:pPr>
        <w:spacing w:after="0" w:line="132" w:lineRule="exact"/>
        <w:rPr>
          <w:rFonts w:ascii="Arial" w:cs="Arial" w:eastAsia="Arial" w:hAnsi="Arial"/>
          <w:sz w:val="21"/>
          <w:szCs w:val="21"/>
          <w:color w:val="auto"/>
        </w:rPr>
      </w:pPr>
    </w:p>
    <w:p>
      <w:pPr>
        <w:jc w:val="both"/>
        <w:ind w:firstLine="1304"/>
        <w:spacing w:after="0" w:line="242" w:lineRule="auto"/>
        <w:tabs>
          <w:tab w:leader="none" w:pos="1936"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Each “significant subsidiary” (as such term is defined in Rule 1-02 of Regulation S-X) of the Company (the “</w:t>
      </w:r>
      <w:r>
        <w:rPr>
          <w:rFonts w:ascii="Arial" w:cs="Arial" w:eastAsia="Arial" w:hAnsi="Arial"/>
          <w:sz w:val="19"/>
          <w:szCs w:val="19"/>
          <w:u w:val="single" w:color="auto"/>
          <w:color w:val="auto"/>
        </w:rPr>
        <w:t>Significant Subsidiaries</w:t>
      </w:r>
      <w:r>
        <w:rPr>
          <w:rFonts w:ascii="Arial" w:cs="Arial" w:eastAsia="Arial" w:hAnsi="Arial"/>
          <w:sz w:val="19"/>
          <w:szCs w:val="19"/>
          <w:color w:val="auto"/>
        </w:rPr>
        <w:t>”) has been duly incorporated, organized or formed, is validly existing as a corporation or other business entity in good standing under the laws of the jurisdiction of its incorporation, organization or formation (to the extent the concept of good standing or any functional equivalent is applicable in such jurisdiction), has the corporate or other business entity power and authority to own or lease its property and to conduct its business as described in the Registration Statement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have a Material Adverse Effect; all of the issued shares of capital stock or other equity interests of each Significant Subsidiary of the Company have been duly and validly authorized and issued, are fully paid and non-assessable and are owned directly or indirectly by the Company, free and clear of all liens, encumbrances, equities or claims, except for such liens, encumbrances, equities or claims that would not be material to the Company and its subsidiaries, taken as a whole.</w:t>
      </w:r>
    </w:p>
    <w:p>
      <w:pPr>
        <w:spacing w:after="0" w:line="371" w:lineRule="exact"/>
        <w:rPr>
          <w:rFonts w:ascii="Arial" w:cs="Arial" w:eastAsia="Arial" w:hAnsi="Arial"/>
          <w:sz w:val="19"/>
          <w:szCs w:val="19"/>
          <w:color w:val="auto"/>
        </w:rPr>
      </w:pPr>
    </w:p>
    <w:p>
      <w:pPr>
        <w:jc w:val="both"/>
        <w:ind w:firstLine="1304"/>
        <w:spacing w:after="0" w:line="241" w:lineRule="auto"/>
        <w:tabs>
          <w:tab w:leader="none" w:pos="194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No Violation or Default; No Conflicts</w:t>
      </w:r>
      <w:r>
        <w:rPr>
          <w:rFonts w:ascii="Arial" w:cs="Arial" w:eastAsia="Arial" w:hAnsi="Arial"/>
          <w:sz w:val="19"/>
          <w:szCs w:val="19"/>
          <w:color w:val="auto"/>
        </w:rPr>
        <w:t>. Neither the Company nor any of its subsidiaries: (i) is in default under or in violation of (and no event has occurred that has not been waived that, with notice or lapse of time or both, would reasonably be expected to result in a default by the Company or any of its subsidiaries under), nor has the Company or any of its subsidiaries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the case of each of clauses (i), (ii) and (iii) as could not reasonably be expected to result in a Material Adverse Effect. The execution, delivery and performance by the Company of this Agreement, the issuance, offering or sale of the Placement Shares and the consummation by the Company of any other transactions contemplated by this Agreement or the Prospectus (including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will not (i) conflict with or violate any provision of the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5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Company’s certificate of incorporation or bylaws, (ii) conflict with or violate any provision of any of the Company’s subsidiaries’ certificates or articles of incorporation, bylaws or other organizational or charter documents, (iii) conflict with, or constitute a default (or an event that with notice or lapse of time or both would become a default) under, result in the creation of any lien, charge, pledge, security interest, encumbrance, right of first refusal, preemptive right or other restriction upon any of the properties or assets of the Company or any of its subsidiaries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of its subsidiaries is a party or by which any property or asset of the Company or any of its subsidiaries is bound or affected, or (iv) conflict with or result in a violation of any law, rule, regulation, order, judgment, injunction, decree or other restriction of any court or governmental authority to which the Company or any of its subsidiaries is subject (including federal and state securities laws and regulations), or by which any property or asset of the Company or any of its subsidiaries is bound or affected; except in the case of each of clauses (ii), (iii) and (iv), such as could not reasonably be expected to result in a Material Adverse Effect.</w:t>
      </w:r>
    </w:p>
    <w:p>
      <w:pPr>
        <w:spacing w:after="0" w:line="146" w:lineRule="exact"/>
        <w:rPr>
          <w:sz w:val="20"/>
          <w:szCs w:val="20"/>
          <w:color w:val="auto"/>
        </w:rPr>
      </w:pPr>
    </w:p>
    <w:p>
      <w:pPr>
        <w:jc w:val="both"/>
        <w:ind w:firstLine="1304"/>
        <w:spacing w:after="0" w:line="242" w:lineRule="auto"/>
        <w:tabs>
          <w:tab w:leader="none" w:pos="1936"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(i) the grant of additional options under the Company’s existing stock option plans, (ii) changes in the number of outstanding Common Stock of the Company due to the issuance of shares upon the exercise or conversion of securities exercisable for, or convertible into, Common Stock outstanding on the date hereof, (iii) as a result of the issuance of Placement Shares, or (iv) any repurchases of capital stock of the Company) and such authorized capital stock conforms to the description thereof set forth in the Registration Statement and the Prospectus. The description of the Common Stock in the Registration Statement and the Prospectus is complete and accurate in all material respects. Except as disclosed in or contemplated by the Registration Statement or the Prospectus,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353" w:lineRule="exact"/>
        <w:rPr>
          <w:rFonts w:ascii="Arial" w:cs="Arial" w:eastAsia="Arial" w:hAnsi="Arial"/>
          <w:sz w:val="19"/>
          <w:szCs w:val="19"/>
          <w:color w:val="auto"/>
        </w:rPr>
      </w:pPr>
    </w:p>
    <w:p>
      <w:pPr>
        <w:jc w:val="both"/>
        <w:ind w:firstLine="1304"/>
        <w:spacing w:after="0" w:line="218" w:lineRule="auto"/>
        <w:tabs>
          <w:tab w:leader="none" w:pos="193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Due Authorization</w:t>
      </w:r>
      <w:r>
        <w:rPr>
          <w:rFonts w:ascii="Arial" w:cs="Arial" w:eastAsia="Arial" w:hAnsi="Arial"/>
          <w:sz w:val="22"/>
          <w:szCs w:val="22"/>
          <w:color w:val="auto"/>
        </w:rPr>
        <w:t>. 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47" w:lineRule="exact"/>
        <w:rPr>
          <w:rFonts w:ascii="Arial" w:cs="Arial" w:eastAsia="Arial" w:hAnsi="Arial"/>
          <w:sz w:val="22"/>
          <w:szCs w:val="22"/>
          <w:color w:val="auto"/>
        </w:rPr>
      </w:pPr>
    </w:p>
    <w:p>
      <w:pPr>
        <w:jc w:val="both"/>
        <w:ind w:firstLine="1304"/>
        <w:spacing w:after="0" w:line="221" w:lineRule="auto"/>
        <w:tabs>
          <w:tab w:leader="none" w:pos="1944"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Authorization of Placement Shares</w:t>
      </w:r>
      <w:r>
        <w:rPr>
          <w:rFonts w:ascii="Arial" w:cs="Arial" w:eastAsia="Arial" w:hAnsi="Arial"/>
          <w:sz w:val="21"/>
          <w:szCs w:val="21"/>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the Agents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0" w:lineRule="exact"/>
        <w:rPr>
          <w:sz w:val="20"/>
          <w:szCs w:val="20"/>
          <w:color w:val="auto"/>
        </w:rPr>
      </w:pPr>
    </w:p>
    <w:p>
      <w:pPr>
        <w:jc w:val="both"/>
        <w:ind w:firstLine="1304"/>
        <w:spacing w:after="0" w:line="223" w:lineRule="auto"/>
        <w:tabs>
          <w:tab w:leader="none" w:pos="194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Accuracy of Exhibits</w:t>
      </w:r>
      <w:r>
        <w:rPr>
          <w:rFonts w:ascii="Arial" w:cs="Arial" w:eastAsia="Arial" w:hAnsi="Arial"/>
          <w:sz w:val="22"/>
          <w:szCs w:val="22"/>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145" w:lineRule="exact"/>
        <w:rPr>
          <w:rFonts w:ascii="Arial" w:cs="Arial" w:eastAsia="Arial" w:hAnsi="Arial"/>
          <w:sz w:val="22"/>
          <w:szCs w:val="22"/>
          <w:color w:val="auto"/>
        </w:rPr>
      </w:pPr>
    </w:p>
    <w:p>
      <w:pPr>
        <w:jc w:val="both"/>
        <w:ind w:firstLine="1304"/>
        <w:spacing w:after="0" w:line="220" w:lineRule="auto"/>
        <w:tabs>
          <w:tab w:leader="none" w:pos="1944"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No Consents Required</w:t>
      </w:r>
      <w:r>
        <w:rPr>
          <w:rFonts w:ascii="Arial" w:cs="Arial" w:eastAsia="Arial" w:hAnsi="Arial"/>
          <w:sz w:val="21"/>
          <w:szCs w:val="21"/>
          <w:color w:val="auto"/>
        </w:rPr>
        <w:t>. The execution and delivery by the Company of, and the performance by the Company of its obligations under this Agreement will 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agency or court is required for the performance by the Company of its obligations under this Agreement, except such as have been obtained or made, as may be required by the securities or Blue Sky laws of the various states or the rules and regulations of the Financial Industry Regulatory Authority, Inc. (“FINRA”) in connection with the issuance and sale by the Company of the Placement Shares as contemplated hereby or as could not reasonably be expected to have a Material Adverse Effect.</w:t>
      </w:r>
    </w:p>
    <w:p>
      <w:pPr>
        <w:spacing w:after="0" w:line="135" w:lineRule="exact"/>
        <w:rPr>
          <w:rFonts w:ascii="Arial" w:cs="Arial" w:eastAsia="Arial" w:hAnsi="Arial"/>
          <w:sz w:val="21"/>
          <w:szCs w:val="21"/>
          <w:color w:val="auto"/>
        </w:rPr>
      </w:pPr>
    </w:p>
    <w:p>
      <w:pPr>
        <w:jc w:val="both"/>
        <w:ind w:firstLine="1304"/>
        <w:spacing w:after="0" w:line="223" w:lineRule="auto"/>
        <w:tabs>
          <w:tab w:leader="none" w:pos="1944"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Except as described in the Registration Statement and the Prospectus, no person has the right to require the Company or any of its subsidiaries to register any securities for sale under the 1933 Act by reason of the filing of the Registration Statement with the Commission.</w:t>
      </w:r>
    </w:p>
    <w:p>
      <w:pPr>
        <w:spacing w:after="0" w:line="145" w:lineRule="exact"/>
        <w:rPr>
          <w:rFonts w:ascii="Arial" w:cs="Arial" w:eastAsia="Arial" w:hAnsi="Arial"/>
          <w:sz w:val="22"/>
          <w:szCs w:val="22"/>
          <w:color w:val="auto"/>
        </w:rPr>
      </w:pPr>
    </w:p>
    <w:p>
      <w:pPr>
        <w:jc w:val="both"/>
        <w:ind w:firstLine="1304"/>
        <w:spacing w:after="0" w:line="226" w:lineRule="auto"/>
        <w:tabs>
          <w:tab w:leader="none" w:pos="1923"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Independent Accountants</w:t>
      </w:r>
      <w:r>
        <w:rPr>
          <w:rFonts w:ascii="Arial" w:cs="Arial" w:eastAsia="Arial" w:hAnsi="Arial"/>
          <w:sz w:val="21"/>
          <w:szCs w:val="21"/>
          <w:color w:val="auto"/>
        </w:rPr>
        <w:t>. BDO USA, LLP, who have certified certain financial statements of the Company for the applicable periods, and delivered their report with respect to the audited financial statements and schedules included in the Registration Statement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32" w:lineRule="exact"/>
        <w:rPr>
          <w:rFonts w:ascii="Arial" w:cs="Arial" w:eastAsia="Arial" w:hAnsi="Arial"/>
          <w:sz w:val="21"/>
          <w:szCs w:val="21"/>
          <w:color w:val="auto"/>
        </w:rPr>
      </w:pPr>
    </w:p>
    <w:p>
      <w:pPr>
        <w:jc w:val="both"/>
        <w:ind w:firstLine="1304"/>
        <w:spacing w:after="0" w:line="211" w:lineRule="auto"/>
        <w:tabs>
          <w:tab w:leader="none" w:pos="1933"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Enforceability of Agreements</w:t>
      </w:r>
      <w:r>
        <w:rPr>
          <w:rFonts w:ascii="Arial" w:cs="Arial" w:eastAsia="Arial" w:hAnsi="Arial"/>
          <w:sz w:val="22"/>
          <w:szCs w:val="22"/>
          <w:color w:val="auto"/>
        </w:rPr>
        <w:t>.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and, to the Company’s knowledge,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have a Material Adverse Effect.</w:t>
      </w:r>
    </w:p>
    <w:p>
      <w:pPr>
        <w:spacing w:after="0" w:line="137" w:lineRule="exact"/>
        <w:rPr>
          <w:rFonts w:ascii="Arial" w:cs="Arial" w:eastAsia="Arial" w:hAnsi="Arial"/>
          <w:sz w:val="22"/>
          <w:szCs w:val="22"/>
          <w:color w:val="auto"/>
        </w:rPr>
      </w:pPr>
    </w:p>
    <w:p>
      <w:pPr>
        <w:jc w:val="both"/>
        <w:ind w:right="60" w:firstLine="1304"/>
        <w:spacing w:after="0" w:line="244" w:lineRule="auto"/>
        <w:tabs>
          <w:tab w:leader="none" w:pos="1936"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No Legal Proceedings</w:t>
      </w:r>
      <w:r>
        <w:rPr>
          <w:rFonts w:ascii="Arial" w:cs="Arial" w:eastAsia="Arial" w:hAnsi="Arial"/>
          <w:sz w:val="19"/>
          <w:szCs w:val="19"/>
          <w:color w:val="auto"/>
        </w:rPr>
        <w:t>. 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the Registration Statement and the Prospectus and proceedings that would not reasonably be expected to have a Material Adverse Effect, or would not reasonably be expected to impact the power or ability of the Company to perform its obligations under this Agreement or to consummate the transactions contemplated by the Registration Statement and the Prospectus or (ii) that are required to be described in the Registration Statement and the Prospectus and are not so described; and there are no statutes, regulations, contracts or other documents that are required to be described in the Registration Statement and the Prospectus or to be filed as exhibits to the Registration Statement that are not described in all material respects or filed as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50" w:lineRule="exact"/>
        <w:rPr>
          <w:sz w:val="20"/>
          <w:szCs w:val="20"/>
          <w:color w:val="auto"/>
        </w:rPr>
      </w:pPr>
    </w:p>
    <w:p>
      <w:pPr>
        <w:ind w:right="80"/>
        <w:spacing w:after="0" w:line="247" w:lineRule="auto"/>
        <w:rPr>
          <w:sz w:val="20"/>
          <w:szCs w:val="20"/>
          <w:color w:val="auto"/>
        </w:rPr>
      </w:pPr>
      <w:r>
        <w:rPr>
          <w:rFonts w:ascii="Arial" w:cs="Arial" w:eastAsia="Arial" w:hAnsi="Arial"/>
          <w:sz w:val="21"/>
          <w:szCs w:val="21"/>
          <w:color w:val="auto"/>
        </w:rPr>
        <w:t>required. As used herein, “proceeding” means an action, claim, suit, investigation or proceeding (including, without limitation, an informal investigation or partial proceeding, such as a deposition), whether commenced or threatened.</w:t>
      </w:r>
    </w:p>
    <w:p>
      <w:pPr>
        <w:spacing w:after="0" w:line="137" w:lineRule="exact"/>
        <w:rPr>
          <w:sz w:val="20"/>
          <w:szCs w:val="20"/>
          <w:color w:val="auto"/>
        </w:rPr>
      </w:pPr>
    </w:p>
    <w:p>
      <w:pPr>
        <w:jc w:val="both"/>
        <w:ind w:firstLine="1304"/>
        <w:spacing w:after="0" w:line="214" w:lineRule="auto"/>
        <w:tabs>
          <w:tab w:leader="none" w:pos="1944"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Licenses and Permits</w:t>
      </w:r>
      <w:r>
        <w:rPr>
          <w:rFonts w:ascii="Arial" w:cs="Arial" w:eastAsia="Arial" w:hAnsi="Arial"/>
          <w:sz w:val="22"/>
          <w:szCs w:val="22"/>
          <w:color w:val="auto"/>
        </w:rPr>
        <w:t>. The Company and each of its subsidiaries possess all certificates, authorizations and permits issued by the appropriate federal, state or foreign regulatory authorities necessary to conduct their respective businesses (“</w:t>
      </w:r>
      <w:r>
        <w:rPr>
          <w:rFonts w:ascii="Arial" w:cs="Arial" w:eastAsia="Arial" w:hAnsi="Arial"/>
          <w:sz w:val="22"/>
          <w:szCs w:val="22"/>
          <w:u w:val="single" w:color="auto"/>
          <w:color w:val="auto"/>
        </w:rPr>
        <w:t>Permits</w:t>
      </w:r>
      <w:r>
        <w:rPr>
          <w:rFonts w:ascii="Arial" w:cs="Arial" w:eastAsia="Arial" w:hAnsi="Arial"/>
          <w:sz w:val="22"/>
          <w:szCs w:val="22"/>
          <w:color w:val="auto"/>
        </w:rPr>
        <w:t>”), except to the extent that the failure to possess such Permits would not reasonably be expected to have a Material Adverse Effect, and neither the Company nor any of its subsidiaries has received any written notice of proceedings relating to the revocation or modification of any such Permit which if the subject of an unfavorable decision, ruling or finding, would have a Material Adverse Effect.</w:t>
      </w:r>
    </w:p>
    <w:p>
      <w:pPr>
        <w:spacing w:after="0" w:line="131" w:lineRule="exact"/>
        <w:rPr>
          <w:rFonts w:ascii="Arial" w:cs="Arial" w:eastAsia="Arial" w:hAnsi="Arial"/>
          <w:sz w:val="22"/>
          <w:szCs w:val="22"/>
          <w:color w:val="auto"/>
        </w:rPr>
      </w:pPr>
    </w:p>
    <w:p>
      <w:pPr>
        <w:jc w:val="both"/>
        <w:ind w:firstLine="1304"/>
        <w:spacing w:after="0" w:line="212" w:lineRule="auto"/>
        <w:tabs>
          <w:tab w:leader="none" w:pos="193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No Material Defaults</w:t>
      </w:r>
      <w:r>
        <w:rPr>
          <w:rFonts w:ascii="Arial" w:cs="Arial" w:eastAsia="Arial" w:hAnsi="Arial"/>
          <w:sz w:val="22"/>
          <w:szCs w:val="22"/>
          <w:color w:val="auto"/>
        </w:rPr>
        <w:t>. Neither the Company nor any of its subsidiaries has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150" w:lineRule="exact"/>
        <w:rPr>
          <w:rFonts w:ascii="Arial" w:cs="Arial" w:eastAsia="Arial" w:hAnsi="Arial"/>
          <w:sz w:val="22"/>
          <w:szCs w:val="22"/>
          <w:color w:val="auto"/>
        </w:rPr>
      </w:pPr>
    </w:p>
    <w:p>
      <w:pPr>
        <w:jc w:val="both"/>
        <w:ind w:firstLine="1304"/>
        <w:spacing w:after="0" w:line="223" w:lineRule="auto"/>
        <w:tabs>
          <w:tab w:leader="none" w:pos="1924"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No Stabilization</w:t>
      </w:r>
      <w:r>
        <w:rPr>
          <w:rFonts w:ascii="Arial" w:cs="Arial" w:eastAsia="Arial" w:hAnsi="Arial"/>
          <w:sz w:val="22"/>
          <w:szCs w:val="22"/>
          <w:color w:val="auto"/>
        </w:rPr>
        <w:t>. The Company has not taken, directly or indirectly, any action designed to or that could reasonably be expected to cause or result in any stabilization or manipulation of the price of any security of the Company to facilitate the sale or resale of the Placement Shares.</w:t>
      </w:r>
    </w:p>
    <w:p>
      <w:pPr>
        <w:spacing w:after="0" w:line="131" w:lineRule="exact"/>
        <w:rPr>
          <w:rFonts w:ascii="Arial" w:cs="Arial" w:eastAsia="Arial" w:hAnsi="Arial"/>
          <w:sz w:val="22"/>
          <w:szCs w:val="22"/>
          <w:color w:val="auto"/>
        </w:rPr>
      </w:pPr>
    </w:p>
    <w:p>
      <w:pPr>
        <w:jc w:val="both"/>
        <w:ind w:firstLine="1304"/>
        <w:spacing w:after="0" w:line="218" w:lineRule="auto"/>
        <w:tabs>
          <w:tab w:leader="none" w:pos="1944"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Broker/Dealer Relationships</w:t>
      </w:r>
      <w:r>
        <w:rPr>
          <w:rFonts w:ascii="Arial" w:cs="Arial" w:eastAsia="Arial" w:hAnsi="Arial"/>
          <w:sz w:val="22"/>
          <w:szCs w:val="22"/>
          <w:color w:val="auto"/>
        </w:rPr>
        <w:t>. Neither the Company nor any of its subsidiaries 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33" w:lineRule="exact"/>
        <w:rPr>
          <w:rFonts w:ascii="Arial" w:cs="Arial" w:eastAsia="Arial" w:hAnsi="Arial"/>
          <w:sz w:val="22"/>
          <w:szCs w:val="22"/>
          <w:color w:val="auto"/>
        </w:rPr>
      </w:pPr>
    </w:p>
    <w:p>
      <w:pPr>
        <w:jc w:val="both"/>
        <w:ind w:firstLine="1304"/>
        <w:spacing w:after="0" w:line="218" w:lineRule="auto"/>
        <w:tabs>
          <w:tab w:leader="none" w:pos="193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Statistical and Market-Related Data</w:t>
      </w:r>
      <w:r>
        <w:rPr>
          <w:rFonts w:ascii="Arial" w:cs="Arial" w:eastAsia="Arial" w:hAnsi="Arial"/>
          <w:sz w:val="22"/>
          <w:szCs w:val="22"/>
          <w:color w:val="auto"/>
        </w:rPr>
        <w:t>. Any statistical and market-related data included in the Registration Statement or the Prospectus are based on or derived from sources that the Company believes, after reasonable inquiry, to be reliable and accurate and, to the extent required, the Company has obtained the written consent to the use of such data from such sources.</w:t>
      </w:r>
    </w:p>
    <w:p>
      <w:pPr>
        <w:spacing w:after="0" w:line="147" w:lineRule="exact"/>
        <w:rPr>
          <w:rFonts w:ascii="Arial" w:cs="Arial" w:eastAsia="Arial" w:hAnsi="Arial"/>
          <w:sz w:val="22"/>
          <w:szCs w:val="22"/>
          <w:color w:val="auto"/>
        </w:rPr>
      </w:pPr>
    </w:p>
    <w:p>
      <w:pPr>
        <w:ind w:firstLine="1304"/>
        <w:spacing w:after="0" w:line="232" w:lineRule="auto"/>
        <w:tabs>
          <w:tab w:leader="none" w:pos="193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No Reliance</w:t>
      </w:r>
      <w:r>
        <w:rPr>
          <w:rFonts w:ascii="Arial" w:cs="Arial" w:eastAsia="Arial" w:hAnsi="Arial"/>
          <w:sz w:val="22"/>
          <w:szCs w:val="22"/>
          <w:color w:val="auto"/>
        </w:rPr>
        <w:t>. The Company has not relied upon the Agents or legal counsel for the Agents for any legal, tax or accounting advice in connection with the offering and sale of the Placement Shares.</w:t>
      </w:r>
    </w:p>
    <w:p>
      <w:pPr>
        <w:spacing w:after="0" w:line="132" w:lineRule="exact"/>
        <w:rPr>
          <w:sz w:val="20"/>
          <w:szCs w:val="20"/>
          <w:color w:val="auto"/>
        </w:rPr>
      </w:pPr>
    </w:p>
    <w:p>
      <w:pPr>
        <w:jc w:val="both"/>
        <w:ind w:firstLine="1304"/>
        <w:spacing w:after="0" w:line="246" w:lineRule="auto"/>
        <w:tabs>
          <w:tab w:leader="none" w:pos="1933"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and each of its subsidiaries have filed all federal, state, local and foreign tax returns required to be filed through the date of this Agreement or have requested extensions thereof (except where the failure to file would not reasonably be expected to have a Material Adverse Effect) and have paid all taxes required to be paid by them (except for cases in which the failure to file or pay would not reasonably be expected to have a Material Adverse Effect, or, except as currently being contested in good faith and for which reserves required by GAAP have been created in the financial statements of the Company), no tax deficiency has been determined adversely to the Company or any of its subsidiaries which has not been paid and has had (nor does the Company nor any of its subsidiaries have any notice or knowledge of any tax deficiency which could reasonably be expected to be determined adversely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to the Company or its subsidiaries and which could reasonably be expected to have) a Material Adverse Effect.</w:t>
      </w:r>
    </w:p>
    <w:p>
      <w:pPr>
        <w:spacing w:after="0" w:line="16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ab. </w:t>
      </w:r>
      <w:r>
        <w:rPr>
          <w:rFonts w:ascii="Arial" w:cs="Arial" w:eastAsia="Arial" w:hAnsi="Arial"/>
          <w:sz w:val="19"/>
          <w:szCs w:val="19"/>
          <w:u w:val="single" w:color="auto"/>
          <w:color w:val="auto"/>
        </w:rPr>
        <w:t>Title to Real and Personal Property.</w:t>
      </w:r>
      <w:r>
        <w:rPr>
          <w:rFonts w:ascii="Arial" w:cs="Arial" w:eastAsia="Arial" w:hAnsi="Arial"/>
          <w:sz w:val="19"/>
          <w:szCs w:val="19"/>
          <w:color w:val="auto"/>
        </w:rPr>
        <w:t xml:space="preserve"> The Company and each of its subsidiaries have good and marketable title in fee simple to all real property, if any, and good and marketable title to all personal property owned by them which is material to the business of the Company and its subsidiaries, taken as a whole, except to the extent that the failure to have good and marketable title to any real or personal property would not reasonably be expected to have a Material Adverse Effect, in each case free and clear of all liens, encumbrances and defects except such liens, encumbrances and defects would not reasonably be expected to have a Material Adverse Effect;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except, in each case, as would not reasonably be expected to have a Material Adverse Effect.</w:t>
      </w:r>
    </w:p>
    <w:p>
      <w:pPr>
        <w:spacing w:after="0" w:line="134" w:lineRule="exact"/>
        <w:rPr>
          <w:sz w:val="20"/>
          <w:szCs w:val="20"/>
          <w:color w:val="auto"/>
        </w:rPr>
      </w:pPr>
    </w:p>
    <w:p>
      <w:pPr>
        <w:jc w:val="both"/>
        <w:ind w:firstLine="1296"/>
        <w:spacing w:after="0"/>
        <w:rPr>
          <w:sz w:val="20"/>
          <w:szCs w:val="20"/>
          <w:color w:val="auto"/>
        </w:rPr>
      </w:pPr>
      <w:r>
        <w:rPr>
          <w:rFonts w:ascii="Arial" w:cs="Arial" w:eastAsia="Arial" w:hAnsi="Arial"/>
          <w:sz w:val="19"/>
          <w:szCs w:val="19"/>
          <w:color w:val="auto"/>
        </w:rPr>
        <w:t xml:space="preserve">ac.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Except as would not reasonably be expected to have a Material Adverse Effect, (i) the Company and its subsidiaries own or have a valid license to all patents, inventions, copyrights, know how (including trade secrets and other unpatented and/or unpatentable proprietary or confidential information, systems or procedures), trademarks, service marks and trade names and all other worldwide intellectual property and proprietary rights (including all registrations and applications for registration of, and all goodwill associated with, any of the foregoing) (collectively,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Rights</w:t>
      </w:r>
      <w:r>
        <w:rPr>
          <w:rFonts w:ascii="Arial" w:cs="Arial" w:eastAsia="Arial" w:hAnsi="Arial"/>
          <w:sz w:val="19"/>
          <w:szCs w:val="19"/>
          <w:color w:val="auto"/>
        </w:rPr>
        <w:t>”) used or held for use in any material respect, or reasonably necessary to the conduct of their respective businesses as now conducted by them, and as proposed to be conducted in the Registration Statement or the Prospectus; (ii) the Intellectual Property Rights owned by the Company and its subsidiaries and, to the Company’s knowledge, the Intellectual Property Rights licensed to the Company and its subsidiaries, are valid, subsisting and enforceable, and there is no pending or, to the Company’s knowledge, threatened action, suit, proceeding or claim by others challenging the validity, scope or enforceability of, or any rights of the Company or any of its subsidiaries in, any such Intellectual Property Rights (excluding office actions and other similar prosecution-related processes or proceedings by intellectual property registries and offices, including the United States Patent and Trademark Office); (iii) neither the Company nor any of its subsidiaries has received any notice alleging any infringement, misappropriation or other violation of Intellectual Property Rights; (iv) to the Company’s knowledge, no Person is infringing, misappropriating or otherwise violating, or has infringed, misappropriated or otherwise violated, any Intellectual Property Rights owned or controlled by the Company or any of its subsidiaries; (v) neither the Company nor any of its subsidiaries infringes, misappropriates or otherwise violates, or has infringed, misappropriated or otherwise violated, any Intellectual Property Rights of any Person, and the conduct of each of the respective businesses of the Company and its subsidiaries as described in Registration Statement and the Prospectus will not knowingly infringe, misappropriate, or otherwise violate any Intellectual Property Rights of any Person; (vi) all employees or contractors engaged in the development of any Intellectual Property Rights on behalf of the Company or any of its subsidiaries have executed an invention assignment agreement or are otherwise subject to contractual provisions whereby such employees or contractors presently assign all of their right, title and interest in and to such Intellectual Property Rights to the Company or its applicable subsidiary, and to the Company’s knowledge no such agreement has been breached or violated; and (vii) the Company and its subsidiaries use, and have used, commercially reasonable efforts in accordance with customary industry practice to appropriately maintain the confidentiality of all Intellectual Property Rights owned by them, including maintenance and protection of all information intended to be maintained as a trade secret.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180"/>
          </w:cols>
          <w:pgMar w:left="320" w:top="1440" w:right="399" w:bottom="1440" w:gutter="0" w:footer="0" w:header="0"/>
        </w:sectPr>
      </w:pPr>
    </w:p>
    <w:bookmarkStart w:id="17" w:name="page18"/>
    <w:bookmarkEnd w:id="17"/>
    <w:p>
      <w:pPr>
        <w:spacing w:after="0" w:line="150" w:lineRule="exact"/>
        <w:rPr>
          <w:sz w:val="20"/>
          <w:szCs w:val="20"/>
          <w:color w:val="auto"/>
        </w:rPr>
      </w:pPr>
    </w:p>
    <w:p>
      <w:pPr>
        <w:jc w:val="both"/>
        <w:ind w:right="60" w:firstLine="1296"/>
        <w:spacing w:after="0" w:line="242" w:lineRule="auto"/>
        <w:rPr>
          <w:sz w:val="20"/>
          <w:szCs w:val="20"/>
          <w:color w:val="auto"/>
        </w:rPr>
      </w:pPr>
      <w:r>
        <w:rPr>
          <w:rFonts w:ascii="Arial" w:cs="Arial" w:eastAsia="Arial" w:hAnsi="Arial"/>
          <w:sz w:val="19"/>
          <w:szCs w:val="19"/>
          <w:color w:val="auto"/>
        </w:rPr>
        <w:t xml:space="preserve">ad. </w:t>
      </w:r>
      <w:r>
        <w:rPr>
          <w:rFonts w:ascii="Arial" w:cs="Arial" w:eastAsia="Arial" w:hAnsi="Arial"/>
          <w:sz w:val="19"/>
          <w:szCs w:val="19"/>
          <w:u w:val="single" w:color="auto"/>
          <w:color w:val="auto"/>
        </w:rPr>
        <w:t>Compliance with Applicable Laws</w:t>
      </w:r>
      <w:r>
        <w:rPr>
          <w:rFonts w:ascii="Arial" w:cs="Arial" w:eastAsia="Arial" w:hAnsi="Arial"/>
          <w:sz w:val="19"/>
          <w:szCs w:val="19"/>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 The Company has complied in all material respects with the Securities Act and the Exchange Act and the rules and regulations of the Commission thereunder in connection with the offering, this Agreement and any other documents or agreements executed in connection with the transactions contemplated hereunder and the transactions contemplated hereby and thereby. The Company is subject to and in full compliance with the reporting requirements of Section 13 or Section 15(d) of the Exchange Act. The Company has not received from the Commission any written comments, questions or requests for modification of disclosure in respect of any Commission Reports, except for comments, questions or requests (i) that have been satisfied by the provision of supplemental information to the staff of the Commission or (ii) in respect of which the Company has agreed with the staff of the Commission to make a prospective change in future Commission Reports, of which agreement the Agents and their counsel have been made aware.</w:t>
      </w:r>
    </w:p>
    <w:p>
      <w:pPr>
        <w:spacing w:after="0" w:line="151"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19"/>
          <w:szCs w:val="19"/>
          <w:color w:val="auto"/>
        </w:rPr>
        <w:t xml:space="preserve">ae. </w:t>
      </w:r>
      <w:r>
        <w:rPr>
          <w:rFonts w:ascii="Arial" w:cs="Arial" w:eastAsia="Arial" w:hAnsi="Arial"/>
          <w:sz w:val="19"/>
          <w:szCs w:val="19"/>
          <w:u w:val="single" w:color="auto"/>
          <w:color w:val="auto"/>
        </w:rPr>
        <w:t>Certain Environmental Matters</w:t>
      </w:r>
      <w:r>
        <w:rPr>
          <w:rFonts w:ascii="Arial" w:cs="Arial" w:eastAsia="Arial" w:hAnsi="Arial"/>
          <w:sz w:val="19"/>
          <w:szCs w:val="19"/>
          <w:color w:val="auto"/>
        </w:rPr>
        <w:t>. Except as described in the Registration Statement and the Prospectus or would not reasonably be expected to result in a Material Adverse Effect, (A) neither the Company nor any of its subsidiaries is in violation of any federal, state, local or foreign statute, law, rule, regulation, ordinance, code, judicial or administrative order, consent decree or judgment, relating to pollution or protection of human health (to the extent related to Hazardous Materials exposure),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w:t>
      </w:r>
      <w:r>
        <w:rPr>
          <w:rFonts w:ascii="Arial" w:cs="Arial" w:eastAsia="Arial" w:hAnsi="Arial"/>
          <w:sz w:val="19"/>
          <w:szCs w:val="19"/>
          <w:u w:val="single" w:color="auto"/>
          <w:color w:val="auto"/>
        </w:rPr>
        <w:t>Hazardous Materials</w:t>
      </w:r>
      <w:r>
        <w:rPr>
          <w:rFonts w:ascii="Arial" w:cs="Arial" w:eastAsia="Arial" w:hAnsi="Arial"/>
          <w:sz w:val="19"/>
          <w:szCs w:val="19"/>
          <w:color w:val="auto"/>
        </w:rPr>
        <w:t>”) or to the manufacture, processing, distribution, use, treatment, storage, disposal, transport or handling of Hazardous Materials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 (B) the Company and its subsidiaries have all permits, authorizations and approvals required under any applicable Environmental Laws and are each in compliance with their requirements, (C) there are no pending or threatened (in writing) administrative, regulatory or judicial actions, suits, demands, demand letters, claims, liens, notices of noncompliance or violation, investigations or proceedings relating to any Environmental Law against the Company or any of its subsidiaries and (D) there are no pending or unresolved orders against the Company for clean-up or remediation, nor are there any pending or unresolved actions, suits or proceedings by any private party or any arbitrator, court, governmental body, regulatory body, administrative agency or other authority, body or agency having jurisdiction over the Company or any of its subsidiaries or any of their respective properties, assets or operations, against or affecting the Company or any of its subsidiaries relating to Hazardous Materials or any Environmental Laws.</w:t>
      </w:r>
    </w:p>
    <w:p>
      <w:pPr>
        <w:spacing w:after="0" w:line="13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af. </w:t>
      </w:r>
      <w:r>
        <w:rPr>
          <w:rFonts w:ascii="Arial" w:cs="Arial" w:eastAsia="Arial" w:hAnsi="Arial"/>
          <w:sz w:val="19"/>
          <w:szCs w:val="19"/>
          <w:u w:val="single" w:color="auto"/>
          <w:color w:val="auto"/>
        </w:rPr>
        <w:t>Sarbanes-Oxley; Internal Accounting Controls</w:t>
      </w:r>
      <w:r>
        <w:rPr>
          <w:rFonts w:ascii="Arial" w:cs="Arial" w:eastAsia="Arial" w:hAnsi="Arial"/>
          <w:sz w:val="19"/>
          <w:szCs w:val="19"/>
          <w:color w:val="auto"/>
        </w:rPr>
        <w:t>. Except as disclosed in the Prospectus (A) the Company and its subsidiaries are in compliance with any and all applicable requirements of the Sarbanes-Oxley Act of 2002 (the “</w:t>
      </w:r>
      <w:r>
        <w:rPr>
          <w:rFonts w:ascii="Arial" w:cs="Arial" w:eastAsia="Arial" w:hAnsi="Arial"/>
          <w:sz w:val="19"/>
          <w:szCs w:val="19"/>
          <w:u w:val="single" w:color="auto"/>
          <w:color w:val="auto"/>
        </w:rPr>
        <w:t>Sarbanes-Oxley Act</w:t>
      </w:r>
      <w:r>
        <w:rPr>
          <w:rFonts w:ascii="Arial" w:cs="Arial" w:eastAsia="Arial" w:hAnsi="Arial"/>
          <w:sz w:val="19"/>
          <w:szCs w:val="19"/>
          <w:color w:val="auto"/>
        </w:rPr>
        <w:t>”), as amended, that are effective as of the date hereof, and any and all applicable rules and regulations promulgated by the Commission thereunder that are effective as of the date hereof, as of the date hereof; (B) 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(C) the Company and its subsidiaries have established disclosure controls and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50"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procedures (as defined in Exchange Act Rules 13a-15(e) and 15d-15(e)) for the Company and its subsidiaries and designed such disclosure controls and procedures to ensure that information required to be disclosed by the Company in the Commission Reports is recorded, processed, summarized and reported, within the time periods specified in the Commission’s rules and forms. The Company’s certifying officers have evaluated the effectiveness of the disclosure controls and procedures of the Company and its subsidiaries as of the end of the period covered by the most recently filed periodic report under the Exchange Act (such date, the “</w:t>
      </w:r>
      <w:r>
        <w:rPr>
          <w:rFonts w:ascii="Arial" w:cs="Arial" w:eastAsia="Arial" w:hAnsi="Arial"/>
          <w:sz w:val="21"/>
          <w:szCs w:val="21"/>
          <w:u w:val="single" w:color="auto"/>
          <w:color w:val="auto"/>
        </w:rPr>
        <w:t>Evaluation Date</w:t>
      </w:r>
      <w:r>
        <w:rPr>
          <w:rFonts w:ascii="Arial" w:cs="Arial" w:eastAsia="Arial" w:hAnsi="Arial"/>
          <w:sz w:val="21"/>
          <w:szCs w:val="21"/>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(i) no material weakness in the Company’s internal control over financial reporting (whether or not remediated), except as disclosed in the most recently filed periodic report under the Exchange Act and in the preliminary prospectus and Prospectus and (ii) no change in the Company’s internal control over financial reporting that has materially affected, or is reasonably likely to materially affect, the Company’s internal control over financial reporting.</w:t>
      </w:r>
    </w:p>
    <w:p>
      <w:pPr>
        <w:spacing w:after="0" w:line="150"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ag. </w:t>
      </w:r>
      <w:r>
        <w:rPr>
          <w:rFonts w:ascii="Arial" w:cs="Arial" w:eastAsia="Arial" w:hAnsi="Arial"/>
          <w:sz w:val="22"/>
          <w:szCs w:val="22"/>
          <w:u w:val="single" w:color="auto"/>
          <w:color w:val="auto"/>
        </w:rPr>
        <w:t>Finder’s Fees</w:t>
      </w:r>
      <w:r>
        <w:rPr>
          <w:rFonts w:ascii="Arial" w:cs="Arial" w:eastAsia="Arial" w:hAnsi="Arial"/>
          <w:sz w:val="22"/>
          <w:szCs w:val="22"/>
          <w:color w:val="auto"/>
        </w:rPr>
        <w:t>. Neither the Company nor any of its subsidiaries has incurred any liability for any finder’s fees, brokerage commissions or similar payments in connection with the transactions herein contemplated, except as may otherwise exist with respect to the Agents pursuant to this Agreement.</w:t>
      </w:r>
    </w:p>
    <w:p>
      <w:pPr>
        <w:spacing w:after="0" w:line="13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ah. </w:t>
      </w:r>
      <w:r>
        <w:rPr>
          <w:rFonts w:ascii="Arial" w:cs="Arial" w:eastAsia="Arial" w:hAnsi="Arial"/>
          <w:sz w:val="22"/>
          <w:szCs w:val="22"/>
          <w:u w:val="single" w:color="auto"/>
          <w:color w:val="auto"/>
        </w:rPr>
        <w:t>Absence of Labor Dispute.</w:t>
      </w:r>
      <w:r>
        <w:rPr>
          <w:rFonts w:ascii="Arial" w:cs="Arial" w:eastAsia="Arial" w:hAnsi="Arial"/>
          <w:sz w:val="22"/>
          <w:szCs w:val="22"/>
          <w:color w:val="auto"/>
        </w:rPr>
        <w:t xml:space="preserve">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to have a Material Adverse Effect.</w:t>
      </w:r>
    </w:p>
    <w:p>
      <w:pPr>
        <w:spacing w:after="0" w:line="147"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ai.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Company is not, and after giving effect to the sale of the Securities will not be, required to register as an “investment company” or an entity “controlled” by an “investment company” within the meaning of the Investment Company Act of 1940, as amended (the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and the rules and regulations of the Commission thereunder.</w:t>
      </w:r>
    </w:p>
    <w:p>
      <w:pPr>
        <w:spacing w:after="0" w:line="134"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aj. </w:t>
      </w:r>
      <w:r>
        <w:rPr>
          <w:rFonts w:ascii="Arial" w:cs="Arial" w:eastAsia="Arial" w:hAnsi="Arial"/>
          <w:sz w:val="19"/>
          <w:szCs w:val="19"/>
          <w:u w:val="single" w:color="auto"/>
          <w:color w:val="auto"/>
        </w:rPr>
        <w:t>Off-Balance Sheet Arrangements</w:t>
      </w:r>
      <w:r>
        <w:rPr>
          <w:rFonts w:ascii="Arial" w:cs="Arial" w:eastAsia="Arial" w:hAnsi="Arial"/>
          <w:sz w:val="19"/>
          <w:szCs w:val="19"/>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Arial" w:cs="Arial" w:eastAsia="Arial" w:hAnsi="Arial"/>
          <w:sz w:val="19"/>
          <w:szCs w:val="19"/>
          <w:u w:val="single" w:color="auto"/>
          <w:color w:val="auto"/>
        </w:rPr>
        <w:t>Off Balance Sheet</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spacing w:after="0" w:line="127"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 xml:space="preserve">ak. </w:t>
      </w:r>
      <w:r>
        <w:rPr>
          <w:rFonts w:ascii="Arial" w:cs="Arial" w:eastAsia="Arial" w:hAnsi="Arial"/>
          <w:sz w:val="22"/>
          <w:szCs w:val="22"/>
          <w:u w:val="single" w:color="auto"/>
          <w:color w:val="auto"/>
        </w:rPr>
        <w:t>Underwriter Agreements</w:t>
      </w:r>
      <w:r>
        <w:rPr>
          <w:rFonts w:ascii="Arial" w:cs="Arial" w:eastAsia="Arial" w:hAnsi="Arial"/>
          <w:sz w:val="22"/>
          <w:szCs w:val="22"/>
          <w:color w:val="auto"/>
        </w:rPr>
        <w:t>. Other than with respect to this Agreement, the Company is not a party to any agreement with an agent or underwriter for any other “at the market” or continuous equity transaction.</w:t>
      </w:r>
    </w:p>
    <w:p>
      <w:pPr>
        <w:spacing w:after="0" w:line="145"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 xml:space="preserve">al. </w:t>
      </w:r>
      <w:r>
        <w:rPr>
          <w:rFonts w:ascii="Arial" w:cs="Arial" w:eastAsia="Arial" w:hAnsi="Arial"/>
          <w:sz w:val="22"/>
          <w:szCs w:val="22"/>
          <w:u w:val="single" w:color="auto"/>
          <w:color w:val="auto"/>
        </w:rPr>
        <w:t>Compliance with ERISA</w:t>
      </w:r>
      <w:r>
        <w:rPr>
          <w:rFonts w:ascii="Arial" w:cs="Arial" w:eastAsia="Arial" w:hAnsi="Arial"/>
          <w:sz w:val="22"/>
          <w:szCs w:val="22"/>
          <w:color w:val="auto"/>
        </w:rPr>
        <w:t>. (i) Each employee benefit plan, within the meaning of Section 3(3) of the Employee Retirement Income Security Act of 1974, as amended (“</w:t>
      </w:r>
      <w:r>
        <w:rPr>
          <w:rFonts w:ascii="Arial" w:cs="Arial" w:eastAsia="Arial" w:hAnsi="Arial"/>
          <w:sz w:val="22"/>
          <w:szCs w:val="22"/>
          <w:u w:val="single" w:color="auto"/>
          <w:color w:val="auto"/>
        </w:rPr>
        <w:t>ERISA</w:t>
      </w:r>
      <w:r>
        <w:rPr>
          <w:rFonts w:ascii="Arial" w:cs="Arial" w:eastAsia="Arial" w:hAnsi="Arial"/>
          <w:sz w:val="22"/>
          <w:szCs w:val="22"/>
          <w:color w:val="auto"/>
        </w:rPr>
        <w:t>”), that is sponsored or maintained by the Company or with respect to which the Company would have any liability (each, a “</w:t>
      </w:r>
      <w:r>
        <w:rPr>
          <w:rFonts w:ascii="Arial" w:cs="Arial" w:eastAsia="Arial" w:hAnsi="Arial"/>
          <w:sz w:val="22"/>
          <w:szCs w:val="22"/>
          <w:u w:val="single" w:color="auto"/>
          <w:color w:val="auto"/>
        </w:rPr>
        <w:t>Plan</w:t>
      </w:r>
      <w:r>
        <w:rPr>
          <w:rFonts w:ascii="Arial" w:cs="Arial" w:eastAsia="Arial" w:hAnsi="Arial"/>
          <w:sz w:val="22"/>
          <w:szCs w:val="22"/>
          <w:color w:val="auto"/>
        </w:rPr>
        <w:t>”) has been maintained in compliance with its terms and the requirements of any applicable statutes, orders, rules and regulations, including, but not limited to, ERISA and the Internal Revenue Code of 1986 (the “</w:t>
      </w:r>
      <w:r>
        <w:rPr>
          <w:rFonts w:ascii="Arial" w:cs="Arial" w:eastAsia="Arial" w:hAnsi="Arial"/>
          <w:sz w:val="22"/>
          <w:szCs w:val="22"/>
          <w:u w:val="single" w:color="auto"/>
          <w:color w:val="auto"/>
        </w:rPr>
        <w:t>Code</w:t>
      </w:r>
      <w:r>
        <w:rPr>
          <w:rFonts w:ascii="Arial" w:cs="Arial" w:eastAsia="Arial" w:hAnsi="Arial"/>
          <w:sz w:val="22"/>
          <w:szCs w:val="22"/>
          <w:color w:val="auto"/>
        </w:rPr>
        <w:t>”); (ii) no prohibited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transaction, within the meaning of Section 406 of ERISA or Section 4975 of the Code, has occurred with respect to any Plan, excluding transactions effected pursuant to a statutory or administrative exemption; and (iii) each Plan that is intended to be qualified under Section 401(a) of the Code is subject to a favorable determination, advisor or opinion letter, as applicable, from the Internal Revenue Service, and nothing has occurred, whether by action or by failure to act, that, to the best knowledge of the Company, is reasonably likely to result in the revocation of any such determination, advisor or opinion letter, as applicable, except in each case with respect to the events or conditions set forth in (i) through (iii) hereof, as would not reasonably be expected to have a Material Adverse Effect. The Company does not have any obligations or liabilities with respect to any Plan that is (i) a “pension plan” within the meaning of Section 3(2) of ERISA that is subject to Section 412 of the Code or Title IV of ERISA or Section 302 of ERISA, or (ii) a “multiemployer plan” within the meaning of Section 3(37) of ERISA.</w:t>
      </w:r>
    </w:p>
    <w:p>
      <w:pPr>
        <w:spacing w:after="0" w:line="14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am. </w:t>
      </w:r>
      <w:r>
        <w:rPr>
          <w:rFonts w:ascii="Arial" w:cs="Arial" w:eastAsia="Arial" w:hAnsi="Arial"/>
          <w:sz w:val="19"/>
          <w:szCs w:val="19"/>
          <w:u w:val="single" w:color="auto"/>
          <w:color w:val="auto"/>
        </w:rPr>
        <w:t>Forward-Looking Statements</w:t>
      </w:r>
      <w:r>
        <w:rPr>
          <w:rFonts w:ascii="Arial" w:cs="Arial" w:eastAsia="Arial" w:hAnsi="Arial"/>
          <w:sz w:val="19"/>
          <w:szCs w:val="19"/>
          <w:color w:val="auto"/>
        </w:rPr>
        <w:t>. No forward-looking statement (within the meaning of Section 27A of the Securities Act and Section 21E of the Exchange Act) (a “</w:t>
      </w:r>
      <w:r>
        <w:rPr>
          <w:rFonts w:ascii="Arial" w:cs="Arial" w:eastAsia="Arial" w:hAnsi="Arial"/>
          <w:sz w:val="19"/>
          <w:szCs w:val="19"/>
          <w:u w:val="single" w:color="auto"/>
          <w:color w:val="auto"/>
        </w:rPr>
        <w:t>Forward-Looking Statement</w:t>
      </w:r>
      <w:r>
        <w:rPr>
          <w:rFonts w:ascii="Arial" w:cs="Arial" w:eastAsia="Arial" w:hAnsi="Arial"/>
          <w:sz w:val="19"/>
          <w:szCs w:val="19"/>
          <w:color w:val="auto"/>
        </w:rPr>
        <w:t>”) included in the Registration Statement and the Prospectus has been made or reaffirmed without a reasonable basis or has been disclosed other than in good faith.</w:t>
      </w:r>
    </w:p>
    <w:p>
      <w:pPr>
        <w:spacing w:after="0" w:line="105"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 xml:space="preserve">an. </w:t>
      </w:r>
      <w:r>
        <w:rPr>
          <w:rFonts w:ascii="Arial" w:cs="Arial" w:eastAsia="Arial" w:hAnsi="Arial"/>
          <w:sz w:val="22"/>
          <w:szCs w:val="22"/>
          <w:u w:val="single" w:color="auto"/>
          <w:color w:val="auto"/>
        </w:rPr>
        <w:t>Margin Rules</w:t>
      </w:r>
      <w:r>
        <w:rPr>
          <w:rFonts w:ascii="Arial" w:cs="Arial" w:eastAsia="Arial" w:hAnsi="Arial"/>
          <w:sz w:val="22"/>
          <w:szCs w:val="22"/>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w:t>
      </w:r>
    </w:p>
    <w:p>
      <w:pPr>
        <w:spacing w:after="0" w:line="145"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ao. </w:t>
      </w:r>
      <w:r>
        <w:rPr>
          <w:rFonts w:ascii="Arial" w:cs="Arial" w:eastAsia="Arial" w:hAnsi="Arial"/>
          <w:sz w:val="21"/>
          <w:szCs w:val="21"/>
          <w:u w:val="single" w:color="auto"/>
          <w:color w:val="auto"/>
        </w:rPr>
        <w:t>Insurance</w:t>
      </w:r>
      <w:r>
        <w:rPr>
          <w:rFonts w:ascii="Arial" w:cs="Arial" w:eastAsia="Arial" w:hAnsi="Arial"/>
          <w:sz w:val="21"/>
          <w:szCs w:val="21"/>
          <w:color w:val="auto"/>
        </w:rPr>
        <w:t>. Except as would not reasonably be expected to have a Material Adverse Effect, (i) the Company and each of its subsidiaries are insured by insurers of recognized financial responsibility against such losses and risks and in such amounts as are prudent and customary in the businesses in which they are engaged; (ii) neither the Company nor any of its subsidiaries has been refused any insurance coverage sought or applied for; and (iii) the Company has no reason to believe that it or its subsidiaries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37"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19"/>
          <w:szCs w:val="19"/>
          <w:color w:val="auto"/>
        </w:rPr>
        <w:t xml:space="preserve">ap. </w:t>
      </w:r>
      <w:r>
        <w:rPr>
          <w:rFonts w:ascii="Arial" w:cs="Arial" w:eastAsia="Arial" w:hAnsi="Arial"/>
          <w:sz w:val="19"/>
          <w:szCs w:val="19"/>
          <w:u w:val="single" w:color="auto"/>
          <w:color w:val="auto"/>
        </w:rPr>
        <w:t>No Misstatement or Omission in an Issuer Free Writing Prospectus</w:t>
      </w:r>
      <w:r>
        <w:rPr>
          <w:rFonts w:ascii="Arial" w:cs="Arial" w:eastAsia="Arial" w:hAnsi="Arial"/>
          <w:sz w:val="19"/>
          <w:szCs w:val="19"/>
          <w:color w:val="auto"/>
        </w:rPr>
        <w:t xml:space="preserve">. Each Issuer Free Writing Prospectus, as of its issue date and as of each Applicable Time (as defined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below),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Agents specifically for use therein.</w:t>
      </w:r>
    </w:p>
    <w:p>
      <w:pPr>
        <w:spacing w:after="0" w:line="12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aq. </w:t>
      </w:r>
      <w:r>
        <w:rPr>
          <w:rFonts w:ascii="Arial" w:cs="Arial" w:eastAsia="Arial" w:hAnsi="Arial"/>
          <w:sz w:val="19"/>
          <w:szCs w:val="19"/>
          <w:u w:val="single" w:color="auto"/>
          <w:color w:val="auto"/>
        </w:rPr>
        <w:t>No Undisclosed Relationships</w:t>
      </w:r>
      <w:r>
        <w:rPr>
          <w:rFonts w:ascii="Arial" w:cs="Arial" w:eastAsia="Arial" w:hAnsi="Arial"/>
          <w:sz w:val="19"/>
          <w:szCs w:val="19"/>
          <w:color w:val="auto"/>
        </w:rPr>
        <w:t>. No relationship, direct or indirect, exists between or among the Company or any of its subsidiaries, on the one hand, and the directors, officers, shareholders or other affiliates (as defined in Rule 501(b) of Regulation D) of the Company or any of its subsidiaries, on the other, that is required by the Securities Act to be described in the Registration Statement and the Prospectus and that is not so described in such documents.</w:t>
      </w:r>
    </w:p>
    <w:p>
      <w:pPr>
        <w:spacing w:after="0" w:line="131" w:lineRule="exact"/>
        <w:rPr>
          <w:sz w:val="20"/>
          <w:szCs w:val="20"/>
          <w:color w:val="auto"/>
        </w:rPr>
      </w:pPr>
    </w:p>
    <w:p>
      <w:pPr>
        <w:ind w:right="60" w:firstLine="1296"/>
        <w:spacing w:after="0" w:line="232" w:lineRule="auto"/>
        <w:rPr>
          <w:sz w:val="20"/>
          <w:szCs w:val="20"/>
          <w:color w:val="auto"/>
        </w:rPr>
      </w:pPr>
      <w:r>
        <w:rPr>
          <w:rFonts w:ascii="Arial" w:cs="Arial" w:eastAsia="Arial" w:hAnsi="Arial"/>
          <w:sz w:val="22"/>
          <w:szCs w:val="22"/>
          <w:color w:val="auto"/>
        </w:rPr>
        <w:t xml:space="preserve">ar. </w:t>
      </w:r>
      <w:r>
        <w:rPr>
          <w:rFonts w:ascii="Arial" w:cs="Arial" w:eastAsia="Arial" w:hAnsi="Arial"/>
          <w:sz w:val="22"/>
          <w:szCs w:val="22"/>
          <w:u w:val="single" w:color="auto"/>
          <w:color w:val="auto"/>
        </w:rPr>
        <w:t>Foreign Corrupt Practices Act and UK Bribery Act 2010.</w:t>
      </w:r>
      <w:r>
        <w:rPr>
          <w:rFonts w:ascii="Arial" w:cs="Arial" w:eastAsia="Arial" w:hAnsi="Arial"/>
          <w:sz w:val="22"/>
          <w:szCs w:val="22"/>
          <w:color w:val="auto"/>
        </w:rPr>
        <w:t xml:space="preserve"> None of the Company, any of its subsidiaries, directors, officers or, to the knowledge of the Company, 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50" w:lineRule="exact"/>
        <w:rPr>
          <w:sz w:val="20"/>
          <w:szCs w:val="20"/>
          <w:color w:val="auto"/>
        </w:rPr>
      </w:pPr>
    </w:p>
    <w:p>
      <w:pPr>
        <w:jc w:val="both"/>
        <w:spacing w:after="0"/>
        <w:rPr>
          <w:sz w:val="20"/>
          <w:szCs w:val="20"/>
          <w:color w:val="auto"/>
        </w:rPr>
      </w:pPr>
      <w:r>
        <w:rPr>
          <w:rFonts w:ascii="Arial" w:cs="Arial" w:eastAsia="Arial" w:hAnsi="Arial"/>
          <w:sz w:val="19"/>
          <w:szCs w:val="19"/>
          <w:color w:val="auto"/>
        </w:rPr>
        <w:t>agent, employee, controlled affiliate (as defined in Rule 501(b) of Regulation D) or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9"/>
          <w:szCs w:val="19"/>
          <w:u w:val="single" w:color="auto"/>
          <w:color w:val="auto"/>
        </w:rPr>
        <w:t>FCPA</w:t>
      </w:r>
      <w:r>
        <w:rPr>
          <w:rFonts w:ascii="Arial" w:cs="Arial" w:eastAsia="Arial" w:hAnsi="Arial"/>
          <w:sz w:val="19"/>
          <w:szCs w:val="19"/>
          <w:color w:val="auto"/>
        </w:rPr>
        <w:t>”), the U.K. Bribery Act of 2010, as amended, and the rules thereunder (the “</w:t>
      </w:r>
      <w:r>
        <w:rPr>
          <w:rFonts w:ascii="Arial" w:cs="Arial" w:eastAsia="Arial" w:hAnsi="Arial"/>
          <w:sz w:val="19"/>
          <w:szCs w:val="19"/>
          <w:u w:val="single" w:color="auto"/>
          <w:color w:val="auto"/>
        </w:rPr>
        <w:t>UK Act</w:t>
      </w:r>
      <w:r>
        <w:rPr>
          <w:rFonts w:ascii="Arial" w:cs="Arial" w:eastAsia="Arial" w:hAnsi="Arial"/>
          <w:sz w:val="19"/>
          <w:szCs w:val="19"/>
          <w:color w:val="auto"/>
        </w:rPr>
        <w:t>”), or similar applicable law of any other jurisdiction or the rules and regulations under the FCPA, UK Act or similar applicable law of any other jurisdiction including, without limitation, (i) using any corporate funds for any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or (ii)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UK Act or similar applicable law of any other jurisdiction and the Company and, to the knowledge of the Company, its controlled affiliates (as defined in Rule 501(b) of Regulation D) have conducted their businesses in compliance with the FCPA, the UK Act or similar applicable law of any other jurisdiction and have instituted and maintain policies and procedures designed to ensure, and which are reasonably expected to continue to ensure, continued compliance therewith and with the representations and warranties contained herein.</w:t>
      </w:r>
    </w:p>
    <w:p>
      <w:pPr>
        <w:spacing w:after="0" w:line="37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as. </w:t>
      </w:r>
      <w:r>
        <w:rPr>
          <w:rFonts w:ascii="Arial" w:cs="Arial" w:eastAsia="Arial" w:hAnsi="Arial"/>
          <w:sz w:val="19"/>
          <w:szCs w:val="19"/>
          <w:u w:val="single" w:color="auto"/>
          <w:color w:val="auto"/>
        </w:rPr>
        <w:t>Compliance with Anti-Money Laundering Laws</w:t>
      </w:r>
      <w:r>
        <w:rPr>
          <w:rFonts w:ascii="Arial" w:cs="Arial" w:eastAsia="Arial" w:hAnsi="Arial"/>
          <w:sz w:val="19"/>
          <w:szCs w:val="19"/>
          <w:color w:val="auto"/>
        </w:rPr>
        <w:t>.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34"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 xml:space="preserve">at. </w:t>
      </w:r>
      <w:r>
        <w:rPr>
          <w:rFonts w:ascii="Arial" w:cs="Arial" w:eastAsia="Arial" w:hAnsi="Arial"/>
          <w:sz w:val="21"/>
          <w:szCs w:val="21"/>
          <w:u w:val="single" w:color="auto"/>
          <w:color w:val="auto"/>
        </w:rPr>
        <w:t>OFAC</w:t>
      </w:r>
      <w:r>
        <w:rPr>
          <w:rFonts w:ascii="Arial" w:cs="Arial" w:eastAsia="Arial" w:hAnsi="Arial"/>
          <w:sz w:val="21"/>
          <w:szCs w:val="21"/>
          <w:color w:val="auto"/>
        </w:rPr>
        <w:t>. None of the Company, any of its subsidiaries, directors, officers or, to the knowledge of the Company, any agent, employee, affiliate (as defined in Rule 501(b) of Regulation D) or representative of the Company or any of its subsidiaries acting on behalf of the Company or any of its subsidiaries is an individual or entity (“</w:t>
      </w:r>
      <w:r>
        <w:rPr>
          <w:rFonts w:ascii="Arial" w:cs="Arial" w:eastAsia="Arial" w:hAnsi="Arial"/>
          <w:sz w:val="21"/>
          <w:szCs w:val="21"/>
          <w:u w:val="single" w:color="auto"/>
          <w:color w:val="auto"/>
        </w:rPr>
        <w:t>Person</w:t>
      </w:r>
      <w:r>
        <w:rPr>
          <w:rFonts w:ascii="Arial" w:cs="Arial" w:eastAsia="Arial" w:hAnsi="Arial"/>
          <w:sz w:val="21"/>
          <w:szCs w:val="21"/>
          <w:color w:val="auto"/>
        </w:rPr>
        <w:t>”) currently the subject or target of applicable sanctions administered or enforced by the United States Government, including, the U.S. Department of the Treasury’s Office of Foreign Assets Control (“</w:t>
      </w:r>
      <w:r>
        <w:rPr>
          <w:rFonts w:ascii="Arial" w:cs="Arial" w:eastAsia="Arial" w:hAnsi="Arial"/>
          <w:sz w:val="21"/>
          <w:szCs w:val="21"/>
          <w:u w:val="single" w:color="auto"/>
          <w:color w:val="auto"/>
        </w:rPr>
        <w:t>OFAC</w:t>
      </w:r>
      <w:r>
        <w:rPr>
          <w:rFonts w:ascii="Arial" w:cs="Arial" w:eastAsia="Arial" w:hAnsi="Arial"/>
          <w:sz w:val="21"/>
          <w:szCs w:val="21"/>
          <w:color w:val="auto"/>
        </w:rPr>
        <w:t>”) or the U.S. Department of State, the United Nations Security Council, the European Union, or His Majesty’s Treasury (collectively, “</w:t>
      </w:r>
      <w:r>
        <w:rPr>
          <w:rFonts w:ascii="Arial" w:cs="Arial" w:eastAsia="Arial" w:hAnsi="Arial"/>
          <w:sz w:val="21"/>
          <w:szCs w:val="21"/>
          <w:u w:val="single" w:color="auto"/>
          <w:color w:val="auto"/>
        </w:rPr>
        <w:t>Sanctions</w:t>
      </w:r>
      <w:r>
        <w:rPr>
          <w:rFonts w:ascii="Arial" w:cs="Arial" w:eastAsia="Arial" w:hAnsi="Arial"/>
          <w:sz w:val="21"/>
          <w:szCs w:val="21"/>
          <w:color w:val="auto"/>
        </w:rPr>
        <w:t>”), nor is the Company located, organized or resident in a country or territory that is the subject of country-wide or territory-wide Sanctions (as of the date of this Agreement, the Crimea region of Ukraine, the so-called Donetsk People’s Republic, the so-called Luhansk People’s Republic, Cuba, Iran, Syria or North Korea) (each a “</w:t>
      </w:r>
      <w:r>
        <w:rPr>
          <w:rFonts w:ascii="Arial" w:cs="Arial" w:eastAsia="Arial" w:hAnsi="Arial"/>
          <w:sz w:val="21"/>
          <w:szCs w:val="21"/>
          <w:u w:val="single" w:color="auto"/>
          <w:color w:val="auto"/>
        </w:rPr>
        <w:t>Sanctioned Country</w:t>
      </w:r>
      <w:r>
        <w:rPr>
          <w:rFonts w:ascii="Arial" w:cs="Arial" w:eastAsia="Arial" w:hAnsi="Arial"/>
          <w:sz w:val="21"/>
          <w:szCs w:val="21"/>
          <w:color w:val="auto"/>
        </w:rPr>
        <w:t>”). None of the Company, any of its subsidiaries, or any director, officer, or, to the Company’s knowledge, any employee, agent, affiliate or representative of the Company or any of its subsidiaries, is a Person that is, or is 50% or more owned or controlled by one or more Persons that are the subject of applicable Sanctions, or located, organized 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180"/>
          </w:cols>
          <w:pgMar w:left="320" w:top="1440" w:right="399" w:bottom="1440" w:gutter="0" w:footer="0" w:header="0"/>
        </w:sectPr>
      </w:pPr>
    </w:p>
    <w:bookmarkStart w:id="21" w:name="page22"/>
    <w:bookmarkEnd w:id="21"/>
    <w:p>
      <w:pPr>
        <w:spacing w:after="0" w:line="150" w:lineRule="exact"/>
        <w:rPr>
          <w:sz w:val="20"/>
          <w:szCs w:val="20"/>
          <w:color w:val="auto"/>
        </w:rPr>
      </w:pPr>
    </w:p>
    <w:p>
      <w:pPr>
        <w:jc w:val="both"/>
        <w:ind w:right="60"/>
        <w:spacing w:after="0" w:line="221" w:lineRule="auto"/>
        <w:rPr>
          <w:sz w:val="20"/>
          <w:szCs w:val="20"/>
          <w:color w:val="auto"/>
        </w:rPr>
      </w:pPr>
      <w:r>
        <w:rPr>
          <w:rFonts w:ascii="Arial" w:cs="Arial" w:eastAsia="Arial" w:hAnsi="Arial"/>
          <w:sz w:val="21"/>
          <w:szCs w:val="21"/>
          <w:color w:val="auto"/>
        </w:rPr>
        <w:t>resident in a Sanctioned Country. For the past five years, the Company and its subsidiaries have not knowingly engaged in, are not now knowingly engaged in any and will not knowingly engage in any dealings or transactions with any person that at the time of the dealing or transaction is or was the subject or the target of comprehensive Sanctions or with a Sanctioned Country, except as would be permissible under relevant Sanctions. The Company will not, directly or indirectly, use the proceeds of the offering or lend, contribute or otherwise make available such proceeds to any Person, (i) to fund any activities or business of or with any Person or in any country or territory, that, at the time of such funding, is, or whose government is, the subject of Sanctions; (ii) to fund or facilitate any money laundering or terrorist financing activities; or (iii) in any other manner that would cause or result in a violation of any anti-corruption laws, Anti-Money Laundering Laws or Sanctions by any Person (including any Party to this Agreement).</w:t>
      </w:r>
    </w:p>
    <w:p>
      <w:pPr>
        <w:spacing w:after="0" w:line="145" w:lineRule="exact"/>
        <w:rPr>
          <w:sz w:val="20"/>
          <w:szCs w:val="20"/>
          <w:color w:val="auto"/>
        </w:rPr>
      </w:pPr>
    </w:p>
    <w:p>
      <w:pPr>
        <w:jc w:val="both"/>
        <w:ind w:right="60" w:firstLine="1296"/>
        <w:spacing w:after="0" w:line="252" w:lineRule="auto"/>
        <w:rPr>
          <w:sz w:val="20"/>
          <w:szCs w:val="20"/>
          <w:color w:val="auto"/>
        </w:rPr>
      </w:pPr>
      <w:r>
        <w:rPr>
          <w:rFonts w:ascii="Arial" w:cs="Arial" w:eastAsia="Arial" w:hAnsi="Arial"/>
          <w:sz w:val="19"/>
          <w:szCs w:val="19"/>
          <w:color w:val="auto"/>
        </w:rPr>
        <w:t xml:space="preserve">au. </w:t>
      </w:r>
      <w:r>
        <w:rPr>
          <w:rFonts w:ascii="Arial" w:cs="Arial" w:eastAsia="Arial" w:hAnsi="Arial"/>
          <w:sz w:val="19"/>
          <w:szCs w:val="19"/>
          <w:u w:val="single" w:color="auto"/>
          <w:color w:val="auto"/>
        </w:rPr>
        <w:t>No Restrictions on Subsidiaries</w:t>
      </w:r>
      <w:r>
        <w:rPr>
          <w:rFonts w:ascii="Arial" w:cs="Arial" w:eastAsia="Arial" w:hAnsi="Arial"/>
          <w:sz w:val="19"/>
          <w:szCs w:val="19"/>
          <w:color w:val="auto"/>
        </w:rPr>
        <w:t>. Except as described in the Registration Statement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form transferring any of such subsidiary’s properties or assets to the Company or any other subsidiary of the Company.</w:t>
      </w:r>
    </w:p>
    <w:p>
      <w:pPr>
        <w:spacing w:after="0" w:line="122"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 xml:space="preserve">av. </w:t>
      </w:r>
      <w:r>
        <w:rPr>
          <w:rFonts w:ascii="Arial" w:cs="Arial" w:eastAsia="Arial" w:hAnsi="Arial"/>
          <w:sz w:val="22"/>
          <w:szCs w:val="22"/>
          <w:u w:val="single" w:color="auto"/>
          <w:color w:val="auto"/>
        </w:rPr>
        <w:t>Stock Transfer Taxes</w:t>
      </w:r>
      <w:r>
        <w:rPr>
          <w:rFonts w:ascii="Arial" w:cs="Arial" w:eastAsia="Arial" w:hAnsi="Arial"/>
          <w:sz w:val="22"/>
          <w:szCs w:val="22"/>
          <w:color w:val="auto"/>
        </w:rPr>
        <w:t>. On each Settlement Date, all material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spacing w:after="0" w:line="147"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color w:val="auto"/>
        </w:rPr>
        <w:t xml:space="preserve">aw. </w:t>
      </w:r>
      <w:r>
        <w:rPr>
          <w:rFonts w:ascii="Arial" w:cs="Arial" w:eastAsia="Arial" w:hAnsi="Arial"/>
          <w:sz w:val="19"/>
          <w:szCs w:val="19"/>
          <w:u w:val="single" w:color="auto"/>
          <w:color w:val="auto"/>
        </w:rPr>
        <w:t>Data Privacy</w:t>
      </w:r>
      <w:r>
        <w:rPr>
          <w:rFonts w:ascii="Arial" w:cs="Arial" w:eastAsia="Arial" w:hAnsi="Arial"/>
          <w:sz w:val="19"/>
          <w:szCs w:val="19"/>
          <w:color w:val="auto"/>
        </w:rPr>
        <w:t>. (i) The Company and each of its subsidiaries have complied during the past three years and are presently in compliance, in all material respects,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or information (“</w:t>
      </w:r>
      <w:r>
        <w:rPr>
          <w:rFonts w:ascii="Arial" w:cs="Arial" w:eastAsia="Arial" w:hAnsi="Arial"/>
          <w:sz w:val="19"/>
          <w:szCs w:val="19"/>
          <w:u w:val="single" w:color="auto"/>
          <w:color w:val="auto"/>
        </w:rPr>
        <w:t>Data Security Obligations</w:t>
      </w:r>
      <w:r>
        <w:rPr>
          <w:rFonts w:ascii="Arial" w:cs="Arial" w:eastAsia="Arial" w:hAnsi="Arial"/>
          <w:sz w:val="19"/>
          <w:szCs w:val="19"/>
          <w:color w:val="auto"/>
        </w:rPr>
        <w:t>”); (ii) the Company and its subsidiaries have not received any written notification of or written complaint regarding and are unaware of any other facts that, individually or in the aggregate, would reasonably indicate non-compliance in any material respect with any Data Security Obligation by the Company or any of its subsidiaries; and (iii) to the knowledge of the Company, there is no action, suit or proceeding by or before any court or governmental agency, authority or body pending or to the knowledge of the Company or its subsidiaries threatened alleging non-compliance with any Data Security Obligation by the Company or any of its subsidiaries; except in the case of each of clauses (i), (ii) and (iii) as could not reasonably be expected to result in a Material Adverse Effect.</w:t>
      </w:r>
    </w:p>
    <w:p>
      <w:pPr>
        <w:spacing w:after="0" w:line="137" w:lineRule="exact"/>
        <w:rPr>
          <w:sz w:val="20"/>
          <w:szCs w:val="20"/>
          <w:color w:val="auto"/>
        </w:rPr>
      </w:pPr>
    </w:p>
    <w:p>
      <w:pPr>
        <w:jc w:val="both"/>
        <w:ind w:right="20" w:firstLine="1296"/>
        <w:spacing w:after="0" w:line="223" w:lineRule="auto"/>
        <w:rPr>
          <w:sz w:val="20"/>
          <w:szCs w:val="20"/>
          <w:color w:val="auto"/>
        </w:rPr>
      </w:pPr>
      <w:r>
        <w:rPr>
          <w:rFonts w:ascii="Arial" w:cs="Arial" w:eastAsia="Arial" w:hAnsi="Arial"/>
          <w:sz w:val="22"/>
          <w:szCs w:val="22"/>
          <w:color w:val="auto"/>
        </w:rPr>
        <w:t xml:space="preserve">ax. </w:t>
      </w:r>
      <w:r>
        <w:rPr>
          <w:rFonts w:ascii="Arial" w:cs="Arial" w:eastAsia="Arial" w:hAnsi="Arial"/>
          <w:sz w:val="22"/>
          <w:szCs w:val="22"/>
          <w:u w:val="single" w:color="auto"/>
          <w:color w:val="auto"/>
        </w:rPr>
        <w:t>No Ratings</w:t>
      </w:r>
      <w:r>
        <w:rPr>
          <w:rFonts w:ascii="Arial" w:cs="Arial" w:eastAsia="Arial" w:hAnsi="Arial"/>
          <w:sz w:val="22"/>
          <w:szCs w:val="22"/>
          <w:color w:val="auto"/>
        </w:rPr>
        <w:t>. There are no debt securities or preferred stock issued or guaranteed by the Company or any of its subsidiaries that are rated by a “nationally recognized statistical rating organization,” as such term is defined under Section 3(a)(62) under the Exchange Act.</w:t>
      </w:r>
    </w:p>
    <w:p>
      <w:pPr>
        <w:spacing w:after="0" w:line="132" w:lineRule="exact"/>
        <w:rPr>
          <w:sz w:val="20"/>
          <w:szCs w:val="20"/>
          <w:color w:val="auto"/>
        </w:rPr>
      </w:pPr>
    </w:p>
    <w:p>
      <w:pPr>
        <w:jc w:val="both"/>
        <w:ind w:firstLine="472"/>
        <w:spacing w:after="0" w:line="223" w:lineRule="auto"/>
        <w:rPr>
          <w:sz w:val="20"/>
          <w:szCs w:val="20"/>
          <w:color w:val="auto"/>
        </w:rPr>
      </w:pPr>
      <w:r>
        <w:rPr>
          <w:rFonts w:ascii="Arial" w:cs="Arial" w:eastAsia="Arial" w:hAnsi="Arial"/>
          <w:sz w:val="22"/>
          <w:szCs w:val="22"/>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50" w:lineRule="exact"/>
        <w:rPr>
          <w:sz w:val="20"/>
          <w:szCs w:val="20"/>
          <w:color w:val="auto"/>
        </w:rPr>
      </w:pPr>
    </w:p>
    <w:p>
      <w:pPr>
        <w:ind w:left="1300" w:hanging="644"/>
        <w:spacing w:after="0"/>
        <w:tabs>
          <w:tab w:leader="none" w:pos="130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the Agents that:</w:t>
      </w:r>
    </w:p>
    <w:p>
      <w:pPr>
        <w:spacing w:after="0" w:line="165" w:lineRule="exact"/>
        <w:rPr>
          <w:rFonts w:ascii="Arial" w:cs="Arial" w:eastAsia="Arial" w:hAnsi="Arial"/>
          <w:sz w:val="22"/>
          <w:szCs w:val="22"/>
          <w:color w:val="auto"/>
        </w:rPr>
      </w:pPr>
    </w:p>
    <w:p>
      <w:pPr>
        <w:jc w:val="both"/>
        <w:ind w:firstLine="1304"/>
        <w:spacing w:after="0" w:line="238" w:lineRule="auto"/>
        <w:tabs>
          <w:tab w:leader="none" w:pos="1932" w:val="left"/>
        </w:tabs>
        <w:numPr>
          <w:ilvl w:val="2"/>
          <w:numId w:val="15"/>
        </w:numPr>
        <w:rPr>
          <w:rFonts w:ascii="Arial" w:cs="Arial" w:eastAsia="Arial" w:hAnsi="Arial"/>
          <w:sz w:val="19"/>
          <w:szCs w:val="19"/>
          <w:color w:val="auto"/>
        </w:rPr>
      </w:pPr>
      <w:r>
        <w:rPr>
          <w:rFonts w:ascii="Arial" w:cs="Arial" w:eastAsia="Arial" w:hAnsi="Arial"/>
          <w:sz w:val="19"/>
          <w:szCs w:val="19"/>
          <w:u w:val="single" w:color="auto"/>
          <w:color w:val="auto"/>
        </w:rPr>
        <w:t>Registration Statement Amendments</w:t>
      </w:r>
      <w:r>
        <w:rPr>
          <w:rFonts w:ascii="Arial" w:cs="Arial" w:eastAsia="Arial" w:hAnsi="Arial"/>
          <w:sz w:val="19"/>
          <w:szCs w:val="19"/>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(the “</w:t>
      </w:r>
      <w:r>
        <w:rPr>
          <w:rFonts w:ascii="Arial" w:cs="Arial" w:eastAsia="Arial" w:hAnsi="Arial"/>
          <w:sz w:val="19"/>
          <w:szCs w:val="19"/>
          <w:u w:val="single" w:color="auto"/>
          <w:color w:val="auto"/>
        </w:rPr>
        <w:t>Prospectus Delivery</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(i) the Company will notify the Agents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request, any amendments or supplements to the Registration Statement or Prospectus that, upon the advice of the Company’s legal counsel, may be necessary or advisable in connection with the distribution of the Placement Shares by the Agents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failure of the Agents to make such request shall not relieve the Company of any obligation or liability hereunder, or affect the Agents’ right to rely on the representations and warranties made by the Company in this Agreement and provided, further, that the only remedy the Agents shall have with respect to the failure to make such filing shall be to cease making sales under this Agreement until such amendment or supplement is filed); (iii) the Company will not file any amendment or supplement to the Registration Statement (other than an amendment or supplement relating to an offering of the Company’s securities which is unrelated to the offering of Placement Shares) or Prospectus relating to the Placement Shares (other than an Incorporated Document) unless a copy thereof has been submitted to the Agents within a reasonable period of time before the filing and the Agents have not reasonably objected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that (A) the failure of the Agents to make such objection shall not relieve the Company of any obligation or liability hereunder, or affect the Agents’ right to rely on the representations and warranties made by the Company in this Agreement and (B) the Company has no obligation to provide the Agents any advance copy of such filing or to provide the Agents an opportunity to object to such filing if the filing does not name the Agents or does not relate to the transaction herein provided; and provided, further,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w:t>
      </w:r>
    </w:p>
    <w:p>
      <w:pPr>
        <w:spacing w:after="0" w:line="1" w:lineRule="exact"/>
        <w:rPr>
          <w:rFonts w:ascii="Arial" w:cs="Arial" w:eastAsia="Arial" w:hAnsi="Arial"/>
          <w:sz w:val="19"/>
          <w:szCs w:val="19"/>
          <w:color w:val="auto"/>
        </w:rPr>
      </w:pPr>
    </w:p>
    <w:p>
      <w:pPr>
        <w:jc w:val="both"/>
        <w:ind w:firstLine="8"/>
        <w:spacing w:after="0" w:line="247" w:lineRule="auto"/>
        <w:tabs>
          <w:tab w:leader="none" w:pos="398"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9"/>
          <w:szCs w:val="19"/>
          <w:u w:val="single" w:color="auto"/>
          <w:color w:val="auto"/>
        </w:rPr>
        <w:t>Section 7(a)</w:t>
      </w:r>
      <w:r>
        <w:rPr>
          <w:rFonts w:ascii="Arial" w:cs="Arial" w:eastAsia="Arial" w:hAnsi="Arial"/>
          <w:sz w:val="19"/>
          <w:szCs w:val="19"/>
          <w:color w:val="auto"/>
        </w:rPr>
        <w:t>, based on the Company’s reasonable opinion or reasonable objections, shall be made exclusively by the Company).</w:t>
      </w:r>
    </w:p>
    <w:p>
      <w:pPr>
        <w:spacing w:after="0" w:line="126" w:lineRule="exact"/>
        <w:rPr>
          <w:rFonts w:ascii="Arial" w:cs="Arial" w:eastAsia="Arial" w:hAnsi="Arial"/>
          <w:sz w:val="19"/>
          <w:szCs w:val="19"/>
          <w:color w:val="auto"/>
        </w:rPr>
      </w:pPr>
    </w:p>
    <w:p>
      <w:pPr>
        <w:jc w:val="both"/>
        <w:ind w:firstLine="1304"/>
        <w:spacing w:after="0" w:line="247" w:lineRule="auto"/>
        <w:tabs>
          <w:tab w:leader="none" w:pos="1944" w:val="left"/>
        </w:tabs>
        <w:numPr>
          <w:ilvl w:val="2"/>
          <w:numId w:val="16"/>
        </w:numPr>
        <w:rPr>
          <w:rFonts w:ascii="Arial" w:cs="Arial" w:eastAsia="Arial" w:hAnsi="Arial"/>
          <w:sz w:val="19"/>
          <w:szCs w:val="19"/>
          <w:color w:val="auto"/>
        </w:rPr>
      </w:pPr>
      <w:r>
        <w:rPr>
          <w:rFonts w:ascii="Arial" w:cs="Arial" w:eastAsia="Arial" w:hAnsi="Arial"/>
          <w:sz w:val="19"/>
          <w:szCs w:val="19"/>
          <w:u w:val="single" w:color="auto"/>
          <w:color w:val="auto"/>
        </w:rPr>
        <w:t>Notice of Commission Stop Orders</w:t>
      </w:r>
      <w:r>
        <w:rPr>
          <w:rFonts w:ascii="Arial" w:cs="Arial" w:eastAsia="Arial" w:hAnsi="Arial"/>
          <w:sz w:val="19"/>
          <w:szCs w:val="19"/>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50"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Prospectus or for additional information related to the offering of the Placement Shares or for additional information related to the Registration Statement, the Prospectus or any Issuer Free Writing Prospectus.</w:t>
      </w:r>
    </w:p>
    <w:p>
      <w:pPr>
        <w:spacing w:after="0" w:line="145" w:lineRule="exact"/>
        <w:rPr>
          <w:sz w:val="20"/>
          <w:szCs w:val="20"/>
          <w:color w:val="auto"/>
        </w:rPr>
      </w:pPr>
    </w:p>
    <w:p>
      <w:pPr>
        <w:jc w:val="both"/>
        <w:ind w:firstLine="1304"/>
        <w:spacing w:after="0" w:line="241" w:lineRule="auto"/>
        <w:tabs>
          <w:tab w:leader="none" w:pos="193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Delivery of Prospectus; Subsequent Changes</w:t>
      </w:r>
      <w:r>
        <w:rPr>
          <w:rFonts w:ascii="Arial" w:cs="Arial" w:eastAsia="Arial" w:hAnsi="Arial"/>
          <w:sz w:val="19"/>
          <w:szCs w:val="19"/>
          <w:color w:val="auto"/>
        </w:rPr>
        <w:t xml:space="preserve">.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Agents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Designated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may delay the filing of any amendment or supplement, if in the judgment of the Company, it is in the best interest of the Company.</w:t>
      </w:r>
    </w:p>
    <w:p>
      <w:pPr>
        <w:spacing w:after="0" w:line="357" w:lineRule="exact"/>
        <w:rPr>
          <w:rFonts w:ascii="Arial" w:cs="Arial" w:eastAsia="Arial" w:hAnsi="Arial"/>
          <w:sz w:val="19"/>
          <w:szCs w:val="19"/>
          <w:color w:val="auto"/>
        </w:rPr>
      </w:pPr>
    </w:p>
    <w:p>
      <w:pPr>
        <w:jc w:val="both"/>
        <w:ind w:firstLine="1304"/>
        <w:spacing w:after="0" w:line="249" w:lineRule="auto"/>
        <w:tabs>
          <w:tab w:leader="none" w:pos="194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Listing of Placement Shares</w:t>
      </w:r>
      <w:r>
        <w:rPr>
          <w:rFonts w:ascii="Arial" w:cs="Arial" w:eastAsia="Arial" w:hAnsi="Arial"/>
          <w:sz w:val="19"/>
          <w:szCs w:val="19"/>
          <w:color w:val="auto"/>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the Agents reasonably designate and to continue such qualifications in effect so long as required for the distribution of the Placement Shares;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shall not be required in connection therewith to qualify as a foreign corporation or dealer in securities, file a general consent to service of process, or subject itself to taxation in any jurisdiction if it is not otherwise so subject.</w:t>
      </w:r>
    </w:p>
    <w:p>
      <w:pPr>
        <w:spacing w:after="0" w:line="138" w:lineRule="exact"/>
        <w:rPr>
          <w:rFonts w:ascii="Arial" w:cs="Arial" w:eastAsia="Arial" w:hAnsi="Arial"/>
          <w:sz w:val="19"/>
          <w:szCs w:val="19"/>
          <w:color w:val="auto"/>
        </w:rPr>
      </w:pPr>
    </w:p>
    <w:p>
      <w:pPr>
        <w:jc w:val="both"/>
        <w:ind w:firstLine="1304"/>
        <w:spacing w:after="0" w:line="221" w:lineRule="auto"/>
        <w:tabs>
          <w:tab w:leader="none" w:pos="1932"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Delivery of Registration Statement and Prospectus</w:t>
      </w:r>
      <w:r>
        <w:rPr>
          <w:rFonts w:ascii="Arial" w:cs="Arial" w:eastAsia="Arial" w:hAnsi="Arial"/>
          <w:sz w:val="21"/>
          <w:szCs w:val="21"/>
          <w:color w:val="auto"/>
        </w:rPr>
        <w:t xml:space="preserve">. The Company will furnish to the Agents and their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Company shall not be required to furnish any document (other than the Prospectus) to the Agents to the extent such document is available on EDGAR.</w:t>
      </w:r>
    </w:p>
    <w:p>
      <w:pPr>
        <w:spacing w:after="0" w:line="131" w:lineRule="exact"/>
        <w:rPr>
          <w:rFonts w:ascii="Arial" w:cs="Arial" w:eastAsia="Arial" w:hAnsi="Arial"/>
          <w:sz w:val="21"/>
          <w:szCs w:val="21"/>
          <w:color w:val="auto"/>
        </w:rPr>
      </w:pPr>
    </w:p>
    <w:p>
      <w:pPr>
        <w:jc w:val="both"/>
        <w:ind w:firstLine="1304"/>
        <w:spacing w:after="0" w:line="216" w:lineRule="auto"/>
        <w:tabs>
          <w:tab w:leader="none" w:pos="1935"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The Company shall be deemed to satisfy this Section 7(f) through filings of Incorporated Documents made by the Company with the Commission using the EDGAR system.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50" w:lineRule="exact"/>
        <w:rPr>
          <w:sz w:val="20"/>
          <w:szCs w:val="20"/>
          <w:color w:val="auto"/>
        </w:rPr>
      </w:pPr>
    </w:p>
    <w:p>
      <w:pPr>
        <w:ind w:firstLine="1304"/>
        <w:spacing w:after="0" w:line="232" w:lineRule="auto"/>
        <w:tabs>
          <w:tab w:leader="none" w:pos="1944"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45" w:lineRule="exact"/>
        <w:rPr>
          <w:rFonts w:ascii="Arial" w:cs="Arial" w:eastAsia="Arial" w:hAnsi="Arial"/>
          <w:sz w:val="22"/>
          <w:szCs w:val="22"/>
          <w:color w:val="auto"/>
        </w:rPr>
      </w:pPr>
    </w:p>
    <w:p>
      <w:pPr>
        <w:jc w:val="both"/>
        <w:ind w:firstLine="1304"/>
        <w:spacing w:after="0" w:line="238" w:lineRule="auto"/>
        <w:tabs>
          <w:tab w:leader="none" w:pos="1944"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Notice of Other Sales</w:t>
      </w:r>
      <w:r>
        <w:rPr>
          <w:rFonts w:ascii="Arial" w:cs="Arial" w:eastAsia="Arial" w:hAnsi="Arial"/>
          <w:sz w:val="19"/>
          <w:szCs w:val="19"/>
          <w:color w:val="auto"/>
        </w:rPr>
        <w:t xml:space="preserve">. Without the prior written consent of the Agents,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date on which any Placement Notice is delivered to a Designated Agent hereunder and ending on the third (3rd)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restrictions will not apply in connection with the Company’s issuance or sale of (i) Common Stock, options to purchase Common Stock or Common Stock issuable upon the exercise of options or vesting or settlement of equity awards, pursuant to any stock option, equity incentive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or vesting of warrants, options or other rights in effect or outstanding or hereafter implemented, and disclosed in filings by the Company available on EDGAR or otherwise in writing to the Agents,</w:t>
      </w:r>
    </w:p>
    <w:p>
      <w:pPr>
        <w:spacing w:after="0" w:line="6" w:lineRule="exact"/>
        <w:rPr>
          <w:rFonts w:ascii="Arial" w:cs="Arial" w:eastAsia="Arial" w:hAnsi="Arial"/>
          <w:sz w:val="19"/>
          <w:szCs w:val="19"/>
          <w:color w:val="auto"/>
        </w:rPr>
      </w:pPr>
    </w:p>
    <w:p>
      <w:pPr>
        <w:jc w:val="both"/>
        <w:ind w:firstLine="8"/>
        <w:spacing w:after="0" w:line="221" w:lineRule="auto"/>
        <w:tabs>
          <w:tab w:leader="none" w:pos="404" w:val="left"/>
        </w:tabs>
        <w:numPr>
          <w:ilvl w:val="0"/>
          <w:numId w:val="19"/>
        </w:numPr>
        <w:rPr>
          <w:rFonts w:ascii="Arial" w:cs="Arial" w:eastAsia="Arial" w:hAnsi="Arial"/>
          <w:sz w:val="21"/>
          <w:szCs w:val="21"/>
          <w:color w:val="auto"/>
        </w:rPr>
      </w:pPr>
      <w:r>
        <w:rPr>
          <w:rFonts w:ascii="Arial" w:cs="Arial" w:eastAsia="Arial" w:hAnsi="Arial"/>
          <w:sz w:val="21"/>
          <w:szCs w:val="21"/>
          <w:color w:val="auto"/>
        </w:rPr>
        <w:t>Common Stock, or securities convertible into or exercisable for Common Stock, offered and sold in privately negotiated transactions to vendors, customers, strategic partners or potential strategic partners or other investors conducted in a manner so as not to be integrated with the offering of Common Stock hereby and (iv) Common Stock in connection with any acquisition, strategic investment or other similar transaction (including any joint venture, strategic alliance or partnership). Subject to the restrictions and obligations set forth herein, the Company shall otherwise not be restricted from filing, or require the consent of the Agents to file, a registration statement under the Securities Act.</w:t>
      </w:r>
    </w:p>
    <w:p>
      <w:pPr>
        <w:spacing w:after="0" w:line="132" w:lineRule="exact"/>
        <w:rPr>
          <w:rFonts w:ascii="Arial" w:cs="Arial" w:eastAsia="Arial" w:hAnsi="Arial"/>
          <w:sz w:val="21"/>
          <w:szCs w:val="21"/>
          <w:color w:val="auto"/>
        </w:rPr>
      </w:pPr>
    </w:p>
    <w:p>
      <w:pPr>
        <w:jc w:val="both"/>
        <w:ind w:firstLine="1304"/>
        <w:spacing w:after="0" w:line="218" w:lineRule="auto"/>
        <w:tabs>
          <w:tab w:leader="none" w:pos="1936"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Change of Circumstances</w:t>
      </w:r>
      <w:r>
        <w:rPr>
          <w:rFonts w:ascii="Arial" w:cs="Arial" w:eastAsia="Arial" w:hAnsi="Arial"/>
          <w:sz w:val="22"/>
          <w:szCs w:val="22"/>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47" w:lineRule="exact"/>
        <w:rPr>
          <w:rFonts w:ascii="Arial" w:cs="Arial" w:eastAsia="Arial" w:hAnsi="Arial"/>
          <w:sz w:val="22"/>
          <w:szCs w:val="22"/>
          <w:color w:val="auto"/>
        </w:rPr>
      </w:pPr>
    </w:p>
    <w:p>
      <w:pPr>
        <w:jc w:val="both"/>
        <w:ind w:firstLine="1304"/>
        <w:spacing w:after="0" w:line="257" w:lineRule="auto"/>
        <w:tabs>
          <w:tab w:leader="none" w:pos="1936"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Due Diligence Cooperation</w:t>
      </w:r>
      <w:r>
        <w:rPr>
          <w:rFonts w:ascii="Arial" w:cs="Arial" w:eastAsia="Arial" w:hAnsi="Arial"/>
          <w:sz w:val="19"/>
          <w:szCs w:val="19"/>
          <w:color w:val="auto"/>
        </w:rPr>
        <w:t>. During the term of this Agreement,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17" w:lineRule="exact"/>
        <w:rPr>
          <w:rFonts w:ascii="Arial" w:cs="Arial" w:eastAsia="Arial" w:hAnsi="Arial"/>
          <w:sz w:val="19"/>
          <w:szCs w:val="19"/>
          <w:color w:val="auto"/>
        </w:rPr>
      </w:pPr>
    </w:p>
    <w:p>
      <w:pPr>
        <w:jc w:val="both"/>
        <w:ind w:firstLine="1304"/>
        <w:spacing w:after="0" w:line="216" w:lineRule="auto"/>
        <w:tabs>
          <w:tab w:leader="none" w:pos="1944"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Required Filings Relating to Placement of Placement Shares</w:t>
      </w:r>
      <w:r>
        <w:rPr>
          <w:rFonts w:ascii="Arial" w:cs="Arial" w:eastAsia="Arial" w:hAnsi="Arial"/>
          <w:sz w:val="22"/>
          <w:szCs w:val="22"/>
          <w:color w:val="auto"/>
        </w:rPr>
        <w:t>. The Company agrees that on such dates as the Securities Act shall require, the Company will (i) file a prospectus supplement with the Commission under the applicable paragraph of Rule 424(b) under the Securities Act (each and every date a filing under Rule 424(b) is made, a “</w:t>
      </w:r>
      <w:r>
        <w:rPr>
          <w:rFonts w:ascii="Arial" w:cs="Arial" w:eastAsia="Arial" w:hAnsi="Arial"/>
          <w:sz w:val="22"/>
          <w:szCs w:val="22"/>
          <w:u w:val="single" w:color="auto"/>
          <w:color w:val="auto"/>
        </w:rPr>
        <w:t>Filing Date</w:t>
      </w:r>
      <w:r>
        <w:rPr>
          <w:rFonts w:ascii="Arial" w:cs="Arial" w:eastAsia="Arial" w:hAnsi="Arial"/>
          <w:sz w:val="22"/>
          <w:szCs w:val="22"/>
          <w:color w:val="auto"/>
        </w:rPr>
        <w:t>”), which prospectus supplement will set forth, within the relevant period, the amount of Placement Shares sold through the Agents, the Net Proceeds to the Company and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compensation payable by the Company to the Agents with respect to such Placement Shares (provided that the Company may satisfy its obligations under this Section 7(k)(i) by making a filing in accordance with the Exchange Act including such information), and (ii) deliver such number of copies of each such prospectus supplement to each exchange or market on which such sales were effected as may be required by the rules or regulations of such exchange or market.</w:t>
      </w:r>
    </w:p>
    <w:p>
      <w:pPr>
        <w:spacing w:after="0" w:line="131" w:lineRule="exact"/>
        <w:rPr>
          <w:sz w:val="20"/>
          <w:szCs w:val="20"/>
          <w:color w:val="auto"/>
        </w:rPr>
      </w:pPr>
    </w:p>
    <w:p>
      <w:pPr>
        <w:ind w:left="1940" w:hanging="636"/>
        <w:spacing w:after="0"/>
        <w:tabs>
          <w:tab w:leader="none" w:pos="194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Representation Dates; Certificate</w:t>
      </w:r>
      <w:r>
        <w:rPr>
          <w:rFonts w:ascii="Arial" w:cs="Arial" w:eastAsia="Arial" w:hAnsi="Arial"/>
          <w:sz w:val="21"/>
          <w:szCs w:val="21"/>
          <w:color w:val="auto"/>
        </w:rPr>
        <w:t>. Each time during the term of this Agreement that the Company:</w:t>
      </w:r>
    </w:p>
    <w:p>
      <w:pPr>
        <w:spacing w:after="0" w:line="163" w:lineRule="exact"/>
        <w:rPr>
          <w:rFonts w:ascii="Arial" w:cs="Arial" w:eastAsia="Arial" w:hAnsi="Arial"/>
          <w:sz w:val="21"/>
          <w:szCs w:val="21"/>
          <w:color w:val="auto"/>
        </w:rPr>
      </w:pPr>
    </w:p>
    <w:p>
      <w:pPr>
        <w:jc w:val="both"/>
        <w:ind w:firstLine="1952"/>
        <w:spacing w:after="0" w:line="229" w:lineRule="auto"/>
        <w:tabs>
          <w:tab w:leader="none" w:pos="2580" w:val="left"/>
        </w:tabs>
        <w:numPr>
          <w:ilvl w:val="1"/>
          <w:numId w:val="20"/>
        </w:numPr>
        <w:rPr>
          <w:rFonts w:ascii="Arial" w:cs="Arial" w:eastAsia="Arial" w:hAnsi="Arial"/>
          <w:sz w:val="21"/>
          <w:szCs w:val="21"/>
          <w:color w:val="auto"/>
        </w:rPr>
      </w:pPr>
      <w:r>
        <w:rPr>
          <w:rFonts w:ascii="Arial" w:cs="Arial" w:eastAsia="Arial" w:hAnsi="Arial"/>
          <w:sz w:val="21"/>
          <w:szCs w:val="21"/>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44" w:lineRule="exact"/>
        <w:rPr>
          <w:rFonts w:ascii="Arial" w:cs="Arial" w:eastAsia="Arial" w:hAnsi="Arial"/>
          <w:sz w:val="21"/>
          <w:szCs w:val="21"/>
          <w:color w:val="auto"/>
        </w:rPr>
      </w:pPr>
    </w:p>
    <w:p>
      <w:pPr>
        <w:ind w:right="20" w:firstLine="1952"/>
        <w:spacing w:after="0" w:line="232" w:lineRule="auto"/>
        <w:tabs>
          <w:tab w:leader="none" w:pos="2586" w:val="left"/>
        </w:tabs>
        <w:numPr>
          <w:ilvl w:val="1"/>
          <w:numId w:val="20"/>
        </w:numPr>
        <w:rPr>
          <w:rFonts w:ascii="Arial" w:cs="Arial" w:eastAsia="Arial" w:hAnsi="Arial"/>
          <w:sz w:val="22"/>
          <w:szCs w:val="22"/>
          <w:color w:val="auto"/>
        </w:rPr>
      </w:pPr>
      <w:r>
        <w:rPr>
          <w:rFonts w:ascii="Arial" w:cs="Arial" w:eastAsia="Arial" w:hAnsi="Arial"/>
          <w:sz w:val="22"/>
          <w:szCs w:val="22"/>
          <w:color w:val="auto"/>
        </w:rPr>
        <w:t>files an annual report on Form 10-K under the Exchange Act (including any Form 10-K/A containing amended audited financial information or a material amendment to the previously filed Form 10-K);</w:t>
      </w:r>
    </w:p>
    <w:p>
      <w:pPr>
        <w:spacing w:after="0" w:line="131" w:lineRule="exact"/>
        <w:rPr>
          <w:rFonts w:ascii="Arial" w:cs="Arial" w:eastAsia="Arial" w:hAnsi="Arial"/>
          <w:sz w:val="22"/>
          <w:szCs w:val="22"/>
          <w:color w:val="auto"/>
        </w:rPr>
      </w:pPr>
    </w:p>
    <w:p>
      <w:pPr>
        <w:ind w:left="2600" w:hanging="648"/>
        <w:spacing w:after="0"/>
        <w:tabs>
          <w:tab w:leader="none" w:pos="26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files its quarterly reports on Form 10-Q under the Exchange Act; or</w:t>
      </w:r>
    </w:p>
    <w:p>
      <w:pPr>
        <w:spacing w:after="0" w:line="152" w:lineRule="exact"/>
        <w:rPr>
          <w:rFonts w:ascii="Arial" w:cs="Arial" w:eastAsia="Arial" w:hAnsi="Arial"/>
          <w:sz w:val="22"/>
          <w:szCs w:val="22"/>
          <w:color w:val="auto"/>
        </w:rPr>
      </w:pPr>
    </w:p>
    <w:p>
      <w:pPr>
        <w:jc w:val="both"/>
        <w:ind w:firstLine="1952"/>
        <w:spacing w:after="0" w:line="218" w:lineRule="auto"/>
        <w:tabs>
          <w:tab w:leader="none" w:pos="2580" w:val="left"/>
        </w:tabs>
        <w:numPr>
          <w:ilvl w:val="1"/>
          <w:numId w:val="20"/>
        </w:numPr>
        <w:rPr>
          <w:rFonts w:ascii="Arial" w:cs="Arial" w:eastAsia="Arial" w:hAnsi="Arial"/>
          <w:sz w:val="22"/>
          <w:szCs w:val="22"/>
          <w:color w:val="auto"/>
        </w:rPr>
      </w:pPr>
      <w:r>
        <w:rPr>
          <w:rFonts w:ascii="Arial" w:cs="Arial" w:eastAsia="Arial" w:hAnsi="Arial"/>
          <w:sz w:val="22"/>
          <w:szCs w:val="22"/>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(Each date of filing of one or more of the documents referred to in clauses (i) through (iv) shall be a “</w:t>
      </w:r>
      <w:r>
        <w:rPr>
          <w:rFonts w:ascii="Arial" w:cs="Arial" w:eastAsia="Arial" w:hAnsi="Arial"/>
          <w:sz w:val="19"/>
          <w:szCs w:val="19"/>
          <w:u w:val="single" w:color="auto"/>
          <w:color w:val="auto"/>
        </w:rPr>
        <w:t>Representation Date</w:t>
      </w:r>
      <w:r>
        <w:rPr>
          <w:rFonts w:ascii="Arial" w:cs="Arial" w:eastAsia="Arial" w:hAnsi="Arial"/>
          <w:sz w:val="19"/>
          <w:szCs w:val="19"/>
          <w:color w:val="auto"/>
        </w:rPr>
        <w:t>.”)</w:t>
      </w:r>
    </w:p>
    <w:p>
      <w:pPr>
        <w:spacing w:after="0" w:line="187"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 xml:space="preserve">the Company shall furnish the Agents (but in the case of clause (iv) above only if the Agents reasonably determine that the information contained in such Form 8-K is material) with a certificate, in the form attached hereto as </w:t>
      </w:r>
      <w:r>
        <w:rPr>
          <w:rFonts w:ascii="Arial" w:cs="Arial" w:eastAsia="Arial" w:hAnsi="Arial"/>
          <w:sz w:val="19"/>
          <w:szCs w:val="19"/>
          <w:u w:val="single" w:color="auto"/>
          <w:color w:val="auto"/>
        </w:rPr>
        <w:t>Exhibit 7(1)</w:t>
      </w:r>
      <w:r>
        <w:rPr>
          <w:rFonts w:ascii="Arial" w:cs="Arial" w:eastAsia="Arial" w:hAnsi="Arial"/>
          <w:sz w:val="19"/>
          <w:szCs w:val="19"/>
          <w:color w:val="auto"/>
        </w:rPr>
        <w:t xml:space="preserve">. The requirement to provide a certificate under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10-K. Notwithstanding the foregoing, (i) upon the delivery of the first Placement Notice hereunder and (ii) if the Company subsequently decides to sell Placement Shares following a Representation Date when the Company relied on such waiver and did not provide the Agents with a certificate under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then before the Agents sell any Placement Shares, the Company shall provide the Agents with a certificate, in the form attached hereto as </w:t>
      </w:r>
      <w:r>
        <w:rPr>
          <w:rFonts w:ascii="Arial" w:cs="Arial" w:eastAsia="Arial" w:hAnsi="Arial"/>
          <w:sz w:val="19"/>
          <w:szCs w:val="19"/>
          <w:u w:val="single" w:color="auto"/>
          <w:color w:val="auto"/>
        </w:rPr>
        <w:t>Exhibit 7(1)</w:t>
      </w:r>
      <w:r>
        <w:rPr>
          <w:rFonts w:ascii="Arial" w:cs="Arial" w:eastAsia="Arial" w:hAnsi="Arial"/>
          <w:sz w:val="19"/>
          <w:szCs w:val="19"/>
          <w:color w:val="auto"/>
        </w:rPr>
        <w:t>, dated the date of the Placement Notice.</w:t>
      </w:r>
    </w:p>
    <w:p>
      <w:pPr>
        <w:spacing w:after="0" w:line="128" w:lineRule="exact"/>
        <w:rPr>
          <w:sz w:val="20"/>
          <w:szCs w:val="20"/>
          <w:color w:val="auto"/>
        </w:rPr>
      </w:pPr>
    </w:p>
    <w:p>
      <w:pPr>
        <w:jc w:val="both"/>
        <w:ind w:firstLine="1304"/>
        <w:spacing w:after="0" w:line="247" w:lineRule="auto"/>
        <w:tabs>
          <w:tab w:leader="none" w:pos="193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Legal Opinion</w:t>
      </w:r>
      <w:r>
        <w:rPr>
          <w:rFonts w:ascii="Arial" w:cs="Arial" w:eastAsia="Arial" w:hAnsi="Arial"/>
          <w:sz w:val="19"/>
          <w:szCs w:val="19"/>
          <w:color w:val="auto"/>
        </w:rPr>
        <w:t>. On or prior to the date of the first Placement Notice given hereunder the Company shall cause to be furnished to the Agents a written opinion and a negative assurance letter of Sheppard, Mullin, Richter &amp; Hampton LLP (“</w:t>
      </w:r>
      <w:r>
        <w:rPr>
          <w:rFonts w:ascii="Arial" w:cs="Arial" w:eastAsia="Arial" w:hAnsi="Arial"/>
          <w:sz w:val="19"/>
          <w:szCs w:val="19"/>
          <w:u w:val="single" w:color="auto"/>
          <w:color w:val="auto"/>
        </w:rPr>
        <w:t>Company Counsel</w:t>
      </w:r>
      <w:r>
        <w:rPr>
          <w:rFonts w:ascii="Arial" w:cs="Arial" w:eastAsia="Arial" w:hAnsi="Arial"/>
          <w:sz w:val="19"/>
          <w:szCs w:val="19"/>
          <w:color w:val="auto"/>
        </w:rPr>
        <w:t>”), or other counsel reasonably satisfactory to the Agents, each in form and substance reasonably satisfactory to the Agents. Thereafter, within five (5) Trading Days of each Representation Date with respect to which the Company is obligated to deliver a certificate in the form attached hereto as Exhibit 7(l) for which no waiver is applicable, the Company shall cause to be furnished to the Agents a negative assurance letter of Company Counsel in form and substance reasonably satisfactory to the Agents; provided that, in lieu of such negative assurance for subsequent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0"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periodic filings under the Exchange Act, counsel may furnish the Agents with a letter (a “</w:t>
      </w:r>
      <w:r>
        <w:rPr>
          <w:rFonts w:ascii="Arial" w:cs="Arial" w:eastAsia="Arial" w:hAnsi="Arial"/>
          <w:sz w:val="21"/>
          <w:szCs w:val="21"/>
          <w:u w:val="single" w:color="auto"/>
          <w:color w:val="auto"/>
        </w:rPr>
        <w:t>Reliance Letter</w:t>
      </w:r>
      <w:r>
        <w:rPr>
          <w:rFonts w:ascii="Arial" w:cs="Arial" w:eastAsia="Arial" w:hAnsi="Arial"/>
          <w:sz w:val="21"/>
          <w:szCs w:val="21"/>
          <w:color w:val="auto"/>
        </w:rPr>
        <w:t xml:space="preserve">”) to the effect that the Agents may rely on the negative assurance letter previously delivered under this </w:t>
      </w:r>
      <w:r>
        <w:rPr>
          <w:rFonts w:ascii="Arial" w:cs="Arial" w:eastAsia="Arial" w:hAnsi="Arial"/>
          <w:sz w:val="21"/>
          <w:szCs w:val="21"/>
          <w:u w:val="single" w:color="auto"/>
          <w:color w:val="auto"/>
        </w:rPr>
        <w:t>Section 7(m)</w:t>
      </w:r>
      <w:r>
        <w:rPr>
          <w:rFonts w:ascii="Arial" w:cs="Arial" w:eastAsia="Arial" w:hAnsi="Arial"/>
          <w:sz w:val="21"/>
          <w:szCs w:val="21"/>
          <w:color w:val="auto"/>
        </w:rPr>
        <w:t xml:space="preserve"> to the same extent as if it were dated the date of such letter (except that statements in such prior letter shall be deemed to relate to the Registration Statement and the Prospectus as amended or supplemented as of the date of the Reliance Letter).</w:t>
      </w:r>
    </w:p>
    <w:p>
      <w:pPr>
        <w:spacing w:after="0" w:line="145" w:lineRule="exact"/>
        <w:rPr>
          <w:sz w:val="20"/>
          <w:szCs w:val="20"/>
          <w:color w:val="auto"/>
        </w:rPr>
      </w:pPr>
    </w:p>
    <w:p>
      <w:pPr>
        <w:jc w:val="both"/>
        <w:ind w:firstLine="1304"/>
        <w:spacing w:after="0" w:line="219" w:lineRule="auto"/>
        <w:tabs>
          <w:tab w:leader="none" w:pos="1944"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On or prior to the date of the first Placement Notice given hereunder and within five (5) Trading Days after each subsequent Representation Date, the Company shall cause its independent accountants to furnish the Agents letters (the “</w:t>
      </w:r>
      <w:r>
        <w:rPr>
          <w:rFonts w:ascii="Arial" w:cs="Arial" w:eastAsia="Arial" w:hAnsi="Arial"/>
          <w:sz w:val="21"/>
          <w:szCs w:val="21"/>
          <w:u w:val="single" w:color="auto"/>
          <w:color w:val="auto"/>
        </w:rPr>
        <w:t>Comfort Letters</w:t>
      </w:r>
      <w:r>
        <w:rPr>
          <w:rFonts w:ascii="Arial" w:cs="Arial" w:eastAsia="Arial" w:hAnsi="Arial"/>
          <w:sz w:val="21"/>
          <w:szCs w:val="21"/>
          <w:color w:val="auto"/>
        </w:rPr>
        <w:t xml:space="preserve">”), dated the date the Comfort Letter is delivered, which shall meet the requirements set forth in this </w:t>
      </w:r>
      <w:r>
        <w:rPr>
          <w:rFonts w:ascii="Arial" w:cs="Arial" w:eastAsia="Arial" w:hAnsi="Arial"/>
          <w:sz w:val="21"/>
          <w:szCs w:val="21"/>
          <w:u w:val="single" w:color="auto"/>
          <w:color w:val="auto"/>
        </w:rPr>
        <w:t>Section 7(n)</w:t>
      </w:r>
      <w:r>
        <w:rPr>
          <w:rFonts w:ascii="Arial" w:cs="Arial" w:eastAsia="Arial" w:hAnsi="Arial"/>
          <w:sz w:val="21"/>
          <w:szCs w:val="21"/>
          <w:color w:val="auto"/>
        </w:rPr>
        <w:t>. The Comfort Letter from the Company’s independent accountants shall be in a form and substance reasonably satisfactory to the Agents, (i) confirming that they are an independent public accounting firm within the meaning of the Securities Act and the Public Company Accounting Oversight Board (the “</w:t>
      </w:r>
      <w:r>
        <w:rPr>
          <w:rFonts w:ascii="Arial" w:cs="Arial" w:eastAsia="Arial" w:hAnsi="Arial"/>
          <w:sz w:val="21"/>
          <w:szCs w:val="21"/>
          <w:u w:val="single" w:color="auto"/>
          <w:color w:val="auto"/>
        </w:rPr>
        <w:t>PCAOB</w:t>
      </w:r>
      <w:r>
        <w:rPr>
          <w:rFonts w:ascii="Arial" w:cs="Arial" w:eastAsia="Arial" w:hAnsi="Arial"/>
          <w:sz w:val="21"/>
          <w:szCs w:val="21"/>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21"/>
          <w:szCs w:val="21"/>
          <w:u w:val="single" w:color="auto"/>
          <w:color w:val="auto"/>
        </w:rPr>
        <w:t>Initial</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Comfort Letter</w:t>
      </w:r>
      <w:r>
        <w:rPr>
          <w:rFonts w:ascii="Arial" w:cs="Arial" w:eastAsia="Arial" w:hAnsi="Arial"/>
          <w:sz w:val="21"/>
          <w:szCs w:val="21"/>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41" w:lineRule="exact"/>
        <w:rPr>
          <w:rFonts w:ascii="Arial" w:cs="Arial" w:eastAsia="Arial" w:hAnsi="Arial"/>
          <w:sz w:val="21"/>
          <w:szCs w:val="21"/>
          <w:color w:val="auto"/>
        </w:rPr>
      </w:pPr>
    </w:p>
    <w:p>
      <w:pPr>
        <w:jc w:val="both"/>
        <w:ind w:firstLine="1304"/>
        <w:spacing w:after="0" w:line="216" w:lineRule="auto"/>
        <w:tabs>
          <w:tab w:leader="none" w:pos="1944"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No Offer to Sell</w:t>
      </w:r>
      <w:r>
        <w:rPr>
          <w:rFonts w:ascii="Arial" w:cs="Arial" w:eastAsia="Arial" w:hAnsi="Arial"/>
          <w:sz w:val="22"/>
          <w:szCs w:val="22"/>
          <w:color w:val="auto"/>
        </w:rPr>
        <w:t xml:space="preserve">. Other than an Issuer Free Writing Prospectus approved in advance by the Company and the Agents in its capacity as agent hereunder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none of the Agents or the Company (including its agents and representatives, other than the Agents in their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144" w:lineRule="exact"/>
        <w:rPr>
          <w:rFonts w:ascii="Arial" w:cs="Arial" w:eastAsia="Arial" w:hAnsi="Arial"/>
          <w:sz w:val="22"/>
          <w:szCs w:val="22"/>
          <w:color w:val="auto"/>
        </w:rPr>
      </w:pPr>
    </w:p>
    <w:p>
      <w:pPr>
        <w:jc w:val="both"/>
        <w:ind w:firstLine="656"/>
        <w:spacing w:after="0" w:line="221" w:lineRule="auto"/>
        <w:tabs>
          <w:tab w:leader="none" w:pos="1296"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Representations and Covenants of the Agents</w:t>
      </w:r>
      <w:r>
        <w:rPr>
          <w:rFonts w:ascii="Arial" w:cs="Arial" w:eastAsia="Arial" w:hAnsi="Arial"/>
          <w:sz w:val="21"/>
          <w:szCs w:val="21"/>
          <w:color w:val="auto"/>
        </w:rPr>
        <w:t>. Each of the Agents represents and warrants that it is duly registered as a broker-dealer under FINRA, the Exchange Act and the applicable statutes and regulations of each state in which the Placement Shares will be offered and sold by such Agent, except such states in which such Agents is exempt from registration or such registration is not otherwise required. Each of the Agents shall continue, for the term of this Agreement, to be duly 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Each of the Agents shall comply with all applicable law and regulations in connection with the transactions contemplated by this Agreement, including the issuance and sale through such Agent of the Placement Shares.</w:t>
      </w:r>
    </w:p>
    <w:p>
      <w:pPr>
        <w:spacing w:after="0" w:line="131" w:lineRule="exact"/>
        <w:rPr>
          <w:rFonts w:ascii="Arial" w:cs="Arial" w:eastAsia="Arial" w:hAnsi="Arial"/>
          <w:sz w:val="21"/>
          <w:szCs w:val="21"/>
          <w:color w:val="auto"/>
        </w:rPr>
      </w:pPr>
    </w:p>
    <w:p>
      <w:pPr>
        <w:jc w:val="both"/>
        <w:ind w:firstLine="656"/>
        <w:spacing w:after="0" w:line="244" w:lineRule="auto"/>
        <w:tabs>
          <w:tab w:leader="none" w:pos="129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Agents shall deem reasonably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reasonable and documented out-of-pocket fees and disbursements of counsel to the Agents (x) not to exceed $85,000 in connection with the filing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50"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of this Agreement and (y) not to exceed $12,500 per quarter thereafter in connection with updates at the time of Representation Dates;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47" w:lineRule="exact"/>
        <w:rPr>
          <w:sz w:val="20"/>
          <w:szCs w:val="20"/>
          <w:color w:val="auto"/>
        </w:rPr>
      </w:pPr>
    </w:p>
    <w:p>
      <w:pPr>
        <w:jc w:val="both"/>
        <w:ind w:left="20" w:firstLine="636"/>
        <w:spacing w:after="0" w:line="224" w:lineRule="auto"/>
        <w:tabs>
          <w:tab w:leader="none" w:pos="130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Conditions to the Agent’s Obligations</w:t>
      </w:r>
      <w:r>
        <w:rPr>
          <w:rFonts w:ascii="Arial" w:cs="Arial" w:eastAsia="Arial" w:hAnsi="Arial"/>
          <w:sz w:val="21"/>
          <w:szCs w:val="21"/>
          <w:color w:val="auto"/>
        </w:rPr>
        <w:t>. The obligations of each Agent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such Agent of a due diligence review satisfactory to it in its reasonable judgment, and to the continuing reasonable satisfaction (or waiver by such Agent in its sole discretion) of the following additional conditions:</w:t>
      </w:r>
    </w:p>
    <w:p>
      <w:pPr>
        <w:spacing w:after="0" w:line="132" w:lineRule="exact"/>
        <w:rPr>
          <w:rFonts w:ascii="Arial" w:cs="Arial" w:eastAsia="Arial" w:hAnsi="Arial"/>
          <w:sz w:val="21"/>
          <w:szCs w:val="21"/>
          <w:color w:val="auto"/>
        </w:rPr>
      </w:pPr>
    </w:p>
    <w:p>
      <w:pPr>
        <w:ind w:right="20" w:firstLine="1304"/>
        <w:spacing w:after="0" w:line="232" w:lineRule="auto"/>
        <w:tabs>
          <w:tab w:leader="none" w:pos="1932"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Registration Statement Effective</w:t>
      </w:r>
      <w:r>
        <w:rPr>
          <w:rFonts w:ascii="Arial" w:cs="Arial" w:eastAsia="Arial" w:hAnsi="Arial"/>
          <w:sz w:val="22"/>
          <w:szCs w:val="22"/>
          <w:color w:val="auto"/>
        </w:rPr>
        <w:t>. The Registration Statement shall remain effective and shall be available for the sale of all Placement Shares contemplated to be issued by any Placement Notice.</w:t>
      </w:r>
    </w:p>
    <w:p>
      <w:pPr>
        <w:spacing w:after="0" w:line="145" w:lineRule="exact"/>
        <w:rPr>
          <w:rFonts w:ascii="Arial" w:cs="Arial" w:eastAsia="Arial" w:hAnsi="Arial"/>
          <w:sz w:val="22"/>
          <w:szCs w:val="22"/>
          <w:color w:val="auto"/>
        </w:rPr>
      </w:pPr>
    </w:p>
    <w:p>
      <w:pPr>
        <w:jc w:val="both"/>
        <w:ind w:firstLine="1304"/>
        <w:spacing w:after="0" w:line="241" w:lineRule="auto"/>
        <w:tabs>
          <w:tab w:leader="none" w:pos="1944"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No Material Notices</w:t>
      </w:r>
      <w:r>
        <w:rPr>
          <w:rFonts w:ascii="Arial" w:cs="Arial" w:eastAsia="Arial" w:hAnsi="Arial"/>
          <w:sz w:val="19"/>
          <w:szCs w:val="19"/>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to the Company’s knowledge,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354" w:lineRule="exact"/>
        <w:rPr>
          <w:rFonts w:ascii="Arial" w:cs="Arial" w:eastAsia="Arial" w:hAnsi="Arial"/>
          <w:sz w:val="19"/>
          <w:szCs w:val="19"/>
          <w:color w:val="auto"/>
        </w:rPr>
      </w:pPr>
    </w:p>
    <w:p>
      <w:pPr>
        <w:jc w:val="both"/>
        <w:ind w:firstLine="1304"/>
        <w:spacing w:after="0" w:line="229" w:lineRule="auto"/>
        <w:tabs>
          <w:tab w:leader="none" w:pos="1932"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No Misstatement or Material Omission</w:t>
      </w:r>
      <w:r>
        <w:rPr>
          <w:rFonts w:ascii="Arial" w:cs="Arial" w:eastAsia="Arial" w:hAnsi="Arial"/>
          <w:sz w:val="21"/>
          <w:szCs w:val="21"/>
          <w:color w:val="auto"/>
        </w:rPr>
        <w:t>. No Agent shall have advised the Company that the Registration Statement or Prospectus, or any amendment or supplement thereto, contains an untrue statement of fact that in the Agents’ reasonable opinion is material, or omits to state a fact that in such Agent’s reasonable opinion is material and is required to be stated therein or is necessary to make the statements therein not misleading.</w:t>
      </w:r>
    </w:p>
    <w:p>
      <w:pPr>
        <w:spacing w:after="0" w:line="131" w:lineRule="exact"/>
        <w:rPr>
          <w:rFonts w:ascii="Arial" w:cs="Arial" w:eastAsia="Arial" w:hAnsi="Arial"/>
          <w:sz w:val="21"/>
          <w:szCs w:val="21"/>
          <w:color w:val="auto"/>
        </w:rPr>
      </w:pPr>
    </w:p>
    <w:p>
      <w:pPr>
        <w:jc w:val="both"/>
        <w:ind w:firstLine="1304"/>
        <w:spacing w:after="0" w:line="229" w:lineRule="auto"/>
        <w:tabs>
          <w:tab w:leader="none" w:pos="1944"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Material Changes</w:t>
      </w:r>
      <w:r>
        <w:rPr>
          <w:rFonts w:ascii="Arial" w:cs="Arial" w:eastAsia="Arial" w:hAnsi="Arial"/>
          <w:sz w:val="21"/>
          <w:szCs w:val="21"/>
          <w:color w:val="auto"/>
        </w:rPr>
        <w:t>. Except as contemplated in the Prospectus, or disclosed in the Company’s reports filed with the Commission, there shall not have been any Material Adverse Effect, or any development that would cause a Material Adverse Effect the effect of which is so material as to make it impracticable or inadvisable to proceed with the offering of the Placement Shares on the terms and in the manner contemplated in the Prospectus.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50" w:lineRule="exact"/>
        <w:rPr>
          <w:sz w:val="20"/>
          <w:szCs w:val="20"/>
          <w:color w:val="auto"/>
        </w:rPr>
      </w:pPr>
    </w:p>
    <w:p>
      <w:pPr>
        <w:jc w:val="both"/>
        <w:ind w:firstLine="1304"/>
        <w:spacing w:after="0" w:line="223" w:lineRule="auto"/>
        <w:tabs>
          <w:tab w:leader="none" w:pos="1932"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Company Counsel Legal Opinion</w:t>
      </w:r>
      <w:r>
        <w:rPr>
          <w:rFonts w:ascii="Arial" w:cs="Arial" w:eastAsia="Arial" w:hAnsi="Arial"/>
          <w:sz w:val="22"/>
          <w:szCs w:val="22"/>
          <w:color w:val="auto"/>
        </w:rPr>
        <w:t xml:space="preserve">. Such Agent shall have received the opinion and negative assurance letter of Company Counsel required to be delivered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xml:space="preserve"> on or before the date on which such delivery of such opinion and negative assurance letter are required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w:t>
      </w:r>
    </w:p>
    <w:p>
      <w:pPr>
        <w:spacing w:after="0" w:line="145" w:lineRule="exact"/>
        <w:rPr>
          <w:rFonts w:ascii="Arial" w:cs="Arial" w:eastAsia="Arial" w:hAnsi="Arial"/>
          <w:sz w:val="22"/>
          <w:szCs w:val="22"/>
          <w:color w:val="auto"/>
        </w:rPr>
      </w:pPr>
    </w:p>
    <w:p>
      <w:pPr>
        <w:jc w:val="both"/>
        <w:ind w:firstLine="1304"/>
        <w:spacing w:after="0" w:line="216" w:lineRule="auto"/>
        <w:tabs>
          <w:tab w:leader="none" w:pos="1935"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Agents Counsel Legal Opinion</w:t>
      </w:r>
      <w:r>
        <w:rPr>
          <w:rFonts w:ascii="Arial" w:cs="Arial" w:eastAsia="Arial" w:hAnsi="Arial"/>
          <w:sz w:val="22"/>
          <w:szCs w:val="22"/>
          <w:color w:val="auto"/>
        </w:rPr>
        <w:t xml:space="preserve">. Such Agent shall have received from Davis Polk &amp; Wardwell LLP, counsel for the Agents, a written opinion and a negative assurance letter, on or before the date on which the delivery of the Company Counsel legal opinion is required pursuant to </w:t>
      </w:r>
      <w:r>
        <w:rPr>
          <w:rFonts w:ascii="Arial" w:cs="Arial" w:eastAsia="Arial" w:hAnsi="Arial"/>
          <w:sz w:val="22"/>
          <w:szCs w:val="22"/>
          <w:u w:val="single" w:color="auto"/>
          <w:color w:val="auto"/>
        </w:rPr>
        <w:t>Section 7(m)</w:t>
      </w:r>
      <w:r>
        <w:rPr>
          <w:rFonts w:ascii="Arial" w:cs="Arial" w:eastAsia="Arial" w:hAnsi="Arial"/>
          <w:sz w:val="22"/>
          <w:szCs w:val="22"/>
          <w:color w:val="auto"/>
        </w:rPr>
        <w:t>, with respect to such matters as such Agent may reasonably require, and the Company shall have furnished to such counsel such documents as they request for enabling them to pass upon such matters.</w:t>
      </w:r>
    </w:p>
    <w:p>
      <w:pPr>
        <w:spacing w:after="0" w:line="130" w:lineRule="exact"/>
        <w:rPr>
          <w:rFonts w:ascii="Arial" w:cs="Arial" w:eastAsia="Arial" w:hAnsi="Arial"/>
          <w:sz w:val="22"/>
          <w:szCs w:val="22"/>
          <w:color w:val="auto"/>
        </w:rPr>
      </w:pPr>
    </w:p>
    <w:p>
      <w:pPr>
        <w:ind w:firstLine="1304"/>
        <w:spacing w:after="0" w:line="247" w:lineRule="auto"/>
        <w:tabs>
          <w:tab w:leader="none" w:pos="1944"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Comfort Letter</w:t>
      </w:r>
      <w:r>
        <w:rPr>
          <w:rFonts w:ascii="Arial" w:cs="Arial" w:eastAsia="Arial" w:hAnsi="Arial"/>
          <w:sz w:val="21"/>
          <w:szCs w:val="21"/>
          <w:color w:val="auto"/>
        </w:rPr>
        <w:t xml:space="preserve">. Such Agent shall have received the Comfort Letter required to be delivered pursuant </w:t>
      </w:r>
      <w:r>
        <w:rPr>
          <w:rFonts w:ascii="Arial" w:cs="Arial" w:eastAsia="Arial" w:hAnsi="Arial"/>
          <w:sz w:val="21"/>
          <w:szCs w:val="21"/>
          <w:u w:val="single" w:color="auto"/>
          <w:color w:val="auto"/>
        </w:rPr>
        <w:t>Section 7(n)</w:t>
      </w:r>
      <w:r>
        <w:rPr>
          <w:rFonts w:ascii="Arial" w:cs="Arial" w:eastAsia="Arial" w:hAnsi="Arial"/>
          <w:sz w:val="21"/>
          <w:szCs w:val="21"/>
          <w:color w:val="auto"/>
        </w:rPr>
        <w:t xml:space="preserve"> on or before the date on which such delivery of such letter is required pursuant to </w:t>
      </w:r>
      <w:r>
        <w:rPr>
          <w:rFonts w:ascii="Arial" w:cs="Arial" w:eastAsia="Arial" w:hAnsi="Arial"/>
          <w:sz w:val="21"/>
          <w:szCs w:val="21"/>
          <w:u w:val="single" w:color="auto"/>
          <w:color w:val="auto"/>
        </w:rPr>
        <w:t>Section 7(n)</w:t>
      </w:r>
      <w:r>
        <w:rPr>
          <w:rFonts w:ascii="Arial" w:cs="Arial" w:eastAsia="Arial" w:hAnsi="Arial"/>
          <w:sz w:val="21"/>
          <w:szCs w:val="21"/>
          <w:color w:val="auto"/>
        </w:rPr>
        <w:t>.</w:t>
      </w:r>
    </w:p>
    <w:p>
      <w:pPr>
        <w:spacing w:after="0" w:line="137" w:lineRule="exact"/>
        <w:rPr>
          <w:rFonts w:ascii="Arial" w:cs="Arial" w:eastAsia="Arial" w:hAnsi="Arial"/>
          <w:sz w:val="21"/>
          <w:szCs w:val="21"/>
          <w:color w:val="auto"/>
        </w:rPr>
      </w:pPr>
    </w:p>
    <w:p>
      <w:pPr>
        <w:ind w:firstLine="1304"/>
        <w:spacing w:after="0" w:line="247" w:lineRule="auto"/>
        <w:tabs>
          <w:tab w:leader="none" w:pos="1944"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Representation Certificate</w:t>
      </w:r>
      <w:r>
        <w:rPr>
          <w:rFonts w:ascii="Arial" w:cs="Arial" w:eastAsia="Arial" w:hAnsi="Arial"/>
          <w:sz w:val="21"/>
          <w:szCs w:val="21"/>
          <w:color w:val="auto"/>
        </w:rPr>
        <w:t xml:space="preserve">. The Agents shall have received the certificate required to be delivered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on or before the date on which delivery of such certificate is required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123" w:lineRule="exact"/>
        <w:rPr>
          <w:rFonts w:ascii="Arial" w:cs="Arial" w:eastAsia="Arial" w:hAnsi="Arial"/>
          <w:sz w:val="21"/>
          <w:szCs w:val="21"/>
          <w:color w:val="auto"/>
        </w:rPr>
      </w:pPr>
    </w:p>
    <w:p>
      <w:pPr>
        <w:jc w:val="both"/>
        <w:ind w:firstLine="1304"/>
        <w:spacing w:after="0" w:line="223" w:lineRule="auto"/>
        <w:tabs>
          <w:tab w:leader="none" w:pos="1936"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On or prior to the first Representation Date, the Agents shall have received a certificate, signed on behalf of the Company by its corporate Secretary, in form and substance satisfactory to the Agents and their counsel.</w:t>
      </w:r>
    </w:p>
    <w:p>
      <w:pPr>
        <w:spacing w:after="0" w:line="131" w:lineRule="exact"/>
        <w:rPr>
          <w:rFonts w:ascii="Arial" w:cs="Arial" w:eastAsia="Arial" w:hAnsi="Arial"/>
          <w:sz w:val="22"/>
          <w:szCs w:val="22"/>
          <w:color w:val="auto"/>
        </w:rPr>
      </w:pPr>
    </w:p>
    <w:p>
      <w:pPr>
        <w:ind w:firstLine="1304"/>
        <w:spacing w:after="0" w:line="232" w:lineRule="auto"/>
        <w:tabs>
          <w:tab w:leader="none" w:pos="1936"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Trading in the Common Stock shall not have been suspended on the Exchange and the Common Stock shall not have been delisted from the Exchange.</w:t>
      </w:r>
    </w:p>
    <w:p>
      <w:pPr>
        <w:spacing w:after="0" w:line="145" w:lineRule="exact"/>
        <w:rPr>
          <w:rFonts w:ascii="Arial" w:cs="Arial" w:eastAsia="Arial" w:hAnsi="Arial"/>
          <w:sz w:val="22"/>
          <w:szCs w:val="22"/>
          <w:color w:val="auto"/>
        </w:rPr>
      </w:pPr>
    </w:p>
    <w:p>
      <w:pPr>
        <w:jc w:val="both"/>
        <w:ind w:firstLine="1304"/>
        <w:spacing w:after="0" w:line="216" w:lineRule="auto"/>
        <w:tabs>
          <w:tab w:leader="none" w:pos="1944"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Other Materials</w:t>
      </w:r>
      <w:r>
        <w:rPr>
          <w:rFonts w:ascii="Arial" w:cs="Arial" w:eastAsia="Arial" w:hAnsi="Arial"/>
          <w:sz w:val="22"/>
          <w:szCs w:val="22"/>
          <w:color w:val="auto"/>
        </w:rPr>
        <w:t xml:space="preserve">. On each date on which the Company is required to deliver a certificate pursuant to </w:t>
      </w:r>
      <w:r>
        <w:rPr>
          <w:rFonts w:ascii="Arial" w:cs="Arial" w:eastAsia="Arial" w:hAnsi="Arial"/>
          <w:sz w:val="22"/>
          <w:szCs w:val="22"/>
          <w:u w:val="single" w:color="auto"/>
          <w:color w:val="auto"/>
        </w:rPr>
        <w:t>Section 7(1)</w:t>
      </w:r>
      <w:r>
        <w:rPr>
          <w:rFonts w:ascii="Arial" w:cs="Arial" w:eastAsia="Arial" w:hAnsi="Arial"/>
          <w:sz w:val="22"/>
          <w:szCs w:val="22"/>
          <w:color w:val="auto"/>
        </w:rPr>
        <w:t>, the Company shall have furnished to such Agent such appropriate further information, certificates and documents as such Agent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spacing w:after="0" w:line="130" w:lineRule="exact"/>
        <w:rPr>
          <w:rFonts w:ascii="Arial" w:cs="Arial" w:eastAsia="Arial" w:hAnsi="Arial"/>
          <w:sz w:val="22"/>
          <w:szCs w:val="22"/>
          <w:color w:val="auto"/>
        </w:rPr>
      </w:pPr>
    </w:p>
    <w:p>
      <w:pPr>
        <w:jc w:val="both"/>
        <w:ind w:firstLine="1304"/>
        <w:spacing w:after="0" w:line="223" w:lineRule="auto"/>
        <w:tabs>
          <w:tab w:leader="none" w:pos="1936"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45" w:lineRule="exact"/>
        <w:rPr>
          <w:rFonts w:ascii="Arial" w:cs="Arial" w:eastAsia="Arial" w:hAnsi="Arial"/>
          <w:sz w:val="22"/>
          <w:szCs w:val="22"/>
          <w:color w:val="auto"/>
        </w:rPr>
      </w:pPr>
    </w:p>
    <w:p>
      <w:pPr>
        <w:jc w:val="both"/>
        <w:ind w:firstLine="1304"/>
        <w:spacing w:after="0" w:line="223" w:lineRule="auto"/>
        <w:tabs>
          <w:tab w:leader="none" w:pos="1936"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Approval for Listing</w:t>
      </w:r>
      <w:r>
        <w:rPr>
          <w:rFonts w:ascii="Arial" w:cs="Arial" w:eastAsia="Arial" w:hAnsi="Arial"/>
          <w:sz w:val="22"/>
          <w:szCs w:val="22"/>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31" w:lineRule="exact"/>
        <w:rPr>
          <w:rFonts w:ascii="Arial" w:cs="Arial" w:eastAsia="Arial" w:hAnsi="Arial"/>
          <w:sz w:val="22"/>
          <w:szCs w:val="22"/>
          <w:color w:val="auto"/>
        </w:rPr>
      </w:pPr>
    </w:p>
    <w:p>
      <w:pPr>
        <w:ind w:firstLine="1304"/>
        <w:spacing w:after="0" w:line="232" w:lineRule="auto"/>
        <w:tabs>
          <w:tab w:leader="none" w:pos="1944"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such Agent to terminate this Agreement pursuant to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ind w:left="1300" w:hanging="644"/>
        <w:spacing w:after="0"/>
        <w:tabs>
          <w:tab w:leader="none" w:pos="130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20" w:lineRule="exact"/>
        <w:rPr>
          <w:sz w:val="20"/>
          <w:szCs w:val="20"/>
          <w:color w:val="auto"/>
        </w:rPr>
      </w:pPr>
    </w:p>
    <w:p>
      <w:pPr>
        <w:jc w:val="both"/>
        <w:ind w:firstLine="1304"/>
        <w:spacing w:after="0" w:line="223" w:lineRule="auto"/>
        <w:tabs>
          <w:tab w:leader="none" w:pos="186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Company Indemnification</w:t>
      </w:r>
      <w:r>
        <w:rPr>
          <w:rFonts w:ascii="Arial" w:cs="Arial" w:eastAsia="Arial" w:hAnsi="Arial"/>
          <w:sz w:val="22"/>
          <w:szCs w:val="22"/>
          <w:color w:val="auto"/>
        </w:rPr>
        <w:t>. The Company agrees to indemnify and hold harmless each of the Agents, its partners, members, directors, officers, employees and agents and each person, if any, who controls such Agent within the meaning of Section 15 of the Securities Act or Section 20 of the Exchange Act as follows: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77" w:lineRule="exact"/>
        <w:rPr>
          <w:sz w:val="20"/>
          <w:szCs w:val="20"/>
          <w:color w:val="auto"/>
        </w:rPr>
      </w:pPr>
    </w:p>
    <w:p>
      <w:pPr>
        <w:jc w:val="both"/>
        <w:ind w:firstLine="1952"/>
        <w:spacing w:after="0" w:line="247" w:lineRule="auto"/>
        <w:tabs>
          <w:tab w:leader="none" w:pos="2585" w:val="left"/>
        </w:tabs>
        <w:numPr>
          <w:ilvl w:val="0"/>
          <w:numId w:val="28"/>
        </w:numPr>
        <w:rPr>
          <w:rFonts w:ascii="Arial" w:cs="Arial" w:eastAsia="Arial" w:hAnsi="Arial"/>
          <w:sz w:val="19"/>
          <w:szCs w:val="19"/>
          <w:color w:val="auto"/>
        </w:rPr>
      </w:pPr>
      <w:r>
        <w:rPr>
          <w:rFonts w:ascii="Arial" w:cs="Arial" w:eastAsia="Arial" w:hAnsi="Arial"/>
          <w:sz w:val="19"/>
          <w:szCs w:val="19"/>
          <w:color w:val="auto"/>
        </w:rPr>
        <w:t>against any and all loss, liability, claim, damage and reasonable and documented out-of-pocket expense,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53" w:lineRule="exact"/>
        <w:rPr>
          <w:rFonts w:ascii="Arial" w:cs="Arial" w:eastAsia="Arial" w:hAnsi="Arial"/>
          <w:sz w:val="19"/>
          <w:szCs w:val="19"/>
          <w:color w:val="auto"/>
        </w:rPr>
      </w:pPr>
    </w:p>
    <w:p>
      <w:pPr>
        <w:jc w:val="both"/>
        <w:ind w:firstLine="1952"/>
        <w:spacing w:after="0" w:line="252" w:lineRule="auto"/>
        <w:tabs>
          <w:tab w:leader="none" w:pos="258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against any and all loss, liability, claim, damage and reasonable and documented expense,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below) any such settlement is effected with the written consent of the Company, which consent shall not unreasonably be delayed or withheld; and</w:t>
      </w:r>
    </w:p>
    <w:p>
      <w:pPr>
        <w:spacing w:after="0" w:line="148" w:lineRule="exact"/>
        <w:rPr>
          <w:rFonts w:ascii="Arial" w:cs="Arial" w:eastAsia="Arial" w:hAnsi="Arial"/>
          <w:sz w:val="19"/>
          <w:szCs w:val="19"/>
          <w:color w:val="auto"/>
        </w:rPr>
      </w:pPr>
    </w:p>
    <w:p>
      <w:pPr>
        <w:jc w:val="both"/>
        <w:ind w:firstLine="1952"/>
        <w:spacing w:after="0" w:line="216" w:lineRule="auto"/>
        <w:tabs>
          <w:tab w:leader="none" w:pos="2592" w:val="left"/>
        </w:tabs>
        <w:numPr>
          <w:ilvl w:val="0"/>
          <w:numId w:val="28"/>
        </w:numPr>
        <w:rPr>
          <w:rFonts w:ascii="Arial" w:cs="Arial" w:eastAsia="Arial" w:hAnsi="Arial"/>
          <w:sz w:val="21"/>
          <w:szCs w:val="21"/>
          <w:color w:val="auto"/>
        </w:rPr>
      </w:pPr>
      <w:r>
        <w:rPr>
          <w:rFonts w:ascii="Arial" w:cs="Arial" w:eastAsia="Arial" w:hAnsi="Arial"/>
          <w:sz w:val="22"/>
          <w:szCs w:val="22"/>
          <w:color w:val="auto"/>
        </w:rPr>
        <w:t>against any and all expense, as reasonably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98" w:lineRule="exact"/>
        <w:rPr>
          <w:sz w:val="20"/>
          <w:szCs w:val="20"/>
          <w:color w:val="auto"/>
        </w:rPr>
      </w:pPr>
    </w:p>
    <w:p>
      <w:pPr>
        <w:jc w:val="both"/>
        <w:spacing w:after="0" w:line="216" w:lineRule="auto"/>
        <w:rPr>
          <w:sz w:val="20"/>
          <w:szCs w:val="20"/>
          <w:color w:val="auto"/>
        </w:rPr>
      </w:pPr>
      <w:r>
        <w:rPr>
          <w:rFonts w:ascii="Arial" w:cs="Arial" w:eastAsia="Arial" w:hAnsi="Arial"/>
          <w:sz w:val="22"/>
          <w:szCs w:val="22"/>
          <w:i w:val="1"/>
          <w:iCs w:val="1"/>
          <w:color w:val="auto"/>
        </w:rPr>
        <w:t>provided, however</w:t>
      </w:r>
      <w:r>
        <w:rPr>
          <w:rFonts w:ascii="Arial" w:cs="Arial" w:eastAsia="Arial" w:hAnsi="Arial"/>
          <w:sz w:val="22"/>
          <w:szCs w:val="22"/>
          <w:color w:val="auto"/>
        </w:rPr>
        <w:t>, that this indemnity agreement shall not apply to any loss, liability, claim, damage or expense to the extent</w:t>
      </w:r>
      <w:r>
        <w:rPr>
          <w:rFonts w:ascii="Arial" w:cs="Arial" w:eastAsia="Arial" w:hAnsi="Arial"/>
          <w:sz w:val="22"/>
          <w:szCs w:val="22"/>
          <w:i w:val="1"/>
          <w:iCs w:val="1"/>
          <w:color w:val="auto"/>
        </w:rPr>
        <w:t xml:space="preserve"> </w:t>
      </w:r>
      <w:r>
        <w:rPr>
          <w:rFonts w:ascii="Arial" w:cs="Arial" w:eastAsia="Arial" w:hAnsi="Arial"/>
          <w:sz w:val="22"/>
          <w:szCs w:val="22"/>
          <w:color w:val="auto"/>
        </w:rPr>
        <w:t>arising out of any untrue statement or omission or alleged untrue statement or omission made in reliance upon and in conformity with written information furnished to the Company by such Agent expressly for use in the Registration Statement (or any amendment thereto), or in any related Issuer Free Writing Prospectus or the Prospectus (or any amendment or supplement thereto).</w:t>
      </w:r>
    </w:p>
    <w:p>
      <w:pPr>
        <w:spacing w:after="0" w:line="198" w:lineRule="exact"/>
        <w:rPr>
          <w:sz w:val="20"/>
          <w:szCs w:val="20"/>
          <w:color w:val="auto"/>
        </w:rPr>
      </w:pPr>
    </w:p>
    <w:p>
      <w:pPr>
        <w:jc w:val="both"/>
        <w:ind w:firstLine="1304"/>
        <w:spacing w:after="0" w:line="221" w:lineRule="auto"/>
        <w:tabs>
          <w:tab w:leader="none" w:pos="1777"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Indemnification by the Agents</w:t>
      </w:r>
      <w:r>
        <w:rPr>
          <w:rFonts w:ascii="Arial" w:cs="Arial" w:eastAsia="Arial" w:hAnsi="Arial"/>
          <w:sz w:val="21"/>
          <w:szCs w:val="21"/>
          <w:color w:val="auto"/>
        </w:rPr>
        <w:t xml:space="preserve">. Each of the Agents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Arial" w:cs="Arial" w:eastAsia="Arial" w:hAnsi="Arial"/>
          <w:sz w:val="21"/>
          <w:szCs w:val="21"/>
          <w:u w:val="single" w:color="auto"/>
          <w:color w:val="auto"/>
        </w:rPr>
        <w:t>Section 11(a)</w:t>
      </w:r>
      <w:r>
        <w:rPr>
          <w:rFonts w:ascii="Arial" w:cs="Arial" w:eastAsia="Arial" w:hAnsi="Arial"/>
          <w:sz w:val="21"/>
          <w:szCs w:val="21"/>
          <w:color w:val="auto"/>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such Agent and furnished to the Company in writing by such Agent expressly for use therein.</w:t>
      </w:r>
    </w:p>
    <w:p>
      <w:pPr>
        <w:spacing w:after="0" w:line="219" w:lineRule="exact"/>
        <w:rPr>
          <w:rFonts w:ascii="Arial" w:cs="Arial" w:eastAsia="Arial" w:hAnsi="Arial"/>
          <w:sz w:val="21"/>
          <w:szCs w:val="21"/>
          <w:color w:val="auto"/>
        </w:rPr>
      </w:pPr>
    </w:p>
    <w:p>
      <w:pPr>
        <w:jc w:val="both"/>
        <w:ind w:firstLine="1304"/>
        <w:spacing w:after="0" w:line="247" w:lineRule="auto"/>
        <w:tabs>
          <w:tab w:leader="none" w:pos="1765"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xml:space="preserve">. Any party that proposes to assert the right to be indemnified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(ii) any liability that it may have to any indemnified party under the foregoing provisions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unless, and only to the extent that, such omission results in the forfeiture of substantive rights or defenses by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18"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5" w:lineRule="exact"/>
        <w:rPr>
          <w:sz w:val="20"/>
          <w:szCs w:val="20"/>
          <w:color w:val="auto"/>
        </w:rPr>
      </w:pPr>
    </w:p>
    <w:p>
      <w:pPr>
        <w:jc w:val="both"/>
        <w:ind w:firstLine="1304"/>
        <w:spacing w:after="0" w:line="243" w:lineRule="auto"/>
        <w:tabs>
          <w:tab w:leader="none" w:pos="198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In order to provide for just and equitable contribution in circumstances in which the indemnification provided for in the foregoing paragraphs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is applicable in accordance with its terms but for any reason is held to be unavailable from the Company or the Agents, the Company and the Agents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Agents, such as persons who control the Company within the meaning of the Securities Act or the Exchange Act, officers of the Company who signed the Registration Statement and directors of the Company, who also may be liable for contribution)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18"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sale of the Placement Shares (before deducting expenses) received by the Company bear to the total compensation received by the Agents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shall be deemed to include, for the purpose of this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hereof. Notwithstanding the foregoing provisions of this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the Agents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any person who controls a party to this Agreement within the meaning of the Securities Act or the Exchange Act, and any officers, directors, partners, employees or agents of the Agents,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11(c)</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365" w:lineRule="exact"/>
        <w:rPr>
          <w:sz w:val="20"/>
          <w:szCs w:val="20"/>
          <w:color w:val="auto"/>
        </w:rPr>
      </w:pPr>
    </w:p>
    <w:p>
      <w:pPr>
        <w:jc w:val="both"/>
        <w:ind w:left="20" w:firstLine="636"/>
        <w:spacing w:after="0" w:line="252" w:lineRule="auto"/>
        <w:tabs>
          <w:tab w:leader="none" w:pos="130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Representations and Agreements to Survive Delivery</w:t>
      </w:r>
      <w:r>
        <w:rPr>
          <w:rFonts w:ascii="Arial" w:cs="Arial" w:eastAsia="Arial" w:hAnsi="Arial"/>
          <w:sz w:val="19"/>
          <w:szCs w:val="19"/>
          <w:color w:val="auto"/>
        </w:rPr>
        <w:t xml:space="preserve">. The indemnity and contribution agreements contained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or controlling persons), (ii) delivery and acceptance of the Placement Shares and payment therefor or (iii) any termination of this Agreement.</w:t>
      </w:r>
    </w:p>
    <w:p>
      <w:pPr>
        <w:spacing w:after="0" w:line="121" w:lineRule="exact"/>
        <w:rPr>
          <w:rFonts w:ascii="Arial" w:cs="Arial" w:eastAsia="Arial" w:hAnsi="Arial"/>
          <w:sz w:val="19"/>
          <w:szCs w:val="19"/>
          <w:color w:val="auto"/>
        </w:rPr>
      </w:pPr>
    </w:p>
    <w:p>
      <w:pPr>
        <w:ind w:left="1300" w:hanging="644"/>
        <w:spacing w:after="0"/>
        <w:tabs>
          <w:tab w:leader="none" w:pos="13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jc w:val="both"/>
        <w:ind w:right="20" w:firstLine="1296"/>
        <w:spacing w:after="0" w:line="223" w:lineRule="auto"/>
        <w:rPr>
          <w:rFonts w:ascii="Arial" w:cs="Arial" w:eastAsia="Arial" w:hAnsi="Arial"/>
          <w:sz w:val="22"/>
          <w:szCs w:val="22"/>
          <w:color w:val="auto"/>
        </w:rPr>
      </w:pPr>
      <w:r>
        <w:rPr>
          <w:rFonts w:ascii="Arial" w:cs="Arial" w:eastAsia="Arial" w:hAnsi="Arial"/>
          <w:sz w:val="22"/>
          <w:szCs w:val="22"/>
          <w:color w:val="auto"/>
        </w:rPr>
        <w:t>a. Each of the Agents may terminate this Agreement, with respect to itself, by notice to the Company, as hereinafter specified at any time (1) if there has been, since the time of execution of this Agreement or since the date as of which information is given in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Prospectus, any Material Adverse Effect, or any development that would have a Material Adverse Effect that,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w:t>
      </w:r>
    </w:p>
    <w:p>
      <w:pPr>
        <w:spacing w:after="0" w:line="1" w:lineRule="exact"/>
        <w:rPr>
          <w:sz w:val="20"/>
          <w:szCs w:val="20"/>
          <w:color w:val="auto"/>
        </w:rPr>
      </w:pPr>
    </w:p>
    <w:p>
      <w:pPr>
        <w:jc w:val="both"/>
        <w:ind w:firstLine="8"/>
        <w:spacing w:after="0" w:line="221" w:lineRule="auto"/>
        <w:tabs>
          <w:tab w:leader="none" w:pos="327"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if a banking moratorium has been declared by either U.S. Federal or New York authorities. Any such termination shall be without liability of any party to any other party except that the provisions of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(Payment of Expenses),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(Indemnification and Contribution),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(Representations and Agreements to Survive Delivery),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(Governing Law and Time; Waiver of Jury Trial) and </w:t>
      </w:r>
      <w:r>
        <w:rPr>
          <w:rFonts w:ascii="Arial" w:cs="Arial" w:eastAsia="Arial" w:hAnsi="Arial"/>
          <w:sz w:val="21"/>
          <w:szCs w:val="21"/>
          <w:u w:val="single" w:color="auto"/>
          <w:color w:val="auto"/>
        </w:rPr>
        <w:t>Section 19</w:t>
      </w:r>
      <w:r>
        <w:rPr>
          <w:rFonts w:ascii="Arial" w:cs="Arial" w:eastAsia="Arial" w:hAnsi="Arial"/>
          <w:sz w:val="21"/>
          <w:szCs w:val="21"/>
          <w:color w:val="auto"/>
        </w:rPr>
        <w:t xml:space="preserve"> (Consent to Jurisdiction) hereof shall remain in full force and effect notwithstanding such termination. If an Agent elects to terminate this Agreement as provided in this </w:t>
      </w:r>
      <w:r>
        <w:rPr>
          <w:rFonts w:ascii="Arial" w:cs="Arial" w:eastAsia="Arial" w:hAnsi="Arial"/>
          <w:sz w:val="21"/>
          <w:szCs w:val="21"/>
          <w:u w:val="single" w:color="auto"/>
          <w:color w:val="auto"/>
        </w:rPr>
        <w:t>Section 13(a)</w:t>
      </w:r>
      <w:r>
        <w:rPr>
          <w:rFonts w:ascii="Arial" w:cs="Arial" w:eastAsia="Arial" w:hAnsi="Arial"/>
          <w:sz w:val="21"/>
          <w:szCs w:val="21"/>
          <w:color w:val="auto"/>
        </w:rPr>
        <w:t xml:space="preserve">, such Agent shall provide the required notice as specified in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(Notices).</w:t>
      </w:r>
    </w:p>
    <w:p>
      <w:pPr>
        <w:spacing w:after="0" w:line="146" w:lineRule="exact"/>
        <w:rPr>
          <w:rFonts w:ascii="Arial" w:cs="Arial" w:eastAsia="Arial" w:hAnsi="Arial"/>
          <w:sz w:val="21"/>
          <w:szCs w:val="21"/>
          <w:color w:val="auto"/>
        </w:rPr>
      </w:pPr>
    </w:p>
    <w:p>
      <w:pPr>
        <w:jc w:val="both"/>
        <w:ind w:firstLine="1304"/>
        <w:spacing w:after="0" w:line="214" w:lineRule="auto"/>
        <w:tabs>
          <w:tab w:leader="none" w:pos="1944"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The Company shall have the right, by giving two (2)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(Payment of Expenses),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(Indemnification and Contribution),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(Representations and Agreements to Survive Delivery),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(Governing Law and Time; Waiver of Jury Trial) and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(Consent to Jurisdiction) hereof shall remain in full force and effect notwithstanding such termination.</w:t>
      </w:r>
    </w:p>
    <w:p>
      <w:pPr>
        <w:spacing w:after="0" w:line="131" w:lineRule="exact"/>
        <w:rPr>
          <w:rFonts w:ascii="Arial" w:cs="Arial" w:eastAsia="Arial" w:hAnsi="Arial"/>
          <w:sz w:val="22"/>
          <w:szCs w:val="22"/>
          <w:color w:val="auto"/>
        </w:rPr>
      </w:pPr>
    </w:p>
    <w:p>
      <w:pPr>
        <w:jc w:val="both"/>
        <w:ind w:firstLine="1304"/>
        <w:spacing w:after="0" w:line="212" w:lineRule="auto"/>
        <w:tabs>
          <w:tab w:leader="none" w:pos="1932"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Each of the Agents shall have the right, by giving two (2) days’ notice as hereinafter specified to terminate this Agreement in its sole discretion at any time after the date of this Agreement with respect to such Agent, which termination shall not effect the validity of this Agreement with respect to any other Agent. Any such termination by an Agent shall be without liability of any party to any other party except that the provisions of </w:t>
      </w:r>
      <w:r>
        <w:rPr>
          <w:rFonts w:ascii="Arial" w:cs="Arial" w:eastAsia="Arial" w:hAnsi="Arial"/>
          <w:sz w:val="22"/>
          <w:szCs w:val="22"/>
          <w:u w:val="single" w:color="auto"/>
          <w:color w:val="auto"/>
        </w:rPr>
        <w:t>Section 9</w:t>
      </w:r>
      <w:r>
        <w:rPr>
          <w:rFonts w:ascii="Arial" w:cs="Arial" w:eastAsia="Arial" w:hAnsi="Arial"/>
          <w:sz w:val="22"/>
          <w:szCs w:val="22"/>
          <w:color w:val="auto"/>
        </w:rPr>
        <w:t xml:space="preserve"> (Payment of Expenses),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(Indemnification and Contribution),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(Representations and Agreements to Survive Delivery),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(Governing Law and Time; Waiver of Jury Trial) and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(Consent to Jurisdiction) hereof shall remain in full force and effect notwithstanding such termination.</w:t>
      </w:r>
    </w:p>
    <w:p>
      <w:pPr>
        <w:spacing w:after="0" w:line="150" w:lineRule="exact"/>
        <w:rPr>
          <w:rFonts w:ascii="Arial" w:cs="Arial" w:eastAsia="Arial" w:hAnsi="Arial"/>
          <w:sz w:val="22"/>
          <w:szCs w:val="22"/>
          <w:color w:val="auto"/>
        </w:rPr>
      </w:pPr>
    </w:p>
    <w:p>
      <w:pPr>
        <w:jc w:val="both"/>
        <w:ind w:firstLine="1304"/>
        <w:spacing w:after="0" w:line="252" w:lineRule="auto"/>
        <w:tabs>
          <w:tab w:leader="none" w:pos="1944"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Unless earlier terminated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this Agreement shall automatically terminate upon the issuance and sale of all of the Placement Shares through the Agents on the terms and subject to the conditions set forth herein except that the provisions of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(Payment of Expenses),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(Indemnification and Contribution),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(Representations and Agreements to Survive Delivery),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(Governing Law and Time; Waiver of Jury Trial)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19</w:t>
      </w:r>
      <w:r>
        <w:rPr>
          <w:rFonts w:ascii="Arial" w:cs="Arial" w:eastAsia="Arial" w:hAnsi="Arial"/>
          <w:sz w:val="19"/>
          <w:szCs w:val="19"/>
          <w:color w:val="auto"/>
        </w:rPr>
        <w:t xml:space="preserve"> (Consent to Jurisdiction) hereof shall remain in full force and effect notwithstanding such termination.</w:t>
      </w:r>
    </w:p>
    <w:p>
      <w:pPr>
        <w:spacing w:after="0" w:line="121" w:lineRule="exact"/>
        <w:rPr>
          <w:rFonts w:ascii="Arial" w:cs="Arial" w:eastAsia="Arial" w:hAnsi="Arial"/>
          <w:sz w:val="19"/>
          <w:szCs w:val="19"/>
          <w:color w:val="auto"/>
        </w:rPr>
      </w:pPr>
    </w:p>
    <w:p>
      <w:pPr>
        <w:jc w:val="both"/>
        <w:ind w:firstLine="1304"/>
        <w:spacing w:after="0" w:line="268" w:lineRule="auto"/>
        <w:tabs>
          <w:tab w:leader="none" w:pos="1932"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This Agreement shall remain in full force and effect unless terminated pursuant to </w:t>
      </w:r>
      <w:r>
        <w:rPr>
          <w:rFonts w:ascii="Arial" w:cs="Arial" w:eastAsia="Arial" w:hAnsi="Arial"/>
          <w:sz w:val="19"/>
          <w:szCs w:val="19"/>
          <w:u w:val="single" w:color="auto"/>
          <w:color w:val="auto"/>
        </w:rPr>
        <w:t>Sections 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or otherwise by mutual agreement of the parties;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such termination by mutual agreement shall in all cases be deemed to provide that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(Payment of Expenses),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(Indemnification and Contribution),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50" w:lineRule="exact"/>
        <w:rPr>
          <w:sz w:val="20"/>
          <w:szCs w:val="20"/>
          <w:color w:val="auto"/>
        </w:rPr>
      </w:pPr>
    </w:p>
    <w:p>
      <w:pPr>
        <w:jc w:val="both"/>
        <w:spacing w:after="0" w:line="218" w:lineRule="auto"/>
        <w:rPr>
          <w:sz w:val="20"/>
          <w:szCs w:val="20"/>
          <w:color w:val="auto"/>
        </w:rPr>
      </w:pP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(Representations and Agreements to Survive Delivery), </w:t>
      </w:r>
      <w:r>
        <w:rPr>
          <w:rFonts w:ascii="Arial" w:cs="Arial" w:eastAsia="Arial" w:hAnsi="Arial"/>
          <w:sz w:val="22"/>
          <w:szCs w:val="22"/>
          <w:u w:val="single" w:color="auto"/>
          <w:color w:val="auto"/>
        </w:rPr>
        <w:t>Section 18</w:t>
      </w:r>
      <w:r>
        <w:rPr>
          <w:rFonts w:ascii="Arial" w:cs="Arial" w:eastAsia="Arial" w:hAnsi="Arial"/>
          <w:sz w:val="22"/>
          <w:szCs w:val="22"/>
          <w:color w:val="auto"/>
        </w:rPr>
        <w:t xml:space="preserve"> (Governing Law and Time; Waiver of Jury Trial) and </w:t>
      </w:r>
      <w:r>
        <w:rPr>
          <w:rFonts w:ascii="Arial" w:cs="Arial" w:eastAsia="Arial" w:hAnsi="Arial"/>
          <w:sz w:val="22"/>
          <w:szCs w:val="22"/>
          <w:u w:val="single" w:color="auto"/>
          <w:color w:val="auto"/>
        </w:rPr>
        <w:t>Section 19</w:t>
      </w:r>
      <w:r>
        <w:rPr>
          <w:rFonts w:ascii="Arial" w:cs="Arial" w:eastAsia="Arial" w:hAnsi="Arial"/>
          <w:sz w:val="22"/>
          <w:szCs w:val="22"/>
          <w:color w:val="auto"/>
        </w:rPr>
        <w:t xml:space="preserve"> (Consent to Jurisdiction) shall remain in full force and effect. Upon termination of this Agreement, the Company shall not have any liability to the Agents for any discount, commission or other compensation with respect to any Placement Shares not otherwise sold by the Agents under this Agreement.</w:t>
      </w:r>
    </w:p>
    <w:p>
      <w:pPr>
        <w:spacing w:after="0" w:line="147" w:lineRule="exact"/>
        <w:rPr>
          <w:sz w:val="20"/>
          <w:szCs w:val="20"/>
          <w:color w:val="auto"/>
        </w:rPr>
      </w:pPr>
    </w:p>
    <w:p>
      <w:pPr>
        <w:jc w:val="both"/>
        <w:ind w:firstLine="1304"/>
        <w:spacing w:after="0" w:line="257" w:lineRule="auto"/>
        <w:tabs>
          <w:tab w:leader="none" w:pos="1935" w:val="left"/>
        </w:tabs>
        <w:numPr>
          <w:ilvl w:val="1"/>
          <w:numId w:val="33"/>
        </w:numPr>
        <w:rPr>
          <w:rFonts w:ascii="Arial" w:cs="Arial" w:eastAsia="Arial" w:hAnsi="Arial"/>
          <w:sz w:val="19"/>
          <w:szCs w:val="19"/>
          <w:color w:val="auto"/>
        </w:rPr>
      </w:pPr>
      <w:r>
        <w:rPr>
          <w:rFonts w:ascii="Arial" w:cs="Arial" w:eastAsia="Arial" w:hAnsi="Arial"/>
          <w:sz w:val="19"/>
          <w:szCs w:val="19"/>
          <w:color w:val="auto"/>
        </w:rPr>
        <w:t xml:space="preserve">Any termination of this Agreement shall be effective on the date specified in such notice of termination;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such termination shall not be effective until the close of business on the date of receipt of such notice by</w:t>
      </w:r>
      <w:r>
        <w:rPr>
          <w:rFonts w:ascii="Arial" w:cs="Arial" w:eastAsia="Arial" w:hAnsi="Arial"/>
          <w:sz w:val="19"/>
          <w:szCs w:val="19"/>
          <w:i w:val="1"/>
          <w:iCs w:val="1"/>
          <w:color w:val="auto"/>
        </w:rPr>
        <w:t xml:space="preserve"> </w:t>
      </w:r>
      <w:r>
        <w:rPr>
          <w:rFonts w:ascii="Arial" w:cs="Arial" w:eastAsia="Arial" w:hAnsi="Arial"/>
          <w:sz w:val="19"/>
          <w:szCs w:val="19"/>
          <w:color w:val="auto"/>
        </w:rPr>
        <w:t>the Agents or the Company, as the case may be. If such termination shall occur prior to the Settlement Date for any sale of Placement Shares, such Placement Shares shall settle in accordance with the provisions of this Agreement.</w:t>
      </w:r>
    </w:p>
    <w:p>
      <w:pPr>
        <w:spacing w:after="0" w:line="117" w:lineRule="exact"/>
        <w:rPr>
          <w:rFonts w:ascii="Arial" w:cs="Arial" w:eastAsia="Arial" w:hAnsi="Arial"/>
          <w:sz w:val="19"/>
          <w:szCs w:val="19"/>
          <w:color w:val="auto"/>
        </w:rPr>
      </w:pPr>
    </w:p>
    <w:p>
      <w:pPr>
        <w:jc w:val="both"/>
        <w:ind w:left="20" w:firstLine="636"/>
        <w:spacing w:after="0" w:line="223" w:lineRule="auto"/>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 Riley Securities, Inc.</w:t>
      </w:r>
    </w:p>
    <w:p>
      <w:pPr>
        <w:ind w:left="1300"/>
        <w:spacing w:after="0" w:line="180" w:lineRule="auto"/>
        <w:rPr>
          <w:sz w:val="20"/>
          <w:szCs w:val="20"/>
          <w:color w:val="auto"/>
        </w:rPr>
      </w:pPr>
      <w:r>
        <w:rPr>
          <w:rFonts w:ascii="Arial" w:cs="Arial" w:eastAsia="Arial" w:hAnsi="Arial"/>
          <w:sz w:val="19"/>
          <w:szCs w:val="19"/>
          <w:color w:val="auto"/>
        </w:rPr>
        <w:t>299 Park Avenue, 21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Floor</w:t>
      </w:r>
    </w:p>
    <w:p>
      <w:pPr>
        <w:ind w:left="1300"/>
        <w:spacing w:after="0" w:line="205" w:lineRule="auto"/>
        <w:rPr>
          <w:sz w:val="20"/>
          <w:szCs w:val="20"/>
          <w:color w:val="auto"/>
        </w:rPr>
      </w:pPr>
      <w:r>
        <w:rPr>
          <w:rFonts w:ascii="Arial" w:cs="Arial" w:eastAsia="Arial" w:hAnsi="Arial"/>
          <w:sz w:val="22"/>
          <w:szCs w:val="22"/>
          <w:color w:val="auto"/>
        </w:rPr>
        <w:t>New York, NY 10171</w:t>
      </w:r>
    </w:p>
    <w:p>
      <w:pPr>
        <w:ind w:left="1300"/>
        <w:spacing w:after="0" w:line="237" w:lineRule="auto"/>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ind w:left="1300"/>
        <w:spacing w:after="0" w:line="205" w:lineRule="auto"/>
        <w:tabs>
          <w:tab w:leader="none" w:pos="2520" w:val="left"/>
        </w:tabs>
        <w:rPr>
          <w:sz w:val="20"/>
          <w:szCs w:val="20"/>
          <w:color w:val="auto"/>
        </w:rPr>
      </w:pPr>
      <w:r>
        <w:rPr>
          <w:rFonts w:ascii="Arial" w:cs="Arial" w:eastAsia="Arial" w:hAnsi="Arial"/>
          <w:sz w:val="22"/>
          <w:szCs w:val="22"/>
          <w:color w:val="auto"/>
        </w:rPr>
        <w:t>Telephone:</w:t>
        <w:tab/>
        <w:t>(212) 457-9947</w:t>
      </w:r>
    </w:p>
    <w:p>
      <w:pPr>
        <w:ind w:left="1300"/>
        <w:spacing w:after="0"/>
        <w:tabs>
          <w:tab w:leader="none" w:pos="2140" w:val="left"/>
        </w:tabs>
        <w:rPr>
          <w:sz w:val="20"/>
          <w:szCs w:val="20"/>
          <w:color w:val="auto"/>
        </w:rPr>
      </w:pPr>
      <w:r>
        <w:rPr>
          <w:rFonts w:ascii="Arial" w:cs="Arial" w:eastAsia="Arial" w:hAnsi="Arial"/>
          <w:sz w:val="22"/>
          <w:szCs w:val="22"/>
          <w:color w:val="auto"/>
        </w:rPr>
        <w:t>Email:</w:t>
        <w:tab/>
        <w:t>atmdesk@brileyfin.com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Cantor Fitzgerald &amp; Co.</w:t>
      </w:r>
    </w:p>
    <w:p>
      <w:pPr>
        <w:ind w:left="1300"/>
        <w:spacing w:after="0" w:line="180" w:lineRule="auto"/>
        <w:rPr>
          <w:sz w:val="20"/>
          <w:szCs w:val="20"/>
          <w:color w:val="auto"/>
        </w:rPr>
      </w:pPr>
      <w:r>
        <w:rPr>
          <w:rFonts w:ascii="Arial" w:cs="Arial" w:eastAsia="Arial" w:hAnsi="Arial"/>
          <w:sz w:val="19"/>
          <w:szCs w:val="19"/>
          <w:color w:val="auto"/>
        </w:rPr>
        <w:t>110 East 59</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Street</w:t>
      </w:r>
    </w:p>
    <w:p>
      <w:pPr>
        <w:ind w:left="1300"/>
        <w:spacing w:after="0" w:line="205" w:lineRule="auto"/>
        <w:rPr>
          <w:sz w:val="20"/>
          <w:szCs w:val="20"/>
          <w:color w:val="auto"/>
        </w:rPr>
      </w:pPr>
      <w:r>
        <w:rPr>
          <w:rFonts w:ascii="Arial" w:cs="Arial" w:eastAsia="Arial" w:hAnsi="Arial"/>
          <w:sz w:val="22"/>
          <w:szCs w:val="22"/>
          <w:color w:val="auto"/>
        </w:rPr>
        <w:t>New York, NY 10022</w:t>
      </w:r>
    </w:p>
    <w:p>
      <w:pPr>
        <w:ind w:left="1300"/>
        <w:spacing w:after="0" w:line="237" w:lineRule="auto"/>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Global Head of Investment Banking</w:t>
      </w:r>
    </w:p>
    <w:p>
      <w:pPr>
        <w:ind w:left="1300"/>
        <w:spacing w:after="0"/>
        <w:tabs>
          <w:tab w:leader="none" w:pos="2140" w:val="left"/>
        </w:tabs>
        <w:rPr>
          <w:sz w:val="20"/>
          <w:szCs w:val="20"/>
          <w:color w:val="auto"/>
        </w:rPr>
      </w:pPr>
      <w:r>
        <w:rPr>
          <w:rFonts w:ascii="Arial" w:cs="Arial" w:eastAsia="Arial" w:hAnsi="Arial"/>
          <w:sz w:val="22"/>
          <w:szCs w:val="22"/>
          <w:color w:val="auto"/>
        </w:rPr>
        <w:t>Email:</w:t>
        <w:tab/>
        <w:t>notices-IBD@cantor.com</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Cantor Fitzgerald &amp; Co.</w:t>
      </w:r>
    </w:p>
    <w:p>
      <w:pPr>
        <w:ind w:left="1300"/>
        <w:spacing w:after="0" w:line="180" w:lineRule="auto"/>
        <w:rPr>
          <w:sz w:val="20"/>
          <w:szCs w:val="20"/>
          <w:color w:val="auto"/>
        </w:rPr>
      </w:pPr>
      <w:r>
        <w:rPr>
          <w:rFonts w:ascii="Arial" w:cs="Arial" w:eastAsia="Arial" w:hAnsi="Arial"/>
          <w:sz w:val="19"/>
          <w:szCs w:val="19"/>
          <w:color w:val="auto"/>
        </w:rPr>
        <w:t>110 East 59</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Street</w:t>
      </w:r>
    </w:p>
    <w:p>
      <w:pPr>
        <w:ind w:left="1300"/>
        <w:spacing w:after="0" w:line="205" w:lineRule="auto"/>
        <w:rPr>
          <w:sz w:val="20"/>
          <w:szCs w:val="20"/>
          <w:color w:val="auto"/>
        </w:rPr>
      </w:pPr>
      <w:r>
        <w:rPr>
          <w:rFonts w:ascii="Arial" w:cs="Arial" w:eastAsia="Arial" w:hAnsi="Arial"/>
          <w:sz w:val="22"/>
          <w:szCs w:val="22"/>
          <w:color w:val="auto"/>
        </w:rPr>
        <w:t>New York, NY 10022</w:t>
      </w:r>
    </w:p>
    <w:p>
      <w:pPr>
        <w:ind w:left="1300"/>
        <w:spacing w:after="0" w:line="237" w:lineRule="auto"/>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General Counsel</w:t>
      </w:r>
    </w:p>
    <w:p>
      <w:pPr>
        <w:ind w:left="1300"/>
        <w:spacing w:after="0"/>
        <w:tabs>
          <w:tab w:leader="none" w:pos="2140" w:val="left"/>
        </w:tabs>
        <w:rPr>
          <w:sz w:val="20"/>
          <w:szCs w:val="20"/>
          <w:color w:val="auto"/>
        </w:rPr>
      </w:pPr>
      <w:r>
        <w:rPr>
          <w:rFonts w:ascii="Arial" w:cs="Arial" w:eastAsia="Arial" w:hAnsi="Arial"/>
          <w:sz w:val="22"/>
          <w:szCs w:val="22"/>
          <w:color w:val="auto"/>
        </w:rPr>
        <w:t>Email:</w:t>
        <w:tab/>
        <w:t>legal-IBD@cantor.com</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Stifel, Nicolaus &amp; Company, Incorporated</w:t>
      </w:r>
    </w:p>
    <w:p>
      <w:pPr>
        <w:ind w:left="1300"/>
        <w:spacing w:after="0" w:line="204" w:lineRule="auto"/>
        <w:rPr>
          <w:sz w:val="20"/>
          <w:szCs w:val="20"/>
          <w:color w:val="auto"/>
        </w:rPr>
      </w:pPr>
      <w:r>
        <w:rPr>
          <w:rFonts w:ascii="Arial" w:cs="Arial" w:eastAsia="Arial" w:hAnsi="Arial"/>
          <w:sz w:val="22"/>
          <w:szCs w:val="22"/>
          <w:color w:val="auto"/>
        </w:rPr>
        <w:t>One South Street 15th Floor</w:t>
      </w:r>
    </w:p>
    <w:p>
      <w:pPr>
        <w:ind w:left="1300"/>
        <w:spacing w:after="0" w:line="205" w:lineRule="auto"/>
        <w:rPr>
          <w:sz w:val="20"/>
          <w:szCs w:val="20"/>
          <w:color w:val="auto"/>
        </w:rPr>
      </w:pPr>
      <w:r>
        <w:rPr>
          <w:rFonts w:ascii="Arial" w:cs="Arial" w:eastAsia="Arial" w:hAnsi="Arial"/>
          <w:sz w:val="22"/>
          <w:szCs w:val="22"/>
          <w:color w:val="auto"/>
        </w:rPr>
        <w:t>Baltimore, MD 21202</w:t>
      </w:r>
    </w:p>
    <w:p>
      <w:pPr>
        <w:ind w:left="1300"/>
        <w:spacing w:after="0" w:line="238" w:lineRule="auto"/>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Daniel Covatta</w:t>
      </w:r>
    </w:p>
    <w:p>
      <w:pPr>
        <w:ind w:left="1300"/>
        <w:spacing w:after="0" w:line="205" w:lineRule="auto"/>
        <w:tabs>
          <w:tab w:leader="none" w:pos="2520" w:val="left"/>
        </w:tabs>
        <w:rPr>
          <w:sz w:val="20"/>
          <w:szCs w:val="20"/>
          <w:color w:val="auto"/>
        </w:rPr>
      </w:pPr>
      <w:r>
        <w:rPr>
          <w:rFonts w:ascii="Arial" w:cs="Arial" w:eastAsia="Arial" w:hAnsi="Arial"/>
          <w:sz w:val="22"/>
          <w:szCs w:val="22"/>
          <w:color w:val="auto"/>
        </w:rPr>
        <w:t>Telephone:</w:t>
        <w:tab/>
        <w:t>(443) 224- 1257</w:t>
      </w:r>
    </w:p>
    <w:p>
      <w:pPr>
        <w:ind w:left="1300"/>
        <w:spacing w:after="0"/>
        <w:tabs>
          <w:tab w:leader="none" w:pos="2140" w:val="left"/>
        </w:tabs>
        <w:rPr>
          <w:sz w:val="20"/>
          <w:szCs w:val="20"/>
          <w:color w:val="auto"/>
        </w:rPr>
      </w:pPr>
      <w:r>
        <w:rPr>
          <w:rFonts w:ascii="Arial" w:cs="Arial" w:eastAsia="Arial" w:hAnsi="Arial"/>
          <w:sz w:val="22"/>
          <w:szCs w:val="22"/>
          <w:color w:val="auto"/>
        </w:rPr>
        <w:t>Email:</w:t>
        <w:tab/>
        <w:t>dcovatta@stifel.com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04" w:lineRule="auto"/>
        <w:rPr>
          <w:sz w:val="20"/>
          <w:szCs w:val="20"/>
          <w:color w:val="auto"/>
        </w:rPr>
      </w:pPr>
      <w:r>
        <w:rPr>
          <w:rFonts w:ascii="Arial" w:cs="Arial" w:eastAsia="Arial" w:hAnsi="Arial"/>
          <w:sz w:val="22"/>
          <w:szCs w:val="22"/>
          <w:color w:val="auto"/>
        </w:rPr>
        <w:t>450 Lexington Ave.</w:t>
      </w:r>
    </w:p>
    <w:p>
      <w:pPr>
        <w:ind w:left="1300"/>
        <w:spacing w:after="0" w:line="205" w:lineRule="auto"/>
        <w:rPr>
          <w:sz w:val="20"/>
          <w:szCs w:val="20"/>
          <w:color w:val="auto"/>
        </w:rPr>
      </w:pPr>
      <w:r>
        <w:rPr>
          <w:rFonts w:ascii="Arial" w:cs="Arial" w:eastAsia="Arial" w:hAnsi="Arial"/>
          <w:sz w:val="22"/>
          <w:szCs w:val="22"/>
          <w:color w:val="auto"/>
        </w:rPr>
        <w:t>New York, NY 10017</w:t>
      </w:r>
    </w:p>
    <w:p>
      <w:pPr>
        <w:ind w:left="1300"/>
        <w:spacing w:after="0" w:line="205" w:lineRule="auto"/>
        <w:tabs>
          <w:tab w:leader="none" w:pos="2440" w:val="left"/>
        </w:tabs>
        <w:rPr>
          <w:sz w:val="20"/>
          <w:szCs w:val="20"/>
          <w:color w:val="auto"/>
        </w:rPr>
      </w:pPr>
      <w:r>
        <w:rPr>
          <w:rFonts w:ascii="Arial" w:cs="Arial" w:eastAsia="Arial" w:hAnsi="Arial"/>
          <w:sz w:val="22"/>
          <w:szCs w:val="22"/>
          <w:color w:val="auto"/>
        </w:rPr>
        <w:t>Attention:</w:t>
        <w:tab/>
        <w:t>Derek Dostal</w:t>
      </w:r>
    </w:p>
    <w:p>
      <w:pPr>
        <w:ind w:left="1300"/>
        <w:spacing w:after="0" w:line="205" w:lineRule="auto"/>
        <w:tabs>
          <w:tab w:leader="none" w:pos="2520" w:val="left"/>
        </w:tabs>
        <w:rPr>
          <w:sz w:val="20"/>
          <w:szCs w:val="20"/>
          <w:color w:val="auto"/>
        </w:rPr>
      </w:pPr>
      <w:r>
        <w:rPr>
          <w:rFonts w:ascii="Arial" w:cs="Arial" w:eastAsia="Arial" w:hAnsi="Arial"/>
          <w:sz w:val="22"/>
          <w:szCs w:val="22"/>
          <w:color w:val="auto"/>
        </w:rPr>
        <w:t>Telephone:</w:t>
        <w:tab/>
        <w:t>(212) 450-4322</w:t>
      </w:r>
    </w:p>
    <w:p>
      <w:pPr>
        <w:spacing w:after="0" w:line="1" w:lineRule="exact"/>
        <w:rPr>
          <w:sz w:val="20"/>
          <w:szCs w:val="20"/>
          <w:color w:val="auto"/>
        </w:rPr>
      </w:pPr>
    </w:p>
    <w:p>
      <w:pPr>
        <w:ind w:left="1300"/>
        <w:spacing w:after="0"/>
        <w:tabs>
          <w:tab w:leader="none" w:pos="2140" w:val="left"/>
        </w:tabs>
        <w:rPr>
          <w:sz w:val="20"/>
          <w:szCs w:val="20"/>
          <w:color w:val="auto"/>
        </w:rPr>
      </w:pPr>
      <w:r>
        <w:rPr>
          <w:rFonts w:ascii="Arial" w:cs="Arial" w:eastAsia="Arial" w:hAnsi="Arial"/>
          <w:sz w:val="22"/>
          <w:szCs w:val="22"/>
          <w:color w:val="auto"/>
        </w:rPr>
        <w:t>Email:</w:t>
        <w:tab/>
        <w:t>derek.dostal@davispolk.com</w:t>
      </w:r>
    </w:p>
    <w:p>
      <w:pPr>
        <w:spacing w:after="0" w:line="202" w:lineRule="exact"/>
        <w:rPr>
          <w:sz w:val="20"/>
          <w:szCs w:val="20"/>
          <w:color w:val="auto"/>
        </w:rPr>
      </w:pPr>
    </w:p>
    <w:p>
      <w:pPr>
        <w:jc w:val="center"/>
        <w:ind w:right="7400"/>
        <w:spacing w:after="0"/>
        <w:rPr>
          <w:sz w:val="20"/>
          <w:szCs w:val="20"/>
          <w:color w:val="auto"/>
        </w:rPr>
      </w:pPr>
      <w:r>
        <w:rPr>
          <w:rFonts w:ascii="Arial" w:cs="Arial" w:eastAsia="Arial" w:hAnsi="Arial"/>
          <w:sz w:val="19"/>
          <w:szCs w:val="19"/>
          <w:color w:val="auto"/>
        </w:rPr>
        <w:t>and if to the Company, shall be delivered to:</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Opal Fuels Inc.</w:t>
      </w:r>
    </w:p>
    <w:p>
      <w:pPr>
        <w:ind w:left="1300"/>
        <w:spacing w:after="0" w:line="204" w:lineRule="auto"/>
        <w:rPr>
          <w:sz w:val="20"/>
          <w:szCs w:val="20"/>
          <w:color w:val="auto"/>
        </w:rPr>
      </w:pPr>
      <w:r>
        <w:rPr>
          <w:rFonts w:ascii="Arial" w:cs="Arial" w:eastAsia="Arial" w:hAnsi="Arial"/>
          <w:sz w:val="22"/>
          <w:szCs w:val="22"/>
          <w:color w:val="auto"/>
        </w:rPr>
        <w:t>One North Lexington Avenue Suite 1450</w:t>
      </w:r>
    </w:p>
    <w:p>
      <w:pPr>
        <w:ind w:left="1300"/>
        <w:spacing w:after="0" w:line="205" w:lineRule="auto"/>
        <w:rPr>
          <w:sz w:val="20"/>
          <w:szCs w:val="20"/>
          <w:color w:val="auto"/>
        </w:rPr>
      </w:pPr>
      <w:r>
        <w:rPr>
          <w:rFonts w:ascii="Arial" w:cs="Arial" w:eastAsia="Arial" w:hAnsi="Arial"/>
          <w:sz w:val="22"/>
          <w:szCs w:val="22"/>
          <w:color w:val="auto"/>
        </w:rPr>
        <w:t>White Plains, NY 10601</w:t>
      </w:r>
    </w:p>
    <w:p>
      <w:pPr>
        <w:ind w:left="1300"/>
        <w:spacing w:after="0" w:line="205" w:lineRule="auto"/>
        <w:tabs>
          <w:tab w:leader="none" w:pos="2420" w:val="left"/>
        </w:tabs>
        <w:rPr>
          <w:sz w:val="20"/>
          <w:szCs w:val="20"/>
          <w:color w:val="auto"/>
        </w:rPr>
      </w:pPr>
      <w:r>
        <w:rPr>
          <w:rFonts w:ascii="Arial" w:cs="Arial" w:eastAsia="Arial" w:hAnsi="Arial"/>
          <w:sz w:val="22"/>
          <w:szCs w:val="22"/>
          <w:color w:val="auto"/>
        </w:rPr>
        <w:t>Attention:</w:t>
        <w:tab/>
        <w:t>John H. Coghlin, General Counsel</w:t>
      </w:r>
    </w:p>
    <w:p>
      <w:pPr>
        <w:ind w:left="1300"/>
        <w:spacing w:after="0" w:line="205" w:lineRule="auto"/>
        <w:tabs>
          <w:tab w:leader="none" w:pos="2520" w:val="left"/>
        </w:tabs>
        <w:rPr>
          <w:sz w:val="20"/>
          <w:szCs w:val="20"/>
          <w:color w:val="auto"/>
        </w:rPr>
      </w:pPr>
      <w:r>
        <w:rPr>
          <w:rFonts w:ascii="Arial" w:cs="Arial" w:eastAsia="Arial" w:hAnsi="Arial"/>
          <w:sz w:val="22"/>
          <w:szCs w:val="22"/>
          <w:color w:val="auto"/>
        </w:rPr>
        <w:t>Telephone:</w:t>
        <w:tab/>
        <w:t>(914) 705-4000</w:t>
      </w:r>
    </w:p>
    <w:p>
      <w:pPr>
        <w:spacing w:after="0" w:line="1"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jcoghlin@opalfuels.com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Sheppard, Mullin, Richter &amp; Hampton LLP</w:t>
      </w:r>
    </w:p>
    <w:p>
      <w:pPr>
        <w:ind w:left="1300"/>
        <w:spacing w:after="0" w:line="204" w:lineRule="auto"/>
        <w:rPr>
          <w:sz w:val="20"/>
          <w:szCs w:val="20"/>
          <w:color w:val="auto"/>
        </w:rPr>
      </w:pPr>
      <w:r>
        <w:rPr>
          <w:rFonts w:ascii="Arial" w:cs="Arial" w:eastAsia="Arial" w:hAnsi="Arial"/>
          <w:sz w:val="22"/>
          <w:szCs w:val="22"/>
          <w:color w:val="auto"/>
        </w:rPr>
        <w:t>30 Rockefeller Plaza</w:t>
      </w:r>
    </w:p>
    <w:p>
      <w:pPr>
        <w:ind w:left="1300"/>
        <w:spacing w:after="0" w:line="205" w:lineRule="auto"/>
        <w:rPr>
          <w:sz w:val="20"/>
          <w:szCs w:val="20"/>
          <w:color w:val="auto"/>
        </w:rPr>
      </w:pPr>
      <w:r>
        <w:rPr>
          <w:rFonts w:ascii="Arial" w:cs="Arial" w:eastAsia="Arial" w:hAnsi="Arial"/>
          <w:sz w:val="22"/>
          <w:szCs w:val="22"/>
          <w:color w:val="auto"/>
        </w:rPr>
        <w:t>New York, NY 10112</w:t>
      </w:r>
    </w:p>
    <w:p>
      <w:pPr>
        <w:ind w:left="1300"/>
        <w:spacing w:after="0" w:line="238" w:lineRule="auto"/>
        <w:tabs>
          <w:tab w:leader="none" w:pos="23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Edward M. Welch</w:t>
      </w:r>
    </w:p>
    <w:p>
      <w:pPr>
        <w:ind w:left="1300"/>
        <w:spacing w:after="0" w:line="205" w:lineRule="auto"/>
        <w:tabs>
          <w:tab w:leader="none" w:pos="2520" w:val="left"/>
        </w:tabs>
        <w:rPr>
          <w:sz w:val="20"/>
          <w:szCs w:val="20"/>
          <w:color w:val="auto"/>
        </w:rPr>
      </w:pPr>
      <w:r>
        <w:rPr>
          <w:rFonts w:ascii="Arial" w:cs="Arial" w:eastAsia="Arial" w:hAnsi="Arial"/>
          <w:sz w:val="22"/>
          <w:szCs w:val="22"/>
          <w:color w:val="auto"/>
        </w:rPr>
        <w:t>Telephone:</w:t>
        <w:tab/>
        <w:t>(212) 634-3085</w:t>
      </w:r>
    </w:p>
    <w:p>
      <w:pPr>
        <w:ind w:left="1300"/>
        <w:spacing w:after="0"/>
        <w:tabs>
          <w:tab w:leader="none" w:pos="234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ewelch@sheppardmullin.com</w:t>
      </w:r>
    </w:p>
    <w:p>
      <w:pPr>
        <w:spacing w:after="0" w:line="200" w:lineRule="exact"/>
        <w:rPr>
          <w:sz w:val="20"/>
          <w:szCs w:val="20"/>
          <w:color w:val="auto"/>
        </w:rPr>
      </w:pPr>
    </w:p>
    <w:p>
      <w:pPr>
        <w:spacing w:after="0" w:line="218"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any day on which the Exchange and commercial banks in the City of New York are open for business.</w:t>
      </w:r>
    </w:p>
    <w:p>
      <w:pPr>
        <w:spacing w:after="0" w:line="140" w:lineRule="exact"/>
        <w:rPr>
          <w:sz w:val="20"/>
          <w:szCs w:val="20"/>
          <w:color w:val="auto"/>
        </w:rPr>
      </w:pPr>
    </w:p>
    <w:p>
      <w:pPr>
        <w:jc w:val="both"/>
        <w:ind w:left="20" w:firstLine="636"/>
        <w:spacing w:after="0" w:line="247" w:lineRule="auto"/>
        <w:tabs>
          <w:tab w:leader="none" w:pos="13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inure to the benefit of and be binding upon the Company and the Agents and their respective successors and the affiliates, controlling persons, officers and directors referred to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an Agent may assign its rights or obligations under this Agreement without the prior written consent of the other party.</w:t>
      </w:r>
    </w:p>
    <w:p>
      <w:pPr>
        <w:spacing w:after="0" w:line="126" w:lineRule="exact"/>
        <w:rPr>
          <w:rFonts w:ascii="Arial" w:cs="Arial" w:eastAsia="Arial" w:hAnsi="Arial"/>
          <w:sz w:val="19"/>
          <w:szCs w:val="19"/>
          <w:color w:val="auto"/>
        </w:rPr>
      </w:pPr>
    </w:p>
    <w:p>
      <w:pPr>
        <w:jc w:val="both"/>
        <w:ind w:left="20" w:firstLine="636"/>
        <w:spacing w:after="0" w:line="223" w:lineRule="auto"/>
        <w:tabs>
          <w:tab w:leader="none" w:pos="130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Adjustments for Stock Splits</w:t>
      </w:r>
      <w:r>
        <w:rPr>
          <w:rFonts w:ascii="Arial" w:cs="Arial" w:eastAsia="Arial" w:hAnsi="Arial"/>
          <w:sz w:val="22"/>
          <w:szCs w:val="22"/>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50" w:lineRule="exact"/>
        <w:rPr>
          <w:sz w:val="20"/>
          <w:szCs w:val="20"/>
          <w:color w:val="auto"/>
        </w:rPr>
      </w:pPr>
    </w:p>
    <w:p>
      <w:pPr>
        <w:jc w:val="both"/>
        <w:ind w:left="20" w:firstLine="717"/>
        <w:spacing w:after="0" w:line="244" w:lineRule="auto"/>
        <w:tabs>
          <w:tab w:leader="none" w:pos="1300"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 Severability</w:t>
      </w:r>
      <w:r>
        <w:rPr>
          <w:rFonts w:ascii="Arial" w:cs="Arial" w:eastAsia="Arial" w:hAnsi="Arial"/>
          <w:sz w:val="19"/>
          <w:szCs w:val="19"/>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41" w:lineRule="exact"/>
        <w:rPr>
          <w:rFonts w:ascii="Arial" w:cs="Arial" w:eastAsia="Arial" w:hAnsi="Arial"/>
          <w:sz w:val="19"/>
          <w:szCs w:val="19"/>
          <w:color w:val="auto"/>
        </w:rPr>
      </w:pPr>
    </w:p>
    <w:p>
      <w:pPr>
        <w:jc w:val="both"/>
        <w:ind w:left="20" w:firstLine="636"/>
        <w:spacing w:after="0" w:line="224" w:lineRule="auto"/>
        <w:tabs>
          <w:tab w:leader="none" w:pos="130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GOVERNING LAW AND TIME; WAIVER OF JURY TRIAL</w:t>
      </w:r>
      <w:r>
        <w:rPr>
          <w:rFonts w:ascii="Arial" w:cs="Arial" w:eastAsia="Arial" w:hAnsi="Arial"/>
          <w:sz w:val="21"/>
          <w:szCs w:val="21"/>
          <w:color w:val="auto"/>
        </w:rPr>
        <w:t>. THIS AGREEMENT SHALL BE GOVERNED BY AND CONSTRUED IN ACCORDANCE WITH THE LAWS OF THE STATE OF NEW YORK WITHOUT REGARD TO THE PRINCIPLES OF CONFLICTS OF LAWS. SPECIFIED TIMES OF DAY REFER TO NEW YORK CITY TIME. THE COMPANY AND THE AGENTS EACH HEREBY IRREVOCABLY WAIVES, TO THE FULLEST EXTENT PERMITTED BY APPLICABLE LAW, ANY AND ALL RIGHT TO TRIAL BY JURY IN ANY LEGAL PROCEEDING ARISING OUT OF OR RELATING TO THIS AGREEMENT OR THE TRANSACTIONS CONTEMPLATED HEREBY.</w:t>
      </w:r>
    </w:p>
    <w:p>
      <w:pPr>
        <w:spacing w:after="0" w:line="132" w:lineRule="exact"/>
        <w:rPr>
          <w:rFonts w:ascii="Arial" w:cs="Arial" w:eastAsia="Arial" w:hAnsi="Arial"/>
          <w:sz w:val="21"/>
          <w:szCs w:val="21"/>
          <w:color w:val="auto"/>
        </w:rPr>
      </w:pPr>
    </w:p>
    <w:p>
      <w:pPr>
        <w:jc w:val="both"/>
        <w:ind w:left="20" w:firstLine="636"/>
        <w:spacing w:after="0" w:line="219" w:lineRule="auto"/>
        <w:tabs>
          <w:tab w:leader="none" w:pos="130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45" w:lineRule="exact"/>
        <w:rPr>
          <w:rFonts w:ascii="Arial" w:cs="Arial" w:eastAsia="Arial" w:hAnsi="Arial"/>
          <w:sz w:val="21"/>
          <w:szCs w:val="21"/>
          <w:color w:val="auto"/>
        </w:rPr>
      </w:pPr>
    </w:p>
    <w:p>
      <w:pPr>
        <w:jc w:val="both"/>
        <w:ind w:left="20" w:firstLine="636"/>
        <w:spacing w:after="0" w:line="22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Use of Information</w:t>
      </w:r>
      <w:r>
        <w:rPr>
          <w:rFonts w:ascii="Arial" w:cs="Arial" w:eastAsia="Arial" w:hAnsi="Arial"/>
          <w:sz w:val="22"/>
          <w:szCs w:val="22"/>
          <w:color w:val="auto"/>
        </w:rPr>
        <w:t>. The Agents may not use any information gained in connection with this Agreement and the transactions contemplated by this Agreement, including due diligence, to advise any party with respect to transactions not expressly approved by the Company.</w:t>
      </w:r>
    </w:p>
    <w:p>
      <w:pPr>
        <w:spacing w:after="0" w:line="131" w:lineRule="exact"/>
        <w:rPr>
          <w:rFonts w:ascii="Arial" w:cs="Arial" w:eastAsia="Arial" w:hAnsi="Arial"/>
          <w:sz w:val="22"/>
          <w:szCs w:val="22"/>
          <w:color w:val="auto"/>
        </w:rPr>
      </w:pPr>
    </w:p>
    <w:p>
      <w:pPr>
        <w:jc w:val="both"/>
        <w:ind w:left="20" w:firstLine="636"/>
        <w:spacing w:after="0" w:line="223" w:lineRule="auto"/>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50" w:lineRule="exact"/>
        <w:rPr>
          <w:sz w:val="20"/>
          <w:szCs w:val="20"/>
          <w:color w:val="auto"/>
        </w:rPr>
      </w:pPr>
    </w:p>
    <w:p>
      <w:pPr>
        <w:ind w:left="20" w:firstLine="636"/>
        <w:spacing w:after="0" w:line="232"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Effect of Headings</w:t>
      </w:r>
      <w:r>
        <w:rPr>
          <w:rFonts w:ascii="Arial" w:cs="Arial" w:eastAsia="Arial" w:hAnsi="Arial"/>
          <w:sz w:val="22"/>
          <w:szCs w:val="22"/>
          <w:color w:val="auto"/>
        </w:rPr>
        <w:t>. The section, Schedule and Exhibit headings herein are for convenience only and shall not affect the construction hereof.</w:t>
      </w:r>
    </w:p>
    <w:p>
      <w:pPr>
        <w:spacing w:after="0" w:line="145" w:lineRule="exact"/>
        <w:rPr>
          <w:rFonts w:ascii="Arial" w:cs="Arial" w:eastAsia="Arial" w:hAnsi="Arial"/>
          <w:sz w:val="22"/>
          <w:szCs w:val="22"/>
          <w:color w:val="auto"/>
        </w:rPr>
      </w:pPr>
    </w:p>
    <w:p>
      <w:pPr>
        <w:jc w:val="both"/>
        <w:ind w:left="20" w:firstLine="636"/>
        <w:spacing w:after="0" w:line="219" w:lineRule="auto"/>
        <w:tabs>
          <w:tab w:leader="none" w:pos="130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Permitted Free Writing Prospectuses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6(d)</w:t>
      </w:r>
      <w:r>
        <w:rPr>
          <w:rFonts w:ascii="Arial" w:cs="Arial" w:eastAsia="Arial" w:hAnsi="Arial"/>
          <w:sz w:val="21"/>
          <w:szCs w:val="21"/>
          <w:color w:val="auto"/>
        </w:rPr>
        <w:t xml:space="preserve">, the Company represents, warrants and agrees that, unless it obtains the prior consent of the Agents, and the Agents represent, warrant and agree that, unless they obtain the prior consent of the Company, they have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21"/>
          <w:szCs w:val="21"/>
          <w:u w:val="single" w:color="auto"/>
          <w:color w:val="auto"/>
        </w:rPr>
        <w:t>Exhibit 23</w:t>
      </w:r>
      <w:r>
        <w:rPr>
          <w:rFonts w:ascii="Arial" w:cs="Arial" w:eastAsia="Arial" w:hAnsi="Arial"/>
          <w:sz w:val="21"/>
          <w:szCs w:val="21"/>
          <w:color w:val="auto"/>
        </w:rPr>
        <w:t xml:space="preserve"> hereto are Permitted Free Writing Prospectuses.</w:t>
      </w:r>
    </w:p>
    <w:p>
      <w:pPr>
        <w:spacing w:after="0" w:line="141" w:lineRule="exact"/>
        <w:rPr>
          <w:rFonts w:ascii="Arial" w:cs="Arial" w:eastAsia="Arial" w:hAnsi="Arial"/>
          <w:sz w:val="21"/>
          <w:szCs w:val="21"/>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color w:val="auto"/>
        </w:rPr>
        <w:t>. The Company acknowledges and agrees that:</w:t>
      </w:r>
    </w:p>
    <w:p>
      <w:pPr>
        <w:spacing w:after="0" w:line="165" w:lineRule="exact"/>
        <w:rPr>
          <w:rFonts w:ascii="Arial" w:cs="Arial" w:eastAsia="Arial" w:hAnsi="Arial"/>
          <w:sz w:val="22"/>
          <w:szCs w:val="22"/>
          <w:color w:val="auto"/>
        </w:rPr>
      </w:pPr>
    </w:p>
    <w:p>
      <w:pPr>
        <w:jc w:val="both"/>
        <w:ind w:firstLine="1304"/>
        <w:spacing w:after="0" w:line="247" w:lineRule="auto"/>
        <w:tabs>
          <w:tab w:leader="none" w:pos="1932" w:val="left"/>
        </w:tabs>
        <w:numPr>
          <w:ilvl w:val="1"/>
          <w:numId w:val="38"/>
        </w:numPr>
        <w:rPr>
          <w:rFonts w:ascii="Arial" w:cs="Arial" w:eastAsia="Arial" w:hAnsi="Arial"/>
          <w:sz w:val="19"/>
          <w:szCs w:val="19"/>
          <w:color w:val="auto"/>
        </w:rPr>
      </w:pPr>
      <w:r>
        <w:rPr>
          <w:rFonts w:ascii="Arial" w:cs="Arial" w:eastAsia="Arial" w:hAnsi="Arial"/>
          <w:sz w:val="19"/>
          <w:szCs w:val="19"/>
          <w:color w:val="auto"/>
        </w:rPr>
        <w:t>The Agents are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the Agents have advised or is advising the Company on other matters, and the Agents have no obligation to the Company with respect to the transactions contemplated by this Agreement except the obligations expressly set forth in this Agreement;</w:t>
      </w:r>
    </w:p>
    <w:p>
      <w:pPr>
        <w:spacing w:after="0" w:line="126" w:lineRule="exact"/>
        <w:rPr>
          <w:rFonts w:ascii="Arial" w:cs="Arial" w:eastAsia="Arial" w:hAnsi="Arial"/>
          <w:sz w:val="19"/>
          <w:szCs w:val="19"/>
          <w:color w:val="auto"/>
        </w:rPr>
      </w:pPr>
    </w:p>
    <w:p>
      <w:pPr>
        <w:ind w:firstLine="1304"/>
        <w:spacing w:after="0" w:line="232" w:lineRule="auto"/>
        <w:tabs>
          <w:tab w:leader="none" w:pos="1944" w:val="left"/>
        </w:tabs>
        <w:numPr>
          <w:ilvl w:val="1"/>
          <w:numId w:val="38"/>
        </w:numPr>
        <w:rPr>
          <w:rFonts w:ascii="Arial" w:cs="Arial" w:eastAsia="Arial" w:hAnsi="Arial"/>
          <w:sz w:val="22"/>
          <w:szCs w:val="22"/>
          <w:color w:val="auto"/>
        </w:rPr>
      </w:pPr>
      <w:r>
        <w:rPr>
          <w:rFonts w:ascii="Arial" w:cs="Arial" w:eastAsia="Arial" w:hAnsi="Arial"/>
          <w:sz w:val="22"/>
          <w:szCs w:val="22"/>
          <w:color w:val="auto"/>
        </w:rPr>
        <w:t>it is capable of evaluating and understanding, and understands and accepts, the terms, risks and conditions of the transactions contemplated by this Agreement;</w:t>
      </w:r>
    </w:p>
    <w:p>
      <w:pPr>
        <w:spacing w:after="0" w:line="131" w:lineRule="exact"/>
        <w:rPr>
          <w:rFonts w:ascii="Arial" w:cs="Arial" w:eastAsia="Arial" w:hAnsi="Arial"/>
          <w:sz w:val="22"/>
          <w:szCs w:val="22"/>
          <w:color w:val="auto"/>
        </w:rPr>
      </w:pPr>
    </w:p>
    <w:p>
      <w:pPr>
        <w:jc w:val="both"/>
        <w:ind w:firstLine="1304"/>
        <w:spacing w:after="0" w:line="223" w:lineRule="auto"/>
        <w:tabs>
          <w:tab w:leader="none" w:pos="1932"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the Agents have not provided any legal, accounting, regulatory or tax advice with respect to the transactions contemplated by this Agreement and it has consulted its own legal, accounting, regulatory and tax advisors to the extent it has deemed appropriate;</w:t>
      </w:r>
    </w:p>
    <w:p>
      <w:pPr>
        <w:spacing w:after="0" w:line="145" w:lineRule="exact"/>
        <w:rPr>
          <w:rFonts w:ascii="Arial" w:cs="Arial" w:eastAsia="Arial" w:hAnsi="Arial"/>
          <w:sz w:val="22"/>
          <w:szCs w:val="22"/>
          <w:color w:val="auto"/>
        </w:rPr>
      </w:pPr>
    </w:p>
    <w:p>
      <w:pPr>
        <w:jc w:val="both"/>
        <w:ind w:firstLine="1304"/>
        <w:spacing w:after="0" w:line="234" w:lineRule="auto"/>
        <w:tabs>
          <w:tab w:leader="none" w:pos="1944" w:val="left"/>
        </w:tabs>
        <w:numPr>
          <w:ilvl w:val="1"/>
          <w:numId w:val="38"/>
        </w:numPr>
        <w:rPr>
          <w:rFonts w:ascii="Arial" w:cs="Arial" w:eastAsia="Arial" w:hAnsi="Arial"/>
          <w:sz w:val="21"/>
          <w:szCs w:val="21"/>
          <w:color w:val="auto"/>
        </w:rPr>
      </w:pPr>
      <w:r>
        <w:rPr>
          <w:rFonts w:ascii="Arial" w:cs="Arial" w:eastAsia="Arial" w:hAnsi="Arial"/>
          <w:sz w:val="21"/>
          <w:szCs w:val="21"/>
          <w:color w:val="auto"/>
        </w:rPr>
        <w:t>it is aware that the Agents and their affiliates are engaged in a broad range of transactions which may involve interests that differ from those of the Company and the Agents have no obligation to disclose such interests and transactions to the Company by virtue of any fiduciary, advisory or agency relationship or otherwise; and</w:t>
      </w:r>
    </w:p>
    <w:p>
      <w:pPr>
        <w:spacing w:after="0" w:line="130" w:lineRule="exact"/>
        <w:rPr>
          <w:rFonts w:ascii="Arial" w:cs="Arial" w:eastAsia="Arial" w:hAnsi="Arial"/>
          <w:sz w:val="21"/>
          <w:szCs w:val="21"/>
          <w:color w:val="auto"/>
        </w:rPr>
      </w:pPr>
    </w:p>
    <w:p>
      <w:pPr>
        <w:jc w:val="both"/>
        <w:ind w:firstLine="1304"/>
        <w:spacing w:after="0" w:line="249" w:lineRule="auto"/>
        <w:tabs>
          <w:tab w:leader="none" w:pos="1932" w:val="left"/>
        </w:tabs>
        <w:numPr>
          <w:ilvl w:val="1"/>
          <w:numId w:val="38"/>
        </w:numPr>
        <w:rPr>
          <w:rFonts w:ascii="Arial" w:cs="Arial" w:eastAsia="Arial" w:hAnsi="Arial"/>
          <w:sz w:val="19"/>
          <w:szCs w:val="19"/>
          <w:color w:val="auto"/>
        </w:rPr>
      </w:pPr>
      <w:r>
        <w:rPr>
          <w:rFonts w:ascii="Arial" w:cs="Arial" w:eastAsia="Arial" w:hAnsi="Arial"/>
          <w:sz w:val="19"/>
          <w:szCs w:val="19"/>
          <w:color w:val="auto"/>
        </w:rPr>
        <w:t>it waives, to the fullest extent permitted by law, any claims it may have against the Agents for breach of fiduciary duty or alleged breach of fiduciary duty in connection with the sale of Placement Shares under this Agreement and agrees that the Agents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Agents and their counsel confidential to the extent not otherwise publicly-available.</w:t>
      </w:r>
    </w:p>
    <w:p>
      <w:pPr>
        <w:spacing w:after="0" w:line="138" w:lineRule="exact"/>
        <w:rPr>
          <w:rFonts w:ascii="Arial" w:cs="Arial" w:eastAsia="Arial" w:hAnsi="Arial"/>
          <w:sz w:val="19"/>
          <w:szCs w:val="19"/>
          <w:color w:val="auto"/>
        </w:rPr>
      </w:pPr>
    </w:p>
    <w:p>
      <w:pPr>
        <w:ind w:left="1300" w:hanging="644"/>
        <w:spacing w:after="0"/>
        <w:tabs>
          <w:tab w:leader="none" w:pos="130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As used in this Agreement, the following terms have the respective meanings set forth below:</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Time</w:t>
      </w:r>
      <w:r>
        <w:rPr>
          <w:rFonts w:ascii="Arial" w:cs="Arial" w:eastAsia="Arial" w:hAnsi="Arial"/>
          <w:sz w:val="22"/>
          <w:szCs w:val="22"/>
          <w:color w:val="auto"/>
        </w:rPr>
        <w:t>” means (i) each Representation Date and (ii) the time of each sale of any Placement Shares pursuant to this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Commission Reports</w:t>
      </w:r>
      <w:r>
        <w:rPr>
          <w:rFonts w:ascii="Arial" w:cs="Arial" w:eastAsia="Arial" w:hAnsi="Arial"/>
          <w:sz w:val="19"/>
          <w:szCs w:val="19"/>
          <w:color w:val="auto"/>
        </w:rPr>
        <w:t>” shall mean any reports the Company files with the Commission pursuant to the Exchange Act.</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Free Writing Prospectus</w:t>
      </w:r>
      <w:r>
        <w:rPr>
          <w:rFonts w:ascii="Arial" w:cs="Arial" w:eastAsia="Arial" w:hAnsi="Arial"/>
          <w:sz w:val="19"/>
          <w:szCs w:val="19"/>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172</w:t>
      </w:r>
      <w:r>
        <w:rPr>
          <w:rFonts w:ascii="Arial" w:cs="Arial" w:eastAsia="Arial" w:hAnsi="Arial"/>
          <w:sz w:val="22"/>
          <w:szCs w:val="22"/>
          <w:color w:val="auto"/>
        </w:rPr>
        <w:t>,” “</w:t>
      </w:r>
      <w:r>
        <w:rPr>
          <w:rFonts w:ascii="Arial" w:cs="Arial" w:eastAsia="Arial" w:hAnsi="Arial"/>
          <w:sz w:val="22"/>
          <w:szCs w:val="22"/>
          <w:u w:val="single" w:color="auto"/>
          <w:color w:val="auto"/>
        </w:rPr>
        <w:t>Rule 405</w:t>
      </w:r>
      <w:r>
        <w:rPr>
          <w:rFonts w:ascii="Arial" w:cs="Arial" w:eastAsia="Arial" w:hAnsi="Arial"/>
          <w:sz w:val="22"/>
          <w:szCs w:val="22"/>
          <w:color w:val="auto"/>
        </w:rPr>
        <w:t>,” “</w:t>
      </w:r>
      <w:r>
        <w:rPr>
          <w:rFonts w:ascii="Arial" w:cs="Arial" w:eastAsia="Arial" w:hAnsi="Arial"/>
          <w:sz w:val="22"/>
          <w:szCs w:val="22"/>
          <w:u w:val="single" w:color="auto"/>
          <w:color w:val="auto"/>
        </w:rPr>
        <w:t>Rule 415</w:t>
      </w:r>
      <w:r>
        <w:rPr>
          <w:rFonts w:ascii="Arial" w:cs="Arial" w:eastAsia="Arial" w:hAnsi="Arial"/>
          <w:sz w:val="22"/>
          <w:szCs w:val="22"/>
          <w:color w:val="auto"/>
        </w:rPr>
        <w:t>,” “</w:t>
      </w:r>
      <w:r>
        <w:rPr>
          <w:rFonts w:ascii="Arial" w:cs="Arial" w:eastAsia="Arial" w:hAnsi="Arial"/>
          <w:sz w:val="22"/>
          <w:szCs w:val="22"/>
          <w:u w:val="single" w:color="auto"/>
          <w:color w:val="auto"/>
        </w:rPr>
        <w:t>Rule 424</w:t>
      </w:r>
      <w:r>
        <w:rPr>
          <w:rFonts w:ascii="Arial" w:cs="Arial" w:eastAsia="Arial" w:hAnsi="Arial"/>
          <w:sz w:val="22"/>
          <w:szCs w:val="22"/>
          <w:color w:val="auto"/>
        </w:rPr>
        <w:t>,” “</w:t>
      </w:r>
      <w:r>
        <w:rPr>
          <w:rFonts w:ascii="Arial" w:cs="Arial" w:eastAsia="Arial" w:hAnsi="Arial"/>
          <w:sz w:val="22"/>
          <w:szCs w:val="22"/>
          <w:u w:val="single" w:color="auto"/>
          <w:color w:val="auto"/>
        </w:rPr>
        <w:t>Rule 424(b)</w:t>
      </w:r>
      <w:r>
        <w:rPr>
          <w:rFonts w:ascii="Arial" w:cs="Arial" w:eastAsia="Arial" w:hAnsi="Arial"/>
          <w:sz w:val="22"/>
          <w:szCs w:val="22"/>
          <w:color w:val="auto"/>
        </w:rPr>
        <w:t>,” “</w:t>
      </w:r>
      <w:r>
        <w:rPr>
          <w:rFonts w:ascii="Arial" w:cs="Arial" w:eastAsia="Arial" w:hAnsi="Arial"/>
          <w:sz w:val="22"/>
          <w:szCs w:val="22"/>
          <w:u w:val="single" w:color="auto"/>
          <w:color w:val="auto"/>
        </w:rPr>
        <w:t>Rule 430B</w:t>
      </w:r>
      <w:r>
        <w:rPr>
          <w:rFonts w:ascii="Arial" w:cs="Arial" w:eastAsia="Arial" w:hAnsi="Arial"/>
          <w:sz w:val="22"/>
          <w:szCs w:val="22"/>
          <w:color w:val="auto"/>
        </w:rPr>
        <w:t>,” and “</w:t>
      </w:r>
      <w:r>
        <w:rPr>
          <w:rFonts w:ascii="Arial" w:cs="Arial" w:eastAsia="Arial" w:hAnsi="Arial"/>
          <w:sz w:val="22"/>
          <w:szCs w:val="22"/>
          <w:u w:val="single" w:color="auto"/>
          <w:color w:val="auto"/>
        </w:rPr>
        <w:t>Rule 433</w:t>
      </w:r>
      <w:r>
        <w:rPr>
          <w:rFonts w:ascii="Arial" w:cs="Arial" w:eastAsia="Arial" w:hAnsi="Arial"/>
          <w:sz w:val="22"/>
          <w:szCs w:val="22"/>
          <w:color w:val="auto"/>
        </w:rPr>
        <w:t>” refer to such rules under the Securities Act.</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61"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the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38" w:name="page39"/>
    <w:bookmarkEnd w:id="38"/>
    <w:p>
      <w:pPr>
        <w:ind w:left="9600"/>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60"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If the foregoing correctly sets forth the understanding between the Company and the Agents, please so indicate in the space provided below for that purpose, whereupon this letter shall constitute a binding agreement between the Company and the Agents.</w:t>
      </w:r>
    </w:p>
    <w:p>
      <w:pPr>
        <w:spacing w:after="0" w:line="17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187" w:lineRule="exact"/>
        <w:rPr>
          <w:sz w:val="20"/>
          <w:szCs w:val="20"/>
          <w:color w:val="auto"/>
        </w:rPr>
      </w:pPr>
    </w:p>
    <w:p>
      <w:pPr>
        <w:ind w:left="4160"/>
        <w:spacing w:after="0"/>
        <w:rPr>
          <w:sz w:val="20"/>
          <w:szCs w:val="20"/>
          <w:color w:val="auto"/>
        </w:rPr>
      </w:pPr>
      <w:r>
        <w:rPr>
          <w:rFonts w:ascii="Arial" w:cs="Arial" w:eastAsia="Arial" w:hAnsi="Arial"/>
          <w:sz w:val="22"/>
          <w:szCs w:val="22"/>
          <w:b w:val="1"/>
          <w:bCs w:val="1"/>
          <w:color w:val="auto"/>
        </w:rPr>
        <w:t>OPAL FUELS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By: /s/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24130</wp:posOffset>
            </wp:positionV>
            <wp:extent cx="2228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1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 Scott Contino</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Title: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the Sales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834" w:right="339" w:bottom="1440" w:gutter="0" w:footer="0" w:header="0"/>
        </w:sectPr>
      </w:pPr>
    </w:p>
    <w:bookmarkStart w:id="39" w:name="page40"/>
    <w:bookmarkEnd w:id="39"/>
    <w:p>
      <w:pPr>
        <w:ind w:left="3900"/>
        <w:spacing w:after="0"/>
        <w:rPr>
          <w:sz w:val="20"/>
          <w:szCs w:val="20"/>
          <w:color w:val="auto"/>
        </w:rPr>
      </w:pPr>
      <w:r>
        <w:rPr>
          <w:rFonts w:ascii="Arial" w:cs="Arial" w:eastAsia="Arial" w:hAnsi="Arial"/>
          <w:sz w:val="19"/>
          <w:szCs w:val="19"/>
          <w:b w:val="1"/>
          <w:bCs w:val="1"/>
          <w:color w:val="auto"/>
        </w:rPr>
        <w:t>ACCEPTED as of the date first-above written:</w:t>
      </w:r>
    </w:p>
    <w:p>
      <w:pPr>
        <w:spacing w:after="0" w:line="241"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B. RILEY SECURITIES, INC.</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Patrice McNicoll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-635</wp:posOffset>
            </wp:positionV>
            <wp:extent cx="2228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3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 Patrice McNicoll</w:t>
      </w:r>
    </w:p>
    <w:p>
      <w:pPr>
        <w:ind w:left="4940"/>
        <w:spacing w:after="0"/>
        <w:rPr>
          <w:sz w:val="20"/>
          <w:szCs w:val="20"/>
          <w:color w:val="auto"/>
        </w:rPr>
      </w:pPr>
      <w:r>
        <w:rPr>
          <w:rFonts w:ascii="Arial" w:cs="Arial" w:eastAsia="Arial" w:hAnsi="Arial"/>
          <w:sz w:val="19"/>
          <w:szCs w:val="19"/>
          <w:color w:val="auto"/>
        </w:rPr>
        <w:t>Title: Co-Head of 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[Signature page to the Sales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0139"/>
          </w:cols>
          <w:pgMar w:left="320" w:top="1395" w:right="1440"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1939"/>
        <w:spacing w:after="0"/>
        <w:rPr>
          <w:sz w:val="20"/>
          <w:szCs w:val="20"/>
          <w:color w:val="auto"/>
        </w:rPr>
      </w:pPr>
      <w:r>
        <w:rPr>
          <w:rFonts w:ascii="Arial" w:cs="Arial" w:eastAsia="Arial" w:hAnsi="Arial"/>
          <w:sz w:val="22"/>
          <w:szCs w:val="22"/>
          <w:b w:val="1"/>
          <w:bCs w:val="1"/>
          <w:color w:val="auto"/>
        </w:rPr>
        <w:t>ACCEPTED as of the date first-above written:</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CANTOR FITZGERALD &amp; CO.</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Sage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-635</wp:posOffset>
            </wp:positionV>
            <wp:extent cx="2228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 Sage Kelly</w:t>
      </w:r>
    </w:p>
    <w:p>
      <w:pPr>
        <w:ind w:left="49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[Signature page to the Sales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0139"/>
          </w:cols>
          <w:pgMar w:left="320" w:top="1440" w:right="1440" w:bottom="1440" w:gutter="0" w:footer="0" w:header="0"/>
        </w:sectPr>
      </w:pPr>
    </w:p>
    <w:bookmarkStart w:id="41" w:name="page42"/>
    <w:bookmarkEnd w:id="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1939"/>
        <w:spacing w:after="0"/>
        <w:rPr>
          <w:sz w:val="20"/>
          <w:szCs w:val="20"/>
          <w:color w:val="auto"/>
        </w:rPr>
      </w:pPr>
      <w:r>
        <w:rPr>
          <w:rFonts w:ascii="Arial" w:cs="Arial" w:eastAsia="Arial" w:hAnsi="Arial"/>
          <w:sz w:val="22"/>
          <w:szCs w:val="22"/>
          <w:b w:val="1"/>
          <w:bCs w:val="1"/>
          <w:color w:val="auto"/>
        </w:rPr>
        <w:t>ACCEPTED as of the date first-above written:</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STIFEL, NICOLAUS &amp; COMPANY,</w:t>
      </w:r>
    </w:p>
    <w:p>
      <w:pPr>
        <w:ind w:left="4220"/>
        <w:spacing w:after="0"/>
        <w:rPr>
          <w:sz w:val="20"/>
          <w:szCs w:val="20"/>
          <w:color w:val="auto"/>
        </w:rPr>
      </w:pPr>
      <w:r>
        <w:rPr>
          <w:rFonts w:ascii="Arial" w:cs="Arial" w:eastAsia="Arial" w:hAnsi="Arial"/>
          <w:sz w:val="22"/>
          <w:szCs w:val="22"/>
          <w:b w:val="1"/>
          <w:bCs w:val="1"/>
          <w:color w:val="auto"/>
        </w:rPr>
        <w:t>INCORPORATED</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 /s/ Justin P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-635</wp:posOffset>
            </wp:positionV>
            <wp:extent cx="2228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Name: Justin P Bowman</w:t>
      </w:r>
    </w:p>
    <w:p>
      <w:pPr>
        <w:ind w:left="49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[Signature page to the Sales Agreement]</w:t>
      </w:r>
    </w:p>
    <w:p>
      <w:pPr>
        <w:spacing w:after="0" w:line="21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0139"/>
          </w:cols>
          <w:pgMar w:left="320" w:top="1440" w:right="1440"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225425</wp:posOffset>
            </wp:positionV>
            <wp:extent cx="22542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273050</wp:posOffset>
            </wp:positionV>
            <wp:extent cx="22542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19"/>
          <w:szCs w:val="19"/>
          <w:color w:val="auto"/>
        </w:rPr>
        <w:t>Opal Fuels Inc.</w:t>
      </w:r>
    </w:p>
    <w:p>
      <w:pPr>
        <w:spacing w:after="0" w:line="22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[B. Riley Securities, Inc.] / [Cantor Fitzgerald &amp; Co.] / [Stifel, Nicolaus &amp; Company, Incorporated]</w:t>
      </w:r>
    </w:p>
    <w:p>
      <w:pPr>
        <w:spacing w:after="0" w:line="23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Attention:</w:t>
        <w:tab/>
        <w:t>[•]</w:t>
      </w:r>
    </w:p>
    <w:p>
      <w:pPr>
        <w:spacing w:after="0" w:line="16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2"/>
          <w:szCs w:val="22"/>
          <w:color w:val="auto"/>
        </w:rPr>
        <w:t>Subject:</w:t>
        <w:tab/>
        <w:t>At Market Issuance--Placement Notice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Ladies and Gentlemen:</w:t>
      </w:r>
    </w:p>
    <w:p>
      <w:pPr>
        <w:spacing w:after="0" w:line="1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Pursuant to the terms and subject to the conditions contained in the At Market Issuance Sales Agreement among Opal Fuels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B. Riley Securities, Inc., Cantor Fitzgerald &amp; Co. and Stifel, Nicolaus &amp; Company, Incorporated (the “</w:t>
      </w:r>
      <w:r>
        <w:rPr>
          <w:rFonts w:ascii="Arial" w:cs="Arial" w:eastAsia="Arial" w:hAnsi="Arial"/>
          <w:sz w:val="19"/>
          <w:szCs w:val="19"/>
          <w:u w:val="single" w:color="auto"/>
          <w:color w:val="auto"/>
        </w:rPr>
        <w:t>Agents</w:t>
      </w:r>
      <w:r>
        <w:rPr>
          <w:rFonts w:ascii="Arial" w:cs="Arial" w:eastAsia="Arial" w:hAnsi="Arial"/>
          <w:sz w:val="19"/>
          <w:szCs w:val="19"/>
          <w:color w:val="auto"/>
        </w:rPr>
        <w:t>”), dated November 17, 2023, the Company hereby requests that you sell up to [____] of the</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Company’s Common Stock, par value $0.0001 per share, at a minimum market price of $ per share, during the time period beginning [month, day, time] and ending [month, day,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395"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auto"/>
        </w:rPr>
        <w:t>SCHEDULE 2</w:t>
      </w:r>
    </w:p>
    <w:p>
      <w:pPr>
        <w:ind w:left="4320"/>
        <w:spacing w:after="0"/>
        <w:rPr>
          <w:sz w:val="20"/>
          <w:szCs w:val="20"/>
          <w:color w:val="auto"/>
        </w:rPr>
      </w:pPr>
      <w:r>
        <w:rPr>
          <w:rFonts w:ascii="Arial" w:cs="Arial" w:eastAsia="Arial" w:hAnsi="Arial"/>
          <w:sz w:val="22"/>
          <w:szCs w:val="22"/>
          <w:b w:val="1"/>
          <w:bCs w:val="1"/>
          <w:color w:val="auto"/>
        </w:rPr>
        <w:t>________________________</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w:t>
      </w:r>
    </w:p>
    <w:p>
      <w:pPr>
        <w:spacing w:after="0" w:line="27"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The Company shall pay to the relevant Agent in cash, upon each sale by such Agent of Placement Shares pursuant to this Agreement, an amount equal to 3.0% of the gross proceeds from each such sale of Placement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38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80"/>
        </w:trPr>
        <w:tc>
          <w:tcPr>
            <w:tcW w:w="1700" w:type="dxa"/>
            <w:vAlign w:val="bottom"/>
            <w:gridSpan w:val="5"/>
          </w:tcPr>
          <w:p>
            <w:pPr>
              <w:spacing w:after="0"/>
              <w:rPr>
                <w:sz w:val="20"/>
                <w:szCs w:val="20"/>
                <w:color w:val="auto"/>
              </w:rPr>
            </w:pPr>
            <w:r>
              <w:rPr>
                <w:rFonts w:ascii="Arial" w:cs="Arial" w:eastAsia="Arial" w:hAnsi="Arial"/>
                <w:sz w:val="22"/>
                <w:szCs w:val="22"/>
                <w:b w:val="1"/>
                <w:bCs w:val="1"/>
                <w:color w:val="auto"/>
              </w:rPr>
              <w:t>SCHEDULE 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59"/>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6"/>
          </w:tcPr>
          <w:p>
            <w:pPr>
              <w:jc w:val="center"/>
              <w:ind w:left="2352"/>
              <w:spacing w:after="0"/>
              <w:rPr>
                <w:sz w:val="20"/>
                <w:szCs w:val="20"/>
                <w:color w:val="auto"/>
              </w:rPr>
            </w:pPr>
            <w:r>
              <w:rPr>
                <w:rFonts w:ascii="Arial" w:cs="Arial" w:eastAsia="Arial" w:hAnsi="Arial"/>
                <w:sz w:val="22"/>
                <w:szCs w:val="22"/>
                <w:b w:val="1"/>
                <w:bCs w:val="1"/>
                <w:color w:val="auto"/>
                <w:w w:val="88"/>
              </w:rPr>
              <w:t>________________________</w:t>
            </w:r>
          </w:p>
        </w:tc>
      </w:tr>
      <w:tr>
        <w:trPr>
          <w:trHeight w:val="395"/>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jc w:val="center"/>
              <w:ind w:right="372"/>
              <w:spacing w:after="0"/>
              <w:rPr>
                <w:sz w:val="20"/>
                <w:szCs w:val="20"/>
                <w:color w:val="auto"/>
              </w:rPr>
            </w:pPr>
            <w:r>
              <w:rPr>
                <w:rFonts w:ascii="Arial" w:cs="Arial" w:eastAsia="Arial" w:hAnsi="Arial"/>
                <w:sz w:val="22"/>
                <w:szCs w:val="22"/>
                <w:b w:val="1"/>
                <w:bCs w:val="1"/>
                <w:color w:val="auto"/>
                <w:w w:val="87"/>
              </w:rPr>
              <w:t>Notice Parties</w:t>
            </w:r>
          </w:p>
        </w:tc>
      </w:tr>
      <w:tr>
        <w:trPr>
          <w:trHeight w:val="280"/>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6"/>
          </w:tcPr>
          <w:p>
            <w:pPr>
              <w:jc w:val="center"/>
              <w:ind w:left="2352"/>
              <w:spacing w:after="0"/>
              <w:rPr>
                <w:sz w:val="20"/>
                <w:szCs w:val="20"/>
                <w:color w:val="auto"/>
              </w:rPr>
            </w:pPr>
            <w:r>
              <w:rPr>
                <w:rFonts w:ascii="Arial" w:cs="Arial" w:eastAsia="Arial" w:hAnsi="Arial"/>
                <w:sz w:val="22"/>
                <w:szCs w:val="22"/>
                <w:b w:val="1"/>
                <w:bCs w:val="1"/>
                <w:color w:val="auto"/>
                <w:w w:val="88"/>
              </w:rPr>
              <w:t>________________________</w:t>
            </w:r>
          </w:p>
        </w:tc>
      </w:tr>
      <w:tr>
        <w:trPr>
          <w:trHeight w:val="408"/>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8"/>
              </w:rPr>
              <w:t>The Company</w:t>
            </w:r>
          </w:p>
        </w:tc>
        <w:tc>
          <w:tcPr>
            <w:tcW w:w="4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9"/>
        </w:trPr>
        <w:tc>
          <w:tcPr>
            <w:tcW w:w="1700" w:type="dxa"/>
            <w:vAlign w:val="bottom"/>
            <w:gridSpan w:val="5"/>
          </w:tcPr>
          <w:p>
            <w:pPr>
              <w:spacing w:after="0"/>
              <w:rPr>
                <w:sz w:val="20"/>
                <w:szCs w:val="20"/>
                <w:color w:val="auto"/>
              </w:rPr>
            </w:pPr>
            <w:r>
              <w:rPr>
                <w:rFonts w:ascii="Arial" w:cs="Arial" w:eastAsia="Arial" w:hAnsi="Arial"/>
                <w:sz w:val="22"/>
                <w:szCs w:val="22"/>
                <w:color w:val="auto"/>
              </w:rPr>
              <w:t>John H. Coghlin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16"/>
          </w:tcPr>
          <w:p>
            <w:pPr>
              <w:spacing w:after="0"/>
              <w:rPr>
                <w:sz w:val="20"/>
                <w:szCs w:val="20"/>
                <w:color w:val="auto"/>
              </w:rPr>
            </w:pPr>
            <w:r>
              <w:rPr>
                <w:rFonts w:ascii="Arial" w:cs="Arial" w:eastAsia="Arial" w:hAnsi="Arial"/>
                <w:sz w:val="22"/>
                <w:szCs w:val="22"/>
                <w:color w:val="auto"/>
              </w:rPr>
              <w:t>jcoghlin@opalfuels.com</w:t>
            </w:r>
          </w:p>
        </w:tc>
      </w:tr>
      <w:tr>
        <w:trPr>
          <w:trHeight w:val="412"/>
        </w:trPr>
        <w:tc>
          <w:tcPr>
            <w:tcW w:w="1700" w:type="dxa"/>
            <w:vAlign w:val="bottom"/>
            <w:gridSpan w:val="5"/>
          </w:tcPr>
          <w:p>
            <w:pPr>
              <w:spacing w:after="0"/>
              <w:rPr>
                <w:sz w:val="20"/>
                <w:szCs w:val="20"/>
                <w:color w:val="auto"/>
              </w:rPr>
            </w:pPr>
            <w:r>
              <w:rPr>
                <w:rFonts w:ascii="Arial" w:cs="Arial" w:eastAsia="Arial" w:hAnsi="Arial"/>
                <w:sz w:val="22"/>
                <w:szCs w:val="22"/>
                <w:color w:val="auto"/>
              </w:rPr>
              <w:t>Scott Contino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Borders>
              <w:top w:val="single" w:sz="8" w:color="auto"/>
            </w:tcBorders>
            <w:gridSpan w:val="9"/>
          </w:tcPr>
          <w:p>
            <w:pPr>
              <w:spacing w:after="0"/>
              <w:rPr>
                <w:sz w:val="20"/>
                <w:szCs w:val="20"/>
                <w:color w:val="auto"/>
              </w:rPr>
            </w:pPr>
            <w:r>
              <w:rPr>
                <w:rFonts w:ascii="Arial" w:cs="Arial" w:eastAsia="Arial" w:hAnsi="Arial"/>
                <w:sz w:val="22"/>
                <w:szCs w:val="22"/>
                <w:color w:val="auto"/>
                <w:w w:val="93"/>
              </w:rPr>
              <w:t>scontino@fortistar.com</w:t>
            </w:r>
          </w:p>
        </w:tc>
        <w:tc>
          <w:tcPr>
            <w:tcW w:w="2940" w:type="dxa"/>
            <w:vAlign w:val="bottom"/>
            <w:gridSpan w:val="7"/>
          </w:tcPr>
          <w:p>
            <w:pPr>
              <w:spacing w:after="0"/>
              <w:rPr>
                <w:sz w:val="24"/>
                <w:szCs w:val="24"/>
                <w:color w:val="auto"/>
              </w:rPr>
            </w:pPr>
          </w:p>
        </w:tc>
      </w:tr>
      <w:tr>
        <w:trPr>
          <w:trHeight w:val="655"/>
        </w:trPr>
        <w:tc>
          <w:tcPr>
            <w:tcW w:w="16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0"/>
              </w:rPr>
              <w:t>B. Riley Securities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9"/>
        </w:trPr>
        <w:tc>
          <w:tcPr>
            <w:tcW w:w="1860" w:type="dxa"/>
            <w:vAlign w:val="bottom"/>
            <w:gridSpan w:val="7"/>
          </w:tcPr>
          <w:p>
            <w:pPr>
              <w:spacing w:after="0"/>
              <w:rPr>
                <w:sz w:val="20"/>
                <w:szCs w:val="20"/>
                <w:color w:val="auto"/>
              </w:rPr>
            </w:pPr>
            <w:r>
              <w:rPr>
                <w:rFonts w:ascii="Arial" w:cs="Arial" w:eastAsia="Arial" w:hAnsi="Arial"/>
                <w:sz w:val="22"/>
                <w:szCs w:val="22"/>
                <w:color w:val="auto"/>
                <w:w w:val="90"/>
              </w:rPr>
              <w:t>Matthew B. Feinberg</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bottom w:val="single" w:sz="8" w:color="auto"/>
            </w:tcBorders>
            <w:gridSpan w:val="11"/>
          </w:tcPr>
          <w:p>
            <w:pPr>
              <w:jc w:val="right"/>
              <w:spacing w:after="0"/>
              <w:rPr>
                <w:sz w:val="20"/>
                <w:szCs w:val="20"/>
                <w:color w:val="auto"/>
              </w:rPr>
            </w:pPr>
            <w:r>
              <w:rPr>
                <w:rFonts w:ascii="Arial" w:cs="Arial" w:eastAsia="Arial" w:hAnsi="Arial"/>
                <w:sz w:val="22"/>
                <w:szCs w:val="22"/>
                <w:color w:val="auto"/>
                <w:w w:val="91"/>
              </w:rPr>
              <w:t>mfeinberg@brileyfin.com</w:t>
            </w:r>
          </w:p>
        </w:tc>
        <w:tc>
          <w:tcPr>
            <w:tcW w:w="2380" w:type="dxa"/>
            <w:vAlign w:val="bottom"/>
            <w:gridSpan w:val="2"/>
          </w:tcPr>
          <w:p>
            <w:pPr>
              <w:spacing w:after="0"/>
              <w:rPr>
                <w:sz w:val="24"/>
                <w:szCs w:val="24"/>
                <w:color w:val="auto"/>
              </w:rPr>
            </w:pPr>
          </w:p>
        </w:tc>
      </w:tr>
      <w:tr>
        <w:trPr>
          <w:trHeight w:val="439"/>
        </w:trPr>
        <w:tc>
          <w:tcPr>
            <w:tcW w:w="1700" w:type="dxa"/>
            <w:vAlign w:val="bottom"/>
            <w:gridSpan w:val="5"/>
          </w:tcPr>
          <w:p>
            <w:pPr>
              <w:spacing w:after="0"/>
              <w:rPr>
                <w:sz w:val="20"/>
                <w:szCs w:val="20"/>
                <w:color w:val="auto"/>
              </w:rPr>
            </w:pPr>
            <w:r>
              <w:rPr>
                <w:rFonts w:ascii="Arial" w:cs="Arial" w:eastAsia="Arial" w:hAnsi="Arial"/>
                <w:sz w:val="22"/>
                <w:szCs w:val="22"/>
                <w:color w:val="auto"/>
              </w:rPr>
              <w:t>Patrice McNicoll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tcBorders>
              <w:bottom w:val="single" w:sz="8" w:color="auto"/>
            </w:tcBorders>
            <w:gridSpan w:val="9"/>
          </w:tcPr>
          <w:p>
            <w:pPr>
              <w:spacing w:after="0"/>
              <w:rPr>
                <w:sz w:val="20"/>
                <w:szCs w:val="20"/>
                <w:color w:val="auto"/>
              </w:rPr>
            </w:pPr>
            <w:r>
              <w:rPr>
                <w:rFonts w:ascii="Arial" w:cs="Arial" w:eastAsia="Arial" w:hAnsi="Arial"/>
                <w:sz w:val="22"/>
                <w:szCs w:val="22"/>
                <w:color w:val="auto"/>
                <w:w w:val="93"/>
              </w:rPr>
              <w:t>pmcnicoll@brileyfin.com</w:t>
            </w:r>
          </w:p>
        </w:tc>
        <w:tc>
          <w:tcPr>
            <w:tcW w:w="2760" w:type="dxa"/>
            <w:vAlign w:val="bottom"/>
            <w:gridSpan w:val="6"/>
          </w:tcPr>
          <w:p>
            <w:pPr>
              <w:spacing w:after="0"/>
              <w:rPr>
                <w:sz w:val="24"/>
                <w:szCs w:val="24"/>
                <w:color w:val="auto"/>
              </w:rPr>
            </w:pPr>
          </w:p>
        </w:tc>
      </w:tr>
      <w:tr>
        <w:trPr>
          <w:trHeight w:val="439"/>
        </w:trPr>
        <w:tc>
          <w:tcPr>
            <w:tcW w:w="1700" w:type="dxa"/>
            <w:vAlign w:val="bottom"/>
            <w:gridSpan w:val="5"/>
          </w:tcPr>
          <w:p>
            <w:pPr>
              <w:spacing w:after="0"/>
              <w:rPr>
                <w:sz w:val="20"/>
                <w:szCs w:val="20"/>
                <w:color w:val="auto"/>
              </w:rPr>
            </w:pPr>
            <w:r>
              <w:rPr>
                <w:rFonts w:ascii="Arial" w:cs="Arial" w:eastAsia="Arial" w:hAnsi="Arial"/>
                <w:sz w:val="22"/>
                <w:szCs w:val="22"/>
                <w:color w:val="auto"/>
              </w:rPr>
              <w:t>Keith Pompliano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0" w:type="dxa"/>
            <w:vAlign w:val="bottom"/>
            <w:tcBorders>
              <w:bottom w:val="single" w:sz="8" w:color="auto"/>
            </w:tcBorders>
            <w:gridSpan w:val="11"/>
          </w:tcPr>
          <w:p>
            <w:pPr>
              <w:spacing w:after="0"/>
              <w:rPr>
                <w:sz w:val="20"/>
                <w:szCs w:val="20"/>
                <w:color w:val="auto"/>
              </w:rPr>
            </w:pPr>
            <w:r>
              <w:rPr>
                <w:rFonts w:ascii="Arial" w:cs="Arial" w:eastAsia="Arial" w:hAnsi="Arial"/>
                <w:sz w:val="22"/>
                <w:szCs w:val="22"/>
                <w:color w:val="auto"/>
                <w:w w:val="92"/>
              </w:rPr>
              <w:t>kpompliano@brileyfin.com</w:t>
            </w:r>
          </w:p>
        </w:tc>
        <w:tc>
          <w:tcPr>
            <w:tcW w:w="2600" w:type="dxa"/>
            <w:vAlign w:val="bottom"/>
            <w:gridSpan w:val="4"/>
          </w:tcPr>
          <w:p>
            <w:pPr>
              <w:spacing w:after="0"/>
              <w:rPr>
                <w:sz w:val="24"/>
                <w:szCs w:val="24"/>
                <w:color w:val="auto"/>
              </w:rPr>
            </w:pPr>
          </w:p>
        </w:tc>
      </w:tr>
      <w:tr>
        <w:trPr>
          <w:trHeight w:val="439"/>
        </w:trPr>
        <w:tc>
          <w:tcPr>
            <w:tcW w:w="1700" w:type="dxa"/>
            <w:vAlign w:val="bottom"/>
            <w:gridSpan w:val="5"/>
          </w:tcPr>
          <w:p>
            <w:pPr>
              <w:spacing w:after="0"/>
              <w:rPr>
                <w:sz w:val="20"/>
                <w:szCs w:val="20"/>
                <w:color w:val="auto"/>
              </w:rPr>
            </w:pPr>
            <w:r>
              <w:rPr>
                <w:rFonts w:ascii="Arial" w:cs="Arial" w:eastAsia="Arial" w:hAnsi="Arial"/>
                <w:sz w:val="22"/>
                <w:szCs w:val="22"/>
                <w:color w:val="auto"/>
              </w:rPr>
              <w:t>Scott Ammaturo</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10"/>
          </w:tcPr>
          <w:p>
            <w:pPr>
              <w:spacing w:after="0"/>
              <w:rPr>
                <w:sz w:val="20"/>
                <w:szCs w:val="20"/>
                <w:color w:val="auto"/>
              </w:rPr>
            </w:pPr>
            <w:r>
              <w:rPr>
                <w:rFonts w:ascii="Arial" w:cs="Arial" w:eastAsia="Arial" w:hAnsi="Arial"/>
                <w:sz w:val="22"/>
                <w:szCs w:val="22"/>
                <w:color w:val="auto"/>
                <w:w w:val="90"/>
              </w:rPr>
              <w:t>sammaturo@brileyfin.com</w:t>
            </w:r>
          </w:p>
        </w:tc>
        <w:tc>
          <w:tcPr>
            <w:tcW w:w="2660" w:type="dxa"/>
            <w:vAlign w:val="bottom"/>
            <w:gridSpan w:val="5"/>
          </w:tcPr>
          <w:p>
            <w:pPr>
              <w:spacing w:after="0"/>
              <w:rPr>
                <w:sz w:val="24"/>
                <w:szCs w:val="24"/>
                <w:color w:val="auto"/>
              </w:rPr>
            </w:pPr>
          </w:p>
        </w:tc>
      </w:tr>
      <w:tr>
        <w:trPr>
          <w:trHeight w:val="439"/>
        </w:trPr>
        <w:tc>
          <w:tcPr>
            <w:tcW w:w="6920" w:type="dxa"/>
            <w:vAlign w:val="bottom"/>
            <w:gridSpan w:val="23"/>
          </w:tcPr>
          <w:p>
            <w:pPr>
              <w:spacing w:after="0"/>
              <w:rPr>
                <w:sz w:val="20"/>
                <w:szCs w:val="20"/>
                <w:color w:val="auto"/>
              </w:rPr>
            </w:pPr>
            <w:r>
              <w:rPr>
                <w:rFonts w:ascii="Arial" w:cs="Arial" w:eastAsia="Arial" w:hAnsi="Arial"/>
                <w:sz w:val="22"/>
                <w:szCs w:val="22"/>
                <w:color w:val="auto"/>
              </w:rPr>
              <w:t>with a copy to atmdesk@brileyfin.com</w:t>
            </w:r>
          </w:p>
        </w:tc>
      </w:tr>
      <w:tr>
        <w:trPr>
          <w:trHeight w:val="20"/>
        </w:trPr>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682"/>
        </w:trPr>
        <w:tc>
          <w:tcPr>
            <w:tcW w:w="6920" w:type="dxa"/>
            <w:vAlign w:val="bottom"/>
            <w:gridSpan w:val="23"/>
          </w:tcPr>
          <w:p>
            <w:pPr>
              <w:spacing w:after="0"/>
              <w:rPr>
                <w:sz w:val="20"/>
                <w:szCs w:val="20"/>
                <w:color w:val="auto"/>
              </w:rPr>
            </w:pPr>
            <w:r>
              <w:rPr>
                <w:rFonts w:ascii="Arial" w:cs="Arial" w:eastAsia="Arial" w:hAnsi="Arial"/>
                <w:sz w:val="22"/>
                <w:szCs w:val="22"/>
                <w:color w:val="auto"/>
              </w:rPr>
              <w:t>Cantor Fitzgerald &amp; Co.</w:t>
            </w:r>
          </w:p>
        </w:tc>
      </w:tr>
      <w:tr>
        <w:trPr>
          <w:trHeight w:val="20"/>
        </w:trPr>
        <w:tc>
          <w:tcPr>
            <w:tcW w:w="880" w:type="dxa"/>
            <w:vAlign w:val="bottom"/>
            <w:shd w:val="clear" w:color="auto" w:fill="000000"/>
          </w:tcPr>
          <w:p>
            <w:pPr>
              <w:spacing w:after="0" w:line="20" w:lineRule="exact"/>
              <w:rPr>
                <w:sz w:val="1"/>
                <w:szCs w:val="1"/>
                <w:color w:val="auto"/>
              </w:rPr>
            </w:pPr>
          </w:p>
        </w:tc>
        <w:tc>
          <w:tcPr>
            <w:tcW w:w="820" w:type="dxa"/>
            <w:vAlign w:val="bottom"/>
            <w:gridSpan w:val="4"/>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39"/>
        </w:trPr>
        <w:tc>
          <w:tcPr>
            <w:tcW w:w="1700" w:type="dxa"/>
            <w:vAlign w:val="bottom"/>
            <w:gridSpan w:val="5"/>
          </w:tcPr>
          <w:p>
            <w:pPr>
              <w:spacing w:after="0"/>
              <w:rPr>
                <w:sz w:val="20"/>
                <w:szCs w:val="20"/>
                <w:color w:val="auto"/>
              </w:rPr>
            </w:pPr>
            <w:r>
              <w:rPr>
                <w:rFonts w:ascii="Arial" w:cs="Arial" w:eastAsia="Arial" w:hAnsi="Arial"/>
                <w:sz w:val="22"/>
                <w:szCs w:val="22"/>
                <w:color w:val="auto"/>
                <w:w w:val="99"/>
              </w:rPr>
              <w:t>Sameer Vasudev</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Borders>
              <w:bottom w:val="single" w:sz="8" w:color="auto"/>
            </w:tcBorders>
            <w:gridSpan w:val="6"/>
          </w:tcPr>
          <w:p>
            <w:pPr>
              <w:spacing w:after="0"/>
              <w:rPr>
                <w:sz w:val="20"/>
                <w:szCs w:val="20"/>
                <w:color w:val="auto"/>
              </w:rPr>
            </w:pPr>
            <w:r>
              <w:rPr>
                <w:rFonts w:ascii="Arial" w:cs="Arial" w:eastAsia="Arial" w:hAnsi="Arial"/>
                <w:sz w:val="22"/>
                <w:szCs w:val="22"/>
                <w:color w:val="auto"/>
                <w:w w:val="83"/>
              </w:rPr>
              <w:t>svasudev@cantor.com</w:t>
            </w:r>
          </w:p>
        </w:tc>
        <w:tc>
          <w:tcPr>
            <w:tcW w:w="3100" w:type="dxa"/>
            <w:vAlign w:val="bottom"/>
            <w:gridSpan w:val="9"/>
          </w:tcPr>
          <w:p>
            <w:pPr>
              <w:spacing w:after="0"/>
              <w:rPr>
                <w:sz w:val="24"/>
                <w:szCs w:val="24"/>
                <w:color w:val="auto"/>
              </w:rPr>
            </w:pPr>
          </w:p>
        </w:tc>
      </w:tr>
      <w:tr>
        <w:trPr>
          <w:trHeight w:val="439"/>
        </w:trPr>
        <w:tc>
          <w:tcPr>
            <w:tcW w:w="1700" w:type="dxa"/>
            <w:vAlign w:val="bottom"/>
            <w:gridSpan w:val="5"/>
          </w:tcPr>
          <w:p>
            <w:pPr>
              <w:spacing w:after="0"/>
              <w:rPr>
                <w:sz w:val="20"/>
                <w:szCs w:val="20"/>
                <w:color w:val="auto"/>
              </w:rPr>
            </w:pPr>
            <w:r>
              <w:rPr>
                <w:rFonts w:ascii="Arial" w:cs="Arial" w:eastAsia="Arial" w:hAnsi="Arial"/>
                <w:sz w:val="22"/>
                <w:szCs w:val="22"/>
                <w:color w:val="auto"/>
                <w:w w:val="94"/>
              </w:rPr>
              <w:t>Matthew Crawford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20" w:type="dxa"/>
            <w:vAlign w:val="bottom"/>
            <w:gridSpan w:val="14"/>
          </w:tcPr>
          <w:p>
            <w:pPr>
              <w:spacing w:after="0"/>
              <w:rPr>
                <w:sz w:val="20"/>
                <w:szCs w:val="20"/>
                <w:color w:val="auto"/>
              </w:rPr>
            </w:pPr>
            <w:r>
              <w:rPr>
                <w:rFonts w:ascii="Arial" w:cs="Arial" w:eastAsia="Arial" w:hAnsi="Arial"/>
                <w:sz w:val="22"/>
                <w:szCs w:val="22"/>
                <w:color w:val="auto"/>
              </w:rPr>
              <w:t>matthew.crawford@cantor.com</w:t>
            </w:r>
          </w:p>
        </w:tc>
      </w:tr>
      <w:tr>
        <w:trPr>
          <w:trHeight w:val="20"/>
        </w:trPr>
        <w:tc>
          <w:tcPr>
            <w:tcW w:w="88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7"/>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39"/>
        </w:trPr>
        <w:tc>
          <w:tcPr>
            <w:tcW w:w="880" w:type="dxa"/>
            <w:vAlign w:val="bottom"/>
          </w:tcPr>
          <w:p>
            <w:pPr>
              <w:spacing w:after="0"/>
              <w:rPr>
                <w:sz w:val="24"/>
                <w:szCs w:val="24"/>
                <w:color w:val="auto"/>
              </w:rPr>
            </w:pPr>
          </w:p>
        </w:tc>
        <w:tc>
          <w:tcPr>
            <w:tcW w:w="6040" w:type="dxa"/>
            <w:vAlign w:val="bottom"/>
            <w:gridSpan w:val="22"/>
          </w:tcPr>
          <w:p>
            <w:pPr>
              <w:jc w:val="right"/>
              <w:ind w:right="2292"/>
              <w:spacing w:after="0"/>
              <w:rPr>
                <w:sz w:val="20"/>
                <w:szCs w:val="20"/>
                <w:color w:val="auto"/>
              </w:rPr>
            </w:pPr>
            <w:r>
              <w:rPr>
                <w:rFonts w:ascii="Arial" w:cs="Arial" w:eastAsia="Arial" w:hAnsi="Arial"/>
                <w:sz w:val="22"/>
                <w:szCs w:val="22"/>
                <w:color w:val="auto"/>
                <w:w w:val="90"/>
              </w:rPr>
              <w:t>CFControlledEquityOffering@cantor.com</w:t>
            </w:r>
          </w:p>
        </w:tc>
      </w:tr>
      <w:tr>
        <w:trPr>
          <w:trHeight w:val="20"/>
        </w:trPr>
        <w:tc>
          <w:tcPr>
            <w:tcW w:w="880" w:type="dxa"/>
            <w:vAlign w:val="bottom"/>
          </w:tcPr>
          <w:p>
            <w:pPr>
              <w:spacing w:after="0" w:line="20" w:lineRule="exact"/>
              <w:rPr>
                <w:sz w:val="1"/>
                <w:szCs w:val="1"/>
                <w:color w:val="auto"/>
              </w:rPr>
            </w:pPr>
          </w:p>
        </w:tc>
        <w:tc>
          <w:tcPr>
            <w:tcW w:w="860" w:type="dxa"/>
            <w:vAlign w:val="bottom"/>
            <w:gridSpan w:val="5"/>
            <w:shd w:val="clear" w:color="auto" w:fill="000000"/>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16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gridSpan w:val="7"/>
            <w:shd w:val="clear" w:color="auto" w:fill="000000"/>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r>
      <w:tr>
        <w:trPr>
          <w:trHeight w:val="682"/>
        </w:trPr>
        <w:tc>
          <w:tcPr>
            <w:tcW w:w="6920" w:type="dxa"/>
            <w:vAlign w:val="bottom"/>
            <w:gridSpan w:val="23"/>
          </w:tcPr>
          <w:p>
            <w:pPr>
              <w:spacing w:after="0"/>
              <w:rPr>
                <w:sz w:val="20"/>
                <w:szCs w:val="20"/>
                <w:color w:val="auto"/>
              </w:rPr>
            </w:pPr>
            <w:r>
              <w:rPr>
                <w:rFonts w:ascii="Arial" w:cs="Arial" w:eastAsia="Arial" w:hAnsi="Arial"/>
                <w:sz w:val="22"/>
                <w:szCs w:val="22"/>
                <w:color w:val="auto"/>
              </w:rPr>
              <w:t>Stifel, Nicolaus &amp; Company, Incorporated</w:t>
            </w:r>
          </w:p>
        </w:tc>
      </w:tr>
      <w:tr>
        <w:trPr>
          <w:trHeight w:val="439"/>
        </w:trPr>
        <w:tc>
          <w:tcPr>
            <w:tcW w:w="1700" w:type="dxa"/>
            <w:vAlign w:val="bottom"/>
            <w:tcBorders>
              <w:top w:val="single" w:sz="8" w:color="auto"/>
            </w:tcBorders>
            <w:gridSpan w:val="5"/>
          </w:tcPr>
          <w:p>
            <w:pPr>
              <w:spacing w:after="0"/>
              <w:rPr>
                <w:sz w:val="20"/>
                <w:szCs w:val="20"/>
                <w:color w:val="auto"/>
              </w:rPr>
            </w:pPr>
            <w:r>
              <w:rPr>
                <w:rFonts w:ascii="Arial" w:cs="Arial" w:eastAsia="Arial" w:hAnsi="Arial"/>
                <w:sz w:val="22"/>
                <w:szCs w:val="22"/>
                <w:color w:val="auto"/>
              </w:rPr>
              <w:t>Daniel Covatta</w:t>
            </w:r>
          </w:p>
        </w:tc>
        <w:tc>
          <w:tcPr>
            <w:tcW w:w="40" w:type="dxa"/>
            <w:vAlign w:val="bottom"/>
            <w:tcBorders>
              <w:top w:val="single" w:sz="8" w:color="auto"/>
            </w:tcBorders>
          </w:tcPr>
          <w:p>
            <w:pPr>
              <w:spacing w:after="0"/>
              <w:rPr>
                <w:sz w:val="24"/>
                <w:szCs w:val="24"/>
                <w:color w:val="auto"/>
              </w:rPr>
            </w:pPr>
          </w:p>
        </w:tc>
        <w:tc>
          <w:tcPr>
            <w:tcW w:w="182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22"/>
                <w:szCs w:val="22"/>
                <w:color w:val="auto"/>
                <w:w w:val="89"/>
              </w:rPr>
              <w:t>dcovatta@stifel.com</w:t>
            </w:r>
          </w:p>
        </w:tc>
        <w:tc>
          <w:tcPr>
            <w:tcW w:w="100" w:type="dxa"/>
            <w:vAlign w:val="bottom"/>
            <w:tcBorders>
              <w:top w:val="single" w:sz="8" w:color="auto"/>
            </w:tcBorders>
          </w:tcPr>
          <w:p>
            <w:pPr>
              <w:spacing w:after="0"/>
              <w:rPr>
                <w:sz w:val="24"/>
                <w:szCs w:val="24"/>
                <w:color w:val="auto"/>
              </w:rPr>
            </w:pPr>
          </w:p>
        </w:tc>
        <w:tc>
          <w:tcPr>
            <w:tcW w:w="3260" w:type="dxa"/>
            <w:vAlign w:val="bottom"/>
            <w:gridSpan w:val="10"/>
          </w:tcPr>
          <w:p>
            <w:pPr>
              <w:spacing w:after="0"/>
              <w:rPr>
                <w:sz w:val="24"/>
                <w:szCs w:val="24"/>
                <w:color w:val="auto"/>
              </w:rPr>
            </w:pPr>
          </w:p>
        </w:tc>
      </w:tr>
      <w:tr>
        <w:trPr>
          <w:trHeight w:val="439"/>
        </w:trPr>
        <w:tc>
          <w:tcPr>
            <w:tcW w:w="1700" w:type="dxa"/>
            <w:vAlign w:val="bottom"/>
            <w:gridSpan w:val="5"/>
          </w:tcPr>
          <w:p>
            <w:pPr>
              <w:spacing w:after="0"/>
              <w:rPr>
                <w:sz w:val="20"/>
                <w:szCs w:val="20"/>
                <w:color w:val="auto"/>
              </w:rPr>
            </w:pPr>
            <w:r>
              <w:rPr>
                <w:rFonts w:ascii="Arial" w:cs="Arial" w:eastAsia="Arial" w:hAnsi="Arial"/>
                <w:sz w:val="22"/>
                <w:szCs w:val="22"/>
                <w:color w:val="auto"/>
              </w:rPr>
              <w:t>Michael Chien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gridSpan w:val="15"/>
          </w:tcPr>
          <w:p>
            <w:pPr>
              <w:spacing w:after="0"/>
              <w:rPr>
                <w:sz w:val="20"/>
                <w:szCs w:val="20"/>
                <w:color w:val="auto"/>
              </w:rPr>
            </w:pPr>
            <w:r>
              <w:rPr>
                <w:rFonts w:ascii="Arial" w:cs="Arial" w:eastAsia="Arial" w:hAnsi="Arial"/>
                <w:sz w:val="22"/>
                <w:szCs w:val="22"/>
                <w:color w:val="auto"/>
              </w:rPr>
              <w:t>mchien@stifel.com</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0139"/>
          </w:cols>
          <w:pgMar w:left="320" w:top="1395" w:right="1440" w:bottom="1440" w:gutter="0" w:footer="0" w:header="0"/>
        </w:sectPr>
      </w:pPr>
    </w:p>
    <w:bookmarkStart w:id="45" w:name="page46"/>
    <w:bookmarkEnd w:id="45"/>
    <w:p>
      <w:pPr>
        <w:spacing w:after="0" w:line="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7(1)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Representation Date Certificate</w:t>
      </w:r>
    </w:p>
    <w:p>
      <w:pPr>
        <w:spacing w:after="0" w:line="220"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___________, 20___</w:t>
      </w:r>
    </w:p>
    <w:p>
      <w:pPr>
        <w:spacing w:after="0" w:line="200" w:lineRule="exact"/>
        <w:rPr>
          <w:sz w:val="20"/>
          <w:szCs w:val="20"/>
          <w:color w:val="auto"/>
        </w:rPr>
      </w:pPr>
    </w:p>
    <w:p>
      <w:pPr>
        <w:spacing w:after="0" w:line="201" w:lineRule="exact"/>
        <w:rPr>
          <w:sz w:val="20"/>
          <w:szCs w:val="20"/>
          <w:color w:val="auto"/>
        </w:rPr>
      </w:pPr>
    </w:p>
    <w:p>
      <w:pPr>
        <w:jc w:val="both"/>
        <w:ind w:firstLine="583"/>
        <w:spacing w:after="0" w:line="233" w:lineRule="auto"/>
        <w:rPr>
          <w:sz w:val="20"/>
          <w:szCs w:val="20"/>
          <w:color w:val="auto"/>
        </w:rPr>
      </w:pPr>
      <w:r>
        <w:rPr>
          <w:rFonts w:ascii="Arial" w:cs="Arial" w:eastAsia="Arial" w:hAnsi="Arial"/>
          <w:sz w:val="22"/>
          <w:szCs w:val="22"/>
          <w:color w:val="auto"/>
        </w:rPr>
        <w:t>This Representation Date Certificate (this “</w:t>
      </w: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is executed and delivered in connection with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of the At Market Issuance Sales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November 17, 2023, and entered into among Opal Fuels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B. Riley Securities, Inc., Cantor Fitzgerald &amp; Co. and Stifel, Nicolaus &amp; Company, Incorporated (the “</w:t>
      </w:r>
      <w:r>
        <w:rPr>
          <w:rFonts w:ascii="Arial" w:cs="Arial" w:eastAsia="Arial" w:hAnsi="Arial"/>
          <w:sz w:val="22"/>
          <w:szCs w:val="22"/>
          <w:u w:val="single" w:color="auto"/>
          <w:color w:val="auto"/>
        </w:rPr>
        <w:t>Agents</w:t>
      </w:r>
      <w:r>
        <w:rPr>
          <w:rFonts w:ascii="Arial" w:cs="Arial" w:eastAsia="Arial" w:hAnsi="Arial"/>
          <w:sz w:val="22"/>
          <w:szCs w:val="22"/>
          <w:color w:val="auto"/>
        </w:rPr>
        <w:t>”). All capitalized terms used but not defined herein shall have the meanings given to such terms in the Agreement.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hereby certifies as follows:</w:t>
      </w:r>
    </w:p>
    <w:p>
      <w:pPr>
        <w:spacing w:after="0" w:line="179" w:lineRule="exact"/>
        <w:rPr>
          <w:sz w:val="20"/>
          <w:szCs w:val="20"/>
          <w:color w:val="auto"/>
        </w:rPr>
      </w:pPr>
    </w:p>
    <w:p>
      <w:pPr>
        <w:jc w:val="both"/>
        <w:ind w:firstLine="721"/>
        <w:spacing w:after="0" w:line="229" w:lineRule="auto"/>
        <w:tabs>
          <w:tab w:leader="none" w:pos="1307" w:val="left"/>
        </w:tabs>
        <w:numPr>
          <w:ilvl w:val="0"/>
          <w:numId w:val="39"/>
        </w:numPr>
        <w:rPr>
          <w:rFonts w:ascii="Arial" w:cs="Arial" w:eastAsia="Arial" w:hAnsi="Arial"/>
          <w:sz w:val="23"/>
          <w:szCs w:val="23"/>
          <w:color w:val="auto"/>
        </w:rPr>
      </w:pPr>
      <w:r>
        <w:rPr>
          <w:rFonts w:ascii="Arial" w:cs="Arial" w:eastAsia="Arial" w:hAnsi="Arial"/>
          <w:sz w:val="22"/>
          <w:szCs w:val="22"/>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spacing w:after="0" w:line="175" w:lineRule="exact"/>
        <w:rPr>
          <w:rFonts w:ascii="Arial" w:cs="Arial" w:eastAsia="Arial" w:hAnsi="Arial"/>
          <w:sz w:val="23"/>
          <w:szCs w:val="23"/>
          <w:color w:val="auto"/>
        </w:rPr>
      </w:pPr>
    </w:p>
    <w:p>
      <w:pPr>
        <w:jc w:val="both"/>
        <w:ind w:firstLine="721"/>
        <w:spacing w:after="0" w:line="232" w:lineRule="auto"/>
        <w:tabs>
          <w:tab w:leader="none" w:pos="1307" w:val="left"/>
        </w:tabs>
        <w:numPr>
          <w:ilvl w:val="0"/>
          <w:numId w:val="39"/>
        </w:numPr>
        <w:rPr>
          <w:rFonts w:ascii="Arial" w:cs="Arial" w:eastAsia="Arial" w:hAnsi="Arial"/>
          <w:sz w:val="23"/>
          <w:szCs w:val="23"/>
          <w:color w:val="auto"/>
        </w:rPr>
      </w:pPr>
      <w:r>
        <w:rPr>
          <w:rFonts w:ascii="Arial" w:cs="Arial" w:eastAsia="Arial" w:hAnsi="Arial"/>
          <w:sz w:val="22"/>
          <w:szCs w:val="22"/>
          <w:color w:val="auto"/>
        </w:rPr>
        <w:t>Each of the representations and warranties of the Company contained in the Agreement were, when originally made, and are, as of the date of this Certificate, true and correct in all material respects (unless such representation or warranty specifies a different date or time, in which case such representation or warranty is true and correct in all material respects as of such date or time, as applicable).</w:t>
      </w:r>
    </w:p>
    <w:p>
      <w:pPr>
        <w:spacing w:after="0" w:line="158" w:lineRule="exact"/>
        <w:rPr>
          <w:rFonts w:ascii="Arial" w:cs="Arial" w:eastAsia="Arial" w:hAnsi="Arial"/>
          <w:sz w:val="23"/>
          <w:szCs w:val="23"/>
          <w:color w:val="auto"/>
        </w:rPr>
      </w:pPr>
    </w:p>
    <w:p>
      <w:pPr>
        <w:jc w:val="both"/>
        <w:ind w:firstLine="721"/>
        <w:spacing w:after="0" w:line="278" w:lineRule="auto"/>
        <w:tabs>
          <w:tab w:leader="none" w:pos="1307" w:val="left"/>
        </w:tabs>
        <w:numPr>
          <w:ilvl w:val="0"/>
          <w:numId w:val="39"/>
        </w:numPr>
        <w:rPr>
          <w:rFonts w:ascii="Arial" w:cs="Arial" w:eastAsia="Arial" w:hAnsi="Arial"/>
          <w:sz w:val="20"/>
          <w:szCs w:val="20"/>
          <w:color w:val="auto"/>
        </w:rPr>
      </w:pPr>
      <w:r>
        <w:rPr>
          <w:rFonts w:ascii="Arial" w:cs="Arial" w:eastAsia="Arial" w:hAnsi="Arial"/>
          <w:sz w:val="19"/>
          <w:szCs w:val="19"/>
          <w:color w:val="auto"/>
        </w:rPr>
        <w:t>Except as waived by the Agents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165" w:lineRule="exact"/>
        <w:rPr>
          <w:rFonts w:ascii="Arial" w:cs="Arial" w:eastAsia="Arial" w:hAnsi="Arial"/>
          <w:sz w:val="20"/>
          <w:szCs w:val="20"/>
          <w:color w:val="auto"/>
        </w:rPr>
      </w:pPr>
    </w:p>
    <w:p>
      <w:pPr>
        <w:ind w:firstLine="721"/>
        <w:spacing w:after="0"/>
        <w:tabs>
          <w:tab w:leader="none" w:pos="1307" w:val="left"/>
        </w:tabs>
        <w:numPr>
          <w:ilvl w:val="0"/>
          <w:numId w:val="39"/>
        </w:numPr>
        <w:rPr>
          <w:rFonts w:ascii="Arial" w:cs="Arial" w:eastAsia="Arial" w:hAnsi="Arial"/>
          <w:sz w:val="23"/>
          <w:szCs w:val="23"/>
          <w:color w:val="auto"/>
        </w:rPr>
      </w:pPr>
      <w:r>
        <w:rPr>
          <w:rFonts w:ascii="Arial" w:cs="Arial" w:eastAsia="Arial" w:hAnsi="Arial"/>
          <w:sz w:val="22"/>
          <w:szCs w:val="22"/>
          <w:color w:val="auto"/>
        </w:rPr>
        <w:t>Subsequent to the date of the most recent financial statements in the Prospectus, and except as described in the Prospectus, including the Incorporated Documents, there has been no Material Adverse Effect.</w:t>
      </w:r>
    </w:p>
    <w:p>
      <w:pPr>
        <w:spacing w:after="0" w:line="171" w:lineRule="exact"/>
        <w:rPr>
          <w:rFonts w:ascii="Arial" w:cs="Arial" w:eastAsia="Arial" w:hAnsi="Arial"/>
          <w:sz w:val="23"/>
          <w:szCs w:val="23"/>
          <w:color w:val="auto"/>
        </w:rPr>
      </w:pPr>
    </w:p>
    <w:p>
      <w:pPr>
        <w:jc w:val="both"/>
        <w:ind w:firstLine="721"/>
        <w:spacing w:after="0" w:line="251" w:lineRule="auto"/>
        <w:tabs>
          <w:tab w:leader="none" w:pos="1307" w:val="left"/>
        </w:tabs>
        <w:numPr>
          <w:ilvl w:val="0"/>
          <w:numId w:val="39"/>
        </w:numPr>
        <w:rPr>
          <w:rFonts w:ascii="Arial" w:cs="Arial" w:eastAsia="Arial" w:hAnsi="Arial"/>
          <w:sz w:val="22"/>
          <w:szCs w:val="22"/>
          <w:color w:val="auto"/>
        </w:rPr>
      </w:pPr>
      <w:r>
        <w:rPr>
          <w:rFonts w:ascii="Arial" w:cs="Arial" w:eastAsia="Arial" w:hAnsi="Arial"/>
          <w:sz w:val="21"/>
          <w:szCs w:val="21"/>
          <w:color w:val="auto"/>
        </w:rPr>
        <w:t>No stop order suspending the effectiveness of the Registration Statement or of any part thereof has been issued, and no proceedings for that purpose have been instituted or are pending or, to the Company’s knowledge, threatened by any securities or other governmental authority (including, without limitation,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77" w:lineRule="exact"/>
        <w:rPr>
          <w:sz w:val="20"/>
          <w:szCs w:val="20"/>
          <w:color w:val="auto"/>
        </w:rPr>
      </w:pPr>
    </w:p>
    <w:p>
      <w:pPr>
        <w:jc w:val="both"/>
        <w:ind w:firstLine="721"/>
        <w:spacing w:after="0" w:line="235" w:lineRule="auto"/>
        <w:tabs>
          <w:tab w:leader="none" w:pos="1307" w:val="left"/>
        </w:tabs>
        <w:numPr>
          <w:ilvl w:val="0"/>
          <w:numId w:val="40"/>
        </w:numPr>
        <w:rPr>
          <w:rFonts w:ascii="Arial" w:cs="Arial" w:eastAsia="Arial" w:hAnsi="Arial"/>
          <w:sz w:val="23"/>
          <w:szCs w:val="23"/>
          <w:color w:val="auto"/>
        </w:rPr>
      </w:pPr>
      <w:r>
        <w:rPr>
          <w:rFonts w:ascii="Arial" w:cs="Arial" w:eastAsia="Arial" w:hAnsi="Arial"/>
          <w:sz w:val="22"/>
          <w:szCs w:val="22"/>
          <w:color w:val="auto"/>
        </w:rPr>
        <w:t>No order suspending the effectiveness of the Registration Statement or the qualification or registration of the Placement Shares under the securities or Blue Sky laws of any jurisdiction are in effect and no proceeding for such purpose is pending before, or threatened, to the Company’s knowledge or in writing by, any securities or other governmental authority (including, without limitation, the Commission).</w:t>
      </w:r>
    </w:p>
    <w:p>
      <w:pPr>
        <w:spacing w:after="0" w:line="388" w:lineRule="exact"/>
        <w:rPr>
          <w:sz w:val="20"/>
          <w:szCs w:val="20"/>
          <w:color w:val="auto"/>
        </w:rPr>
      </w:pPr>
    </w:p>
    <w:p>
      <w:pPr>
        <w:jc w:val="center"/>
        <w:ind w:right="1300"/>
        <w:spacing w:after="0"/>
        <w:rPr>
          <w:sz w:val="20"/>
          <w:szCs w:val="20"/>
          <w:color w:val="auto"/>
        </w:rPr>
      </w:pPr>
      <w:r>
        <w:rPr>
          <w:rFonts w:ascii="Arial" w:cs="Arial" w:eastAsia="Arial" w:hAnsi="Arial"/>
          <w:sz w:val="22"/>
          <w:szCs w:val="22"/>
          <w:color w:val="auto"/>
        </w:rPr>
        <w:t>The undersigned has executed this Representation Date Certificate as of the date first written above.</w:t>
      </w:r>
    </w:p>
    <w:p>
      <w:pPr>
        <w:spacing w:after="0" w:line="187" w:lineRule="exact"/>
        <w:rPr>
          <w:sz w:val="20"/>
          <w:szCs w:val="20"/>
          <w:color w:val="auto"/>
        </w:rPr>
      </w:pPr>
    </w:p>
    <w:p>
      <w:pPr>
        <w:jc w:val="center"/>
        <w:ind w:right="1360"/>
        <w:spacing w:after="0"/>
        <w:rPr>
          <w:sz w:val="20"/>
          <w:szCs w:val="20"/>
          <w:color w:val="auto"/>
        </w:rPr>
      </w:pPr>
      <w:r>
        <w:rPr>
          <w:rFonts w:ascii="Arial" w:cs="Arial" w:eastAsia="Arial" w:hAnsi="Arial"/>
          <w:sz w:val="22"/>
          <w:szCs w:val="22"/>
          <w:b w:val="1"/>
          <w:bCs w:val="1"/>
          <w:color w:val="auto"/>
        </w:rPr>
        <w:t>OPAL FUELS INC.</w:t>
      </w:r>
    </w:p>
    <w:p>
      <w:pPr>
        <w:spacing w:after="0" w:line="200" w:lineRule="exact"/>
        <w:rPr>
          <w:sz w:val="20"/>
          <w:szCs w:val="20"/>
          <w:color w:val="auto"/>
        </w:rPr>
      </w:pPr>
    </w:p>
    <w:p>
      <w:pPr>
        <w:spacing w:after="0" w:line="228"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330" w:lineRule="exact"/>
        <w:rPr>
          <w:sz w:val="20"/>
          <w:szCs w:val="20"/>
          <w:color w:val="auto"/>
        </w:rPr>
      </w:pPr>
    </w:p>
    <w:p>
      <w:pPr>
        <w:ind w:left="74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-69215</wp:posOffset>
            </wp:positionV>
            <wp:extent cx="21945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27"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p>
      <w:pPr>
        <w:sectPr>
          <w:pgSz w:w="11900" w:h="16838" w:orient="portrait"/>
          <w:cols w:equalWidth="0" w:num="1">
            <w:col w:w="11240"/>
          </w:cols>
          <w:pgMar w:left="320" w:top="1440" w:right="339" w:bottom="1440" w:gutter="0" w:footer="0" w:header="0"/>
        </w:sectPr>
      </w:pPr>
    </w:p>
    <w:bookmarkStart w:id="47" w:name="page48"/>
    <w:bookmarkEnd w:id="47"/>
    <w:p>
      <w:pPr>
        <w:jc w:val="center"/>
        <w:ind w:right="-1100"/>
        <w:spacing w:after="0"/>
        <w:rPr>
          <w:sz w:val="20"/>
          <w:szCs w:val="20"/>
          <w:color w:val="auto"/>
        </w:rPr>
      </w:pPr>
      <w:r>
        <w:rPr>
          <w:rFonts w:ascii="Arial" w:cs="Arial" w:eastAsia="Arial" w:hAnsi="Arial"/>
          <w:sz w:val="22"/>
          <w:szCs w:val="22"/>
          <w:b w:val="1"/>
          <w:bCs w:val="1"/>
          <w:u w:val="single" w:color="auto"/>
          <w:color w:val="auto"/>
        </w:rPr>
        <w:t>EXHIBIT 23</w:t>
      </w:r>
    </w:p>
    <w:p>
      <w:pPr>
        <w:spacing w:after="0" w:line="206"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Permitted Issuer Free Writing Prospectuses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#97550997v7</w:t>
      </w:r>
    </w:p>
    <w:sectPr>
      <w:pgSz w:w="11900" w:h="16838" w:orient="portrait"/>
      <w:cols w:equalWidth="0" w:num="1">
        <w:col w:w="10139"/>
      </w:cols>
      <w:pgMar w:left="320" w:top="13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6"/>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lvl w:ilvl="1">
      <w:lvlJc w:val="left"/>
      <w:lvlText w:val="%2"/>
      <w:numFmt w:val="lowerLetter"/>
      <w:start w:val="1"/>
    </w:lvl>
  </w:abstractNum>
  <w:abstractNum w:abstractNumId="5">
    <w:nsid w:val="2D1D5AE9"/>
    <w:multiLevelType w:val="hybridMultilevel"/>
    <w:lvl w:ilvl="0">
      <w:lvlJc w:val="left"/>
      <w:lvlText w:val="%1."/>
      <w:numFmt w:val="lowerLetter"/>
      <w:start w:val="2"/>
    </w:lvl>
  </w:abstractNum>
  <w:abstractNum w:abstractNumId="6">
    <w:nsid w:val="6763845E"/>
    <w:multiLevelType w:val="hybridMultilevel"/>
    <w:lvl w:ilvl="0">
      <w:lvlJc w:val="left"/>
      <w:lvlText w:val="%1."/>
      <w:numFmt w:val="decimal"/>
      <w:start w:val="6"/>
    </w:lvl>
    <w:lvl w:ilvl="1">
      <w:lvlJc w:val="left"/>
      <w:lvlText w:val="%2."/>
      <w:numFmt w:val="lowerLetter"/>
      <w:start w:val="1"/>
    </w:lvl>
  </w:abstractNum>
  <w:abstractNum w:abstractNumId="7">
    <w:nsid w:val="75A2A8D4"/>
    <w:multiLevelType w:val="hybridMultilevel"/>
    <w:lvl w:ilvl="0">
      <w:lvlJc w:val="left"/>
      <w:lvlText w:val="%1."/>
      <w:numFmt w:val="lowerLetter"/>
      <w:start w:val="2"/>
    </w:lvl>
  </w:abstractNum>
  <w:abstractNum w:abstractNumId="8">
    <w:nsid w:val="8EDBDAB"/>
    <w:multiLevelType w:val="hybridMultilevel"/>
    <w:lvl w:ilvl="0">
      <w:lvlJc w:val="left"/>
      <w:lvlText w:val="%1."/>
      <w:numFmt w:val="lowerLetter"/>
      <w:start w:val="3"/>
    </w:lvl>
  </w:abstractNum>
  <w:abstractNum w:abstractNumId="9">
    <w:nsid w:val="79838CB2"/>
    <w:multiLevelType w:val="hybridMultilevel"/>
    <w:lvl w:ilvl="0">
      <w:lvlJc w:val="left"/>
      <w:lvlText w:val="%1."/>
      <w:numFmt w:val="lowerLetter"/>
      <w:start w:val="9"/>
    </w:lvl>
  </w:abstractNum>
  <w:abstractNum w:abstractNumId="10">
    <w:nsid w:val="4353D0CD"/>
    <w:multiLevelType w:val="hybridMultilevel"/>
    <w:lvl w:ilvl="0">
      <w:lvlJc w:val="left"/>
      <w:lvlText w:val="%1."/>
      <w:numFmt w:val="lowerLetter"/>
      <w:start w:val="12"/>
    </w:lvl>
  </w:abstractNum>
  <w:abstractNum w:abstractNumId="11">
    <w:nsid w:val="B03E0C6"/>
    <w:multiLevelType w:val="hybridMultilevel"/>
    <w:lvl w:ilvl="0">
      <w:lvlJc w:val="left"/>
      <w:lvlText w:val="%1."/>
      <w:numFmt w:val="lowerLetter"/>
      <w:start w:val="15"/>
    </w:lvl>
  </w:abstractNum>
  <w:abstractNum w:abstractNumId="12">
    <w:nsid w:val="189A769B"/>
    <w:multiLevelType w:val="hybridMultilevel"/>
    <w:lvl w:ilvl="0">
      <w:lvlJc w:val="left"/>
      <w:lvlText w:val="%1."/>
      <w:numFmt w:val="lowerLetter"/>
      <w:start w:val="21"/>
    </w:lvl>
  </w:abstractNum>
  <w:abstractNum w:abstractNumId="13">
    <w:nsid w:val="54E49EB4"/>
    <w:multiLevelType w:val="hybridMultilevel"/>
    <w:lvl w:ilvl="0">
      <w:lvlJc w:val="left"/>
      <w:lvlText w:val="%1."/>
      <w:numFmt w:val="lowerLetter"/>
      <w:start w:val="27"/>
    </w:lvl>
  </w:abstractNum>
  <w:abstractNum w:abstractNumId="14">
    <w:nsid w:val="71F32454"/>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15">
    <w:nsid w:val="2CA8861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abstractNum>
  <w:abstractNum w:abstractNumId="16">
    <w:nsid w:val="836C40E"/>
    <w:multiLevelType w:val="hybridMultilevel"/>
    <w:lvl w:ilvl="0">
      <w:lvlJc w:val="left"/>
      <w:lvlText w:val="%1."/>
      <w:numFmt w:val="lowerLetter"/>
      <w:start w:val="3"/>
    </w:lvl>
  </w:abstractNum>
  <w:abstractNum w:abstractNumId="17">
    <w:nsid w:val="2901D82"/>
    <w:multiLevelType w:val="hybridMultilevel"/>
    <w:lvl w:ilvl="0">
      <w:lvlJc w:val="left"/>
      <w:lvlText w:val="%1"/>
      <w:numFmt w:val="lowerRoman"/>
      <w:start w:val="1"/>
    </w:lvl>
    <w:lvl w:ilvl="1">
      <w:lvlJc w:val="left"/>
      <w:lvlText w:val="%2."/>
      <w:numFmt w:val="lowerLetter"/>
      <w:start w:val="7"/>
    </w:lvl>
  </w:abstractNum>
  <w:abstractNum w:abstractNumId="18">
    <w:nsid w:val="3A95F874"/>
    <w:multiLevelType w:val="hybridMultilevel"/>
    <w:lvl w:ilvl="0">
      <w:lvlJc w:val="left"/>
      <w:lvlText w:val="(%1)"/>
      <w:numFmt w:val="lowerRoman"/>
      <w:start w:val="3"/>
    </w:lvl>
    <w:lvl w:ilvl="1">
      <w:lvlJc w:val="left"/>
      <w:lvlText w:val="%2."/>
      <w:numFmt w:val="lowerLetter"/>
      <w:start w:val="9"/>
    </w:lvl>
  </w:abstractNum>
  <w:abstractNum w:abstractNumId="19">
    <w:nsid w:val="8138641"/>
    <w:multiLevelType w:val="hybridMultilevel"/>
    <w:lvl w:ilvl="0">
      <w:lvlJc w:val="left"/>
      <w:lvlText w:val="%1."/>
      <w:numFmt w:val="lowerLetter"/>
      <w:start w:val="12"/>
    </w:lvl>
    <w:lvl w:ilvl="1">
      <w:lvlJc w:val="left"/>
      <w:lvlText w:val="(%2)"/>
      <w:numFmt w:val="lowerRoman"/>
      <w:start w:val="1"/>
    </w:lvl>
  </w:abstractNum>
  <w:abstractNum w:abstractNumId="20">
    <w:nsid w:val="1E7FF521"/>
    <w:multiLevelType w:val="hybridMultilevel"/>
    <w:lvl w:ilvl="0">
      <w:lvlJc w:val="left"/>
      <w:lvlText w:val="%1."/>
      <w:numFmt w:val="lowerLetter"/>
      <w:start w:val="13"/>
    </w:lvl>
  </w:abstractNum>
  <w:abstractNum w:abstractNumId="21">
    <w:nsid w:val="7C3DBD3D"/>
    <w:multiLevelType w:val="hybridMultilevel"/>
    <w:lvl w:ilvl="0">
      <w:lvlJc w:val="left"/>
      <w:lvlText w:val="%1"/>
      <w:numFmt w:val="decimal"/>
      <w:start w:val="1"/>
    </w:lvl>
    <w:lvl w:ilvl="1">
      <w:lvlJc w:val="left"/>
      <w:lvlText w:val="%2."/>
      <w:numFmt w:val="lowerLetter"/>
      <w:start w:val="14"/>
    </w:lvl>
  </w:abstractNum>
  <w:abstractNum w:abstractNumId="22">
    <w:nsid w:val="737B8DDC"/>
    <w:multiLevelType w:val="hybridMultilevel"/>
    <w:lvl w:ilvl="0">
      <w:lvlJc w:val="left"/>
      <w:lvlText w:val="%1."/>
      <w:numFmt w:val="decimal"/>
      <w:start w:val="8"/>
    </w:lvl>
    <w:lvl w:ilvl="1">
      <w:lvlJc w:val="left"/>
      <w:lvlText w:val="%2"/>
      <w:numFmt w:val="lowerLetter"/>
      <w:start w:val="1"/>
    </w:lvl>
  </w:abstractNum>
  <w:abstractNum w:abstractNumId="23">
    <w:nsid w:val="6CEAF087"/>
    <w:multiLevelType w:val="hybridMultilevel"/>
    <w:lvl w:ilvl="0">
      <w:lvlJc w:val="left"/>
      <w:lvlText w:val="%1."/>
      <w:numFmt w:val="decimal"/>
      <w:start w:val="10"/>
    </w:lvl>
    <w:lvl w:ilvl="1">
      <w:lvlJc w:val="left"/>
      <w:lvlText w:val="%2."/>
      <w:numFmt w:val="lowerLetter"/>
      <w:start w:val="1"/>
    </w:lvl>
  </w:abstractNum>
  <w:abstractNum w:abstractNumId="24">
    <w:nsid w:val="22221A70"/>
    <w:multiLevelType w:val="hybridMultilevel"/>
    <w:lvl w:ilvl="0">
      <w:lvlJc w:val="left"/>
      <w:lvlText w:val="%1"/>
      <w:numFmt w:val="decimal"/>
      <w:start w:val="1"/>
    </w:lvl>
    <w:lvl w:ilvl="1">
      <w:lvlJc w:val="left"/>
      <w:lvlText w:val="%2."/>
      <w:numFmt w:val="lowerLetter"/>
      <w:start w:val="5"/>
    </w:lvl>
  </w:abstractNum>
  <w:abstractNum w:abstractNumId="25">
    <w:nsid w:val="4516DDE9"/>
    <w:multiLevelType w:val="hybridMultilevel"/>
    <w:lvl w:ilvl="0">
      <w:lvlJc w:val="left"/>
      <w:lvlText w:val="%1."/>
      <w:numFmt w:val="decimal"/>
      <w:start w:val="11"/>
    </w:lvl>
    <w:lvl w:ilvl="1">
      <w:lvlJc w:val="left"/>
      <w:lvlText w:val="%2"/>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Roman"/>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lowerLetter"/>
      <w:start w:val="4"/>
    </w:lvl>
  </w:abstractNum>
  <w:abstractNum w:abstractNumId="30">
    <w:nsid w:val="440BADFC"/>
    <w:multiLevelType w:val="hybridMultilevel"/>
    <w:lvl w:ilvl="0">
      <w:lvlJc w:val="left"/>
      <w:lvlText w:val="%1."/>
      <w:numFmt w:val="decimal"/>
      <w:start w:val="12"/>
    </w:lvl>
    <w:lvl w:ilvl="1">
      <w:lvlJc w:val="left"/>
      <w:lvlText w:val="%2"/>
      <w:numFmt w:val="lowerLetter"/>
      <w:start w:val="1"/>
    </w:lvl>
  </w:abstractNum>
  <w:abstractNum w:abstractNumId="31">
    <w:nsid w:val="5072367"/>
    <w:multiLevelType w:val="hybridMultilevel"/>
    <w:lvl w:ilvl="0">
      <w:lvlJc w:val="left"/>
      <w:lvlText w:val="(%1)"/>
      <w:numFmt w:val="decimal"/>
      <w:start w:val="6"/>
    </w:lvl>
    <w:lvl w:ilvl="1">
      <w:lvlJc w:val="left"/>
      <w:lvlText w:val="%2."/>
      <w:numFmt w:val="lowerLetter"/>
      <w:start w:val="2"/>
    </w:lvl>
  </w:abstractNum>
  <w:abstractNum w:abstractNumId="32">
    <w:nsid w:val="3804823E"/>
    <w:multiLevelType w:val="hybridMultilevel"/>
    <w:lvl w:ilvl="0">
      <w:lvlJc w:val="left"/>
      <w:lvlText w:val="%1"/>
      <w:numFmt w:val="decimal"/>
      <w:start w:val="1"/>
    </w:lvl>
    <w:lvl w:ilvl="1">
      <w:lvlJc w:val="left"/>
      <w:lvlText w:val="%2."/>
      <w:numFmt w:val="lowerLetter"/>
      <w:start w:val="6"/>
    </w:lvl>
  </w:abstractNum>
  <w:abstractNum w:abstractNumId="33">
    <w:nsid w:val="77465F01"/>
    <w:multiLevelType w:val="hybridMultilevel"/>
    <w:lvl w:ilvl="0">
      <w:lvlJc w:val="left"/>
      <w:lvlText w:val="%1."/>
      <w:numFmt w:val="decimal"/>
      <w:start w:val="14"/>
    </w:lvl>
    <w:lvl w:ilvl="1">
      <w:lvlJc w:val="left"/>
      <w:lvlText w:val="%2"/>
      <w:numFmt w:val="lowerLetter"/>
      <w:start w:val="1"/>
    </w:lvl>
  </w:abstractNum>
  <w:abstractNum w:abstractNumId="34">
    <w:nsid w:val="7724C67E"/>
    <w:multiLevelType w:val="hybridMultilevel"/>
    <w:lvl w:ilvl="0">
      <w:lvlJc w:val="left"/>
      <w:lvlText w:val="%1."/>
      <w:numFmt w:val="decimal"/>
      <w:start w:val="15"/>
    </w:lvl>
  </w:abstractNum>
  <w:abstractNum w:abstractNumId="35">
    <w:nsid w:val="5C482A97"/>
    <w:multiLevelType w:val="hybridMultilevel"/>
    <w:lvl w:ilvl="0">
      <w:lvlJc w:val="left"/>
      <w:lvlText w:val="%1"/>
      <w:numFmt w:val="decimal"/>
      <w:start w:val="1"/>
    </w:lvl>
    <w:lvl w:ilvl="1">
      <w:lvlJc w:val="left"/>
      <w:lvlText w:val="%2."/>
      <w:numFmt w:val="decimal"/>
      <w:start w:val="17"/>
    </w:lvl>
  </w:abstractNum>
  <w:abstractNum w:abstractNumId="36">
    <w:nsid w:val="2463B9EA"/>
    <w:multiLevelType w:val="hybridMultilevel"/>
    <w:lvl w:ilvl="0">
      <w:lvlJc w:val="left"/>
      <w:lvlText w:val="%1."/>
      <w:numFmt w:val="decimal"/>
      <w:start w:val="18"/>
    </w:lvl>
    <w:lvl w:ilvl="1">
      <w:lvlJc w:val="left"/>
      <w:lvlText w:val="%2"/>
      <w:numFmt w:val="decimal"/>
      <w:start w:val="1"/>
    </w:lvl>
  </w:abstractNum>
  <w:abstractNum w:abstractNumId="37">
    <w:nsid w:val="5E884ADC"/>
    <w:multiLevelType w:val="hybridMultilevel"/>
    <w:lvl w:ilvl="0">
      <w:lvlJc w:val="left"/>
      <w:lvlText w:val="%1."/>
      <w:numFmt w:val="decimal"/>
      <w:start w:val="22"/>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2023-11-17T16:13:47Z</dcterms:created>
  <dcterms:modified xsi:type="dcterms:W3CDTF">2023-11-17T16:13:47Z</dcterms:modified>
</cp:coreProperties>
</file>