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397"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-219075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8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vMerge w:val="restart"/>
          </w:tcPr>
          <w:p>
            <w:pPr>
              <w:jc w:val="center"/>
              <w:ind w:right="38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5161280</wp:posOffset>
            </wp:positionH>
            <wp:positionV relativeFrom="paragraph">
              <wp:posOffset>-584200</wp:posOffset>
            </wp:positionV>
            <wp:extent cx="55880"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753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-584200</wp:posOffset>
            </wp:positionV>
            <wp:extent cx="55880"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75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21590</wp:posOffset>
            </wp:positionV>
            <wp:extent cx="7051040" cy="4608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1040" cy="460819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00" w:space="640"/>
            <w:col w:w="8340"/>
          </w:cols>
          <w:pgMar w:left="460" w:top="210"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3260" w:type="dxa"/>
            <w:vAlign w:val="bottom"/>
            <w:gridSpan w:val="5"/>
            <w:vMerge w:val="restart"/>
          </w:tcPr>
          <w:p>
            <w:pPr>
              <w:spacing w:after="0"/>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ArcLight CTC Holdings II, L.P.</w:t>
              </w:r>
            </w:hyperlink>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gridSpan w:val="5"/>
          </w:tcPr>
          <w:p>
            <w:pPr>
              <w:spacing w:after="0" w:line="96"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OPAL Fuels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OPAL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326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326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X</w:t>
            </w:r>
          </w:p>
        </w:tc>
        <w:tc>
          <w:tcPr>
            <w:tcW w:w="1380" w:type="dxa"/>
            <w:vAlign w:val="bottom"/>
            <w:gridSpan w:val="5"/>
            <w:vMerge w:val="restart"/>
          </w:tcPr>
          <w:p>
            <w:pPr>
              <w:ind w:left="1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326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80" w:type="dxa"/>
            <w:vAlign w:val="bottom"/>
          </w:tcPr>
          <w:p>
            <w:pPr>
              <w:spacing w:after="0"/>
              <w:rPr>
                <w:sz w:val="5"/>
                <w:szCs w:val="5"/>
                <w:color w:val="auto"/>
              </w:rPr>
            </w:pPr>
          </w:p>
        </w:tc>
        <w:tc>
          <w:tcPr>
            <w:tcW w:w="1380" w:type="dxa"/>
            <w:vAlign w:val="bottom"/>
            <w:gridSpan w:val="5"/>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(First)</w:t>
            </w:r>
          </w:p>
        </w:tc>
        <w:tc>
          <w:tcPr>
            <w:tcW w:w="1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2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200 CLARENDON ST, 55TH FLOOR</w:t>
            </w:r>
          </w:p>
        </w:tc>
        <w:tc>
          <w:tcPr>
            <w:tcW w:w="182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0000FF"/>
              </w:rPr>
              <w:t>07/21/2022</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326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spacing w:after="0"/>
              <w:rPr>
                <w:sz w:val="19"/>
                <w:szCs w:val="19"/>
                <w:color w:val="auto"/>
              </w:rPr>
            </w:pPr>
          </w:p>
        </w:tc>
        <w:tc>
          <w:tcPr>
            <w:tcW w:w="18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280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280" w:type="dxa"/>
            <w:vAlign w:val="bottom"/>
            <w:tcBorders>
              <w:top w:val="single" w:sz="8" w:color="808080"/>
            </w:tcBorders>
            <w:gridSpan w:val="3"/>
            <w:shd w:val="clear" w:color="auto" w:fill="2C2C2C"/>
          </w:tcPr>
          <w:p>
            <w:pPr>
              <w:spacing w:after="0" w:line="20" w:lineRule="exact"/>
              <w:rPr>
                <w:sz w:val="1"/>
                <w:szCs w:val="1"/>
                <w:color w:val="auto"/>
              </w:rPr>
            </w:pPr>
          </w:p>
        </w:tc>
        <w:tc>
          <w:tcPr>
            <w:tcW w:w="1860" w:type="dxa"/>
            <w:vAlign w:val="bottom"/>
            <w:tcBorders>
              <w:top w:val="single" w:sz="8" w:color="808080"/>
            </w:tcBorders>
            <w:gridSpan w:val="4"/>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gridSpan w:val="2"/>
            <w:shd w:val="clear" w:color="auto" w:fill="2C2C2C"/>
          </w:tcPr>
          <w:p>
            <w:pPr>
              <w:spacing w:after="0" w:line="20" w:lineRule="exact"/>
              <w:rPr>
                <w:sz w:val="1"/>
                <w:szCs w:val="1"/>
                <w:color w:val="auto"/>
              </w:rPr>
            </w:pPr>
          </w:p>
        </w:tc>
        <w:tc>
          <w:tcPr>
            <w:tcW w:w="2800" w:type="dxa"/>
            <w:vAlign w:val="bottom"/>
            <w:tcBorders>
              <w:top w:val="single" w:sz="8" w:color="808080"/>
            </w:tcBorders>
            <w:gridSpan w:val="6"/>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MA</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0000FF"/>
              </w:rPr>
              <w:t>02116</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60" w:type="dxa"/>
            <w:vAlign w:val="bottom"/>
          </w:tcPr>
          <w:p>
            <w:pPr>
              <w:spacing w:after="0"/>
              <w:rPr>
                <w:sz w:val="19"/>
                <w:szCs w:val="19"/>
                <w:color w:val="auto"/>
              </w:rPr>
            </w:pPr>
          </w:p>
        </w:tc>
        <w:tc>
          <w:tcPr>
            <w:tcW w:w="208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gridSpan w:val="8"/>
          </w:tcPr>
          <w:p>
            <w:pPr>
              <w:ind w:left="80"/>
              <w:spacing w:after="0" w:line="11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(State)</w:t>
            </w:r>
          </w:p>
        </w:tc>
        <w:tc>
          <w:tcPr>
            <w:tcW w:w="16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gridSpan w:val="3"/>
          </w:tcPr>
          <w:p>
            <w:pPr>
              <w:spacing w:after="0"/>
              <w:rPr>
                <w:sz w:val="9"/>
                <w:szCs w:val="9"/>
                <w:color w:val="auto"/>
              </w:rPr>
            </w:pPr>
          </w:p>
        </w:tc>
        <w:tc>
          <w:tcPr>
            <w:tcW w:w="2480" w:type="dxa"/>
            <w:vAlign w:val="bottom"/>
            <w:tcBorders>
              <w:bottom w:val="single" w:sz="8" w:color="2C2C2C"/>
            </w:tcBorders>
            <w:gridSpan w:val="6"/>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80" w:type="dxa"/>
            <w:vAlign w:val="bottom"/>
            <w:tcBorders>
              <w:top w:val="single" w:sz="8" w:color="2C2C2C"/>
            </w:tcBorders>
            <w:gridSpan w:val="17"/>
          </w:tcPr>
          <w:p>
            <w:pPr>
              <w:ind w:left="1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20" w:type="dxa"/>
            <w:vAlign w:val="bottom"/>
          </w:tcPr>
          <w:p>
            <w:pPr>
              <w:ind w:left="20"/>
              <w:spacing w:after="0" w:line="120"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right"/>
              <w:ind w:right="105"/>
              <w:spacing w:after="0"/>
              <w:rPr>
                <w:sz w:val="20"/>
                <w:szCs w:val="20"/>
                <w:color w:val="auto"/>
              </w:rPr>
            </w:pPr>
            <w:r>
              <w:rPr>
                <w:rFonts w:ascii="Times New Roman" w:cs="Times New Roman" w:eastAsia="Times New Roman" w:hAnsi="Times New Roman"/>
                <w:sz w:val="16"/>
                <w:szCs w:val="16"/>
                <w:color w:val="0000FF"/>
              </w:rPr>
              <w:t>07/21/2022</w:t>
            </w:r>
          </w:p>
        </w:tc>
        <w:tc>
          <w:tcPr>
            <w:tcW w:w="7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4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6"/>
                <w:szCs w:val="16"/>
                <w:color w:val="0000FF"/>
              </w:rPr>
              <w:t>9,639,076</w:t>
            </w:r>
          </w:p>
        </w:tc>
        <w:tc>
          <w:tcPr>
            <w:tcW w:w="3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0"/>
                <w:szCs w:val="10"/>
                <w:color w:val="008000"/>
              </w:rPr>
              <w:t>(2)</w:t>
            </w:r>
          </w:p>
        </w:tc>
        <w:tc>
          <w:tcPr>
            <w:tcW w:w="1200" w:type="dxa"/>
            <w:vAlign w:val="bottom"/>
            <w:tcBorders>
              <w:bottom w:val="single" w:sz="8" w:color="2C2C2C"/>
            </w:tcBorders>
            <w:gridSpan w:val="3"/>
          </w:tcPr>
          <w:p>
            <w:pPr>
              <w:jc w:val="right"/>
              <w:ind w:right="245"/>
              <w:spacing w:after="0"/>
              <w:rPr>
                <w:sz w:val="20"/>
                <w:szCs w:val="20"/>
                <w:color w:val="auto"/>
              </w:rPr>
            </w:pPr>
            <w:r>
              <w:rPr>
                <w:rFonts w:ascii="Times New Roman" w:cs="Times New Roman" w:eastAsia="Times New Roman" w:hAnsi="Times New Roman"/>
                <w:sz w:val="16"/>
                <w:szCs w:val="16"/>
                <w:color w:val="0000FF"/>
              </w:rPr>
              <w:t>9,639,076</w:t>
            </w:r>
          </w:p>
        </w:tc>
        <w:tc>
          <w:tcPr>
            <w:tcW w:w="940" w:type="dxa"/>
            <w:vAlign w:val="bottom"/>
            <w:tcBorders>
              <w:bottom w:val="single" w:sz="8" w:color="2C2C2C"/>
            </w:tcBorders>
            <w:gridSpan w:val="2"/>
          </w:tcPr>
          <w:p>
            <w:pPr>
              <w:ind w:left="260"/>
              <w:spacing w:after="0" w:line="289" w:lineRule="exact"/>
              <w:rPr>
                <w:sz w:val="20"/>
                <w:szCs w:val="20"/>
                <w:color w:val="auto"/>
              </w:rPr>
            </w:pPr>
            <w:r>
              <w:rPr>
                <w:rFonts w:ascii="Times New Roman" w:cs="Times New Roman" w:eastAsia="Times New Roman" w:hAnsi="Times New Roman"/>
                <w:sz w:val="31"/>
                <w:szCs w:val="31"/>
                <w:color w:val="0000FF"/>
                <w:vertAlign w:val="subscript"/>
              </w:rPr>
              <w:t>D</w:t>
            </w:r>
            <w:r>
              <w:rPr>
                <w:rFonts w:ascii="Times New Roman" w:cs="Times New Roman" w:eastAsia="Times New Roman" w:hAnsi="Times New Roman"/>
                <w:sz w:val="10"/>
                <w:szCs w:val="10"/>
                <w:color w:val="008000"/>
              </w:rPr>
              <w:t>(1)(2)</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20" w:type="dxa"/>
            <w:vAlign w:val="bottom"/>
            <w:gridSpan w:val="16"/>
          </w:tcPr>
          <w:p>
            <w:pPr>
              <w:jc w:val="center"/>
              <w:ind w:right="324"/>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760" w:type="dxa"/>
            <w:vAlign w:val="bottom"/>
            <w:gridSpan w:val="13"/>
          </w:tcPr>
          <w:p>
            <w:pPr>
              <w:jc w:val="center"/>
              <w:ind w:right="355"/>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3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Acquired (A) or</w:t>
            </w:r>
          </w:p>
        </w:tc>
        <w:tc>
          <w:tcPr>
            <w:tcW w:w="13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w w:val="97"/>
              </w:rPr>
              <w:t>Derivative Security (Instr.</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3 and 4)</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0"/>
                <w:szCs w:val="10"/>
                <w:color w:val="auto"/>
              </w:rPr>
            </w:pP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68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980" w:type="dxa"/>
            <w:vAlign w:val="bottom"/>
            <w:gridSpan w:val="2"/>
          </w:tcPr>
          <w:p>
            <w:pPr>
              <w:ind w:left="4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w w:val="92"/>
              </w:rPr>
              <w:t>(Instr. 4)</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0"/>
              </w:rPr>
              <w:t>7,639,076</w:t>
            </w:r>
            <w:r>
              <w:rPr>
                <w:rFonts w:ascii="Times New Roman" w:cs="Times New Roman" w:eastAsia="Times New Roman" w:hAnsi="Times New Roman"/>
                <w:sz w:val="20"/>
                <w:szCs w:val="20"/>
                <w:color w:val="008000"/>
                <w:w w:val="90"/>
                <w:vertAlign w:val="superscript"/>
              </w:rPr>
              <w:t>(3)</w:t>
            </w:r>
          </w:p>
        </w:tc>
        <w:tc>
          <w:tcPr>
            <w:tcW w:w="76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4"/>
                <w:szCs w:val="24"/>
                <w:color w:val="0000FF"/>
                <w:w w:val="91"/>
                <w:vertAlign w:val="subscript"/>
              </w:rPr>
              <w:t>0</w:t>
            </w:r>
            <w:r>
              <w:rPr>
                <w:rFonts w:ascii="Times New Roman" w:cs="Times New Roman" w:eastAsia="Times New Roman" w:hAnsi="Times New Roman"/>
                <w:sz w:val="10"/>
                <w:szCs w:val="10"/>
                <w:color w:val="008000"/>
                <w:w w:val="91"/>
              </w:rPr>
              <w:t>(2)</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(1)(2)</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Ordinary</w:t>
            </w:r>
          </w:p>
        </w:tc>
        <w:tc>
          <w:tcPr>
            <w:tcW w:w="660" w:type="dxa"/>
            <w:vAlign w:val="bottom"/>
            <w:vMerge w:val="continue"/>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rPr>
              <w:t>07/21/2022</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ind w:left="420"/>
              <w:spacing w:after="0" w:line="132" w:lineRule="exact"/>
              <w:rPr>
                <w:sz w:val="20"/>
                <w:szCs w:val="20"/>
                <w:color w:val="auto"/>
              </w:rPr>
            </w:pPr>
            <w:r>
              <w:rPr>
                <w:rFonts w:ascii="Times New Roman" w:cs="Times New Roman" w:eastAsia="Times New Roman" w:hAnsi="Times New Roman"/>
                <w:sz w:val="12"/>
                <w:szCs w:val="12"/>
                <w:color w:val="0000FF"/>
              </w:rPr>
              <w:t>7,639,076</w:t>
            </w: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0"/>
              </w:rPr>
              <w:t>9,223,261</w:t>
            </w:r>
            <w:r>
              <w:rPr>
                <w:rFonts w:ascii="Times New Roman" w:cs="Times New Roman" w:eastAsia="Times New Roman" w:hAnsi="Times New Roman"/>
                <w:sz w:val="20"/>
                <w:szCs w:val="20"/>
                <w:color w:val="008000"/>
                <w:w w:val="90"/>
                <w:vertAlign w:val="superscript"/>
              </w:rPr>
              <w:t>(3)</w:t>
            </w:r>
          </w:p>
        </w:tc>
        <w:tc>
          <w:tcPr>
            <w:tcW w:w="76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2"/>
                <w:szCs w:val="12"/>
                <w:color w:val="0000FF"/>
                <w:w w:val="94"/>
              </w:rPr>
              <w:t>9,223,261</w:t>
            </w:r>
            <w:r>
              <w:rPr>
                <w:rFonts w:ascii="Times New Roman" w:cs="Times New Roman" w:eastAsia="Times New Roman" w:hAnsi="Times New Roman"/>
                <w:sz w:val="20"/>
                <w:szCs w:val="20"/>
                <w:color w:val="008000"/>
                <w:w w:val="94"/>
                <w:vertAlign w:val="superscript"/>
              </w:rPr>
              <w:t>(3)</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(1)(3)</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vMerge w:val="continue"/>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rPr>
              <w:t>07/21/2022</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ind w:left="420"/>
              <w:spacing w:after="0" w:line="132" w:lineRule="exact"/>
              <w:rPr>
                <w:sz w:val="20"/>
                <w:szCs w:val="20"/>
                <w:color w:val="auto"/>
              </w:rPr>
            </w:pPr>
            <w:r>
              <w:rPr>
                <w:rFonts w:ascii="Times New Roman" w:cs="Times New Roman" w:eastAsia="Times New Roman" w:hAnsi="Times New Roman"/>
                <w:sz w:val="12"/>
                <w:szCs w:val="12"/>
                <w:color w:val="0000FF"/>
              </w:rPr>
              <w:t>9,223,261</w:t>
            </w: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2"/>
                <w:szCs w:val="12"/>
                <w:color w:val="0000FF"/>
              </w:rPr>
              <w:t>Ordinary</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0"/>
              </w:rPr>
              <w:t>9,223,261</w:t>
            </w:r>
            <w:r>
              <w:rPr>
                <w:rFonts w:ascii="Times New Roman" w:cs="Times New Roman" w:eastAsia="Times New Roman" w:hAnsi="Times New Roman"/>
                <w:sz w:val="20"/>
                <w:szCs w:val="20"/>
                <w:color w:val="008000"/>
                <w:w w:val="90"/>
                <w:vertAlign w:val="superscript"/>
              </w:rPr>
              <w:t>(3)</w:t>
            </w:r>
          </w:p>
        </w:tc>
        <w:tc>
          <w:tcPr>
            <w:tcW w:w="76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2"/>
                <w:szCs w:val="12"/>
                <w:color w:val="0000FF"/>
                <w:w w:val="94"/>
              </w:rPr>
              <w:t>9,223,261</w:t>
            </w:r>
            <w:r>
              <w:rPr>
                <w:rFonts w:ascii="Times New Roman" w:cs="Times New Roman" w:eastAsia="Times New Roman" w:hAnsi="Times New Roman"/>
                <w:sz w:val="20"/>
                <w:szCs w:val="20"/>
                <w:color w:val="008000"/>
                <w:w w:val="94"/>
                <w:vertAlign w:val="superscript"/>
              </w:rPr>
              <w:t>(3)</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(1)(3)</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vMerge w:val="continue"/>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07/21/2022</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9,223,261</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2"/>
          <w:szCs w:val="12"/>
          <w:color w:val="0000FF"/>
        </w:rPr>
        <w:t>Stock</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180" w:hanging="8"/>
        <w:spacing w:after="0" w:line="244"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9,639,076 shares of common stock, par value $0.0001 ("New OPAL Common Stock"), of New OPAL (as defined below)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 02116.</w:t>
      </w:r>
    </w:p>
    <w:p>
      <w:pPr>
        <w:spacing w:after="0" w:line="23" w:lineRule="exact"/>
        <w:rPr>
          <w:rFonts w:ascii="Times New Roman" w:cs="Times New Roman" w:eastAsia="Times New Roman" w:hAnsi="Times New Roman"/>
          <w:sz w:val="12"/>
          <w:szCs w:val="12"/>
          <w:color w:val="008000"/>
        </w:rPr>
      </w:pPr>
    </w:p>
    <w:p>
      <w:pPr>
        <w:ind w:left="40" w:right="260" w:hanging="8"/>
        <w:spacing w:after="0" w:line="237"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Business Combination, dated December 2, 2021, by and among ArcLight Clean Transition Corp. II, a Cayman Islands exempted company (the "Company"), OPAL Fuels LLC, a Delaware limited liability company ("OPAL Fuels"), and OPAL HoldCo LLC, a Delaware limited liability company ("OPAL HoldCo"), the parties effected a business combination transaction ("Business Combination"), on July 21, 2022. In connection with the Business Combination, the Company domesticated as a Delaware corporation (the "Domestication") and changed its name to "OPAL Fules Inc." ("New OPAL"). In connection with the consummation of the Business Combination and the Domestication, 7,639,076 of Sponsor's Class B ordinary shares, par value $0.0001, of the Company, which were previously convertible into Class A ordinary shares, par value $0.0001, of the Company ("Class A ordinary shares") converted into shares of common stock, par value $0.0001, of New OPAL ("New OPAL Common Stock") simultaneously with the closing of the Business Combination.</w:t>
      </w:r>
    </w:p>
    <w:p>
      <w:pPr>
        <w:spacing w:after="0" w:line="27" w:lineRule="exact"/>
        <w:rPr>
          <w:rFonts w:ascii="Times New Roman" w:cs="Times New Roman" w:eastAsia="Times New Roman" w:hAnsi="Times New Roman"/>
          <w:sz w:val="12"/>
          <w:szCs w:val="12"/>
          <w:color w:val="008000"/>
        </w:rPr>
      </w:pPr>
    </w:p>
    <w:p>
      <w:pPr>
        <w:jc w:val="both"/>
        <w:ind w:left="40" w:right="16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consummation of the Business Combination, 9,223,261 of the private placement warrants of the Company ("ArcLight Private Placement Warrants") held by Sponsor, which previously entitled Sponsor to purchase one Class A Ordinary Share at a price of $11.50 per whole share at any time commencing on the later of one year from the closing of the Company's initial public offering or 30 days after the completion of an initial business combination of the Company, were converted into private placement warrants of New OPAL (each a "New OPAL Private Placement Warrant") simultaneously with the closing of the Business Combination, with each whole New OPAL Private Placement Warrant entitling the holder thereof to the right to purchase one share of New OPAL Common Stock.</w:t>
      </w:r>
    </w:p>
    <w:p>
      <w:pPr>
        <w:spacing w:after="0" w:line="4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ARCLIGHT CTC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-8890</wp:posOffset>
            </wp:positionV>
            <wp:extent cx="12503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II, L.P. By: ACTC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12585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85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GP 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12471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71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By: ARCLIGHT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11042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HOLDINGS, LLC, its Manager</w:t>
      </w:r>
      <w:r>
        <w:rPr>
          <w:sz w:val="20"/>
          <w:szCs w:val="20"/>
          <w:color w:val="auto"/>
        </w:rPr>
        <w:tab/>
      </w:r>
      <w:r>
        <w:rPr>
          <w:rFonts w:ascii="Times New Roman" w:cs="Times New Roman" w:eastAsia="Times New Roman" w:hAnsi="Times New Roman"/>
          <w:sz w:val="14"/>
          <w:szCs w:val="14"/>
          <w:color w:val="0000FF"/>
        </w:rPr>
        <w:t>07/25/2022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18472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By: ACHP II,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12966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66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Member By: ACH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12585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5857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General Partner By: /s/ Daniel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13157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Revers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8883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888365" cy="7620"/>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40" w:right="4120" w:hanging="8"/>
        <w:spacing w:after="0" w:line="341"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2022-07-25T18:16:15Z</dcterms:created>
  <dcterms:modified xsi:type="dcterms:W3CDTF">2022-07-25T18:16:15Z</dcterms:modified>
</cp:coreProperties>
</file>