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OPAL Fuels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68347P 103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Comora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OPAL Fuels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North Lexington Avenue, Suite 1450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Edward M. Welch,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Sheppard, Mullin, Richter &amp; Hampton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Rockefeller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10112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12,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CUSIP NO. 68347P 103</w:t>
            </w:r>
          </w:p>
        </w:tc>
        <w:tc>
          <w:tcPr>
            <w:tcW w:w="520" w:type="dxa"/>
            <w:vAlign w:val="bottom"/>
          </w:tcPr>
          <w:p>
            <w:pPr>
              <w:spacing w:after="0"/>
              <w:rPr>
                <w:sz w:val="20"/>
                <w:szCs w:val="20"/>
                <w:color w:val="auto"/>
              </w:rPr>
            </w:pPr>
          </w:p>
        </w:tc>
        <w:tc>
          <w:tcPr>
            <w:tcW w:w="8620" w:type="dxa"/>
            <w:vAlign w:val="bottom"/>
          </w:tcPr>
          <w:p>
            <w:pPr>
              <w:ind w:left="7280"/>
              <w:spacing w:after="0"/>
              <w:rPr>
                <w:sz w:val="20"/>
                <w:szCs w:val="20"/>
                <w:color w:val="auto"/>
              </w:rPr>
            </w:pPr>
            <w:r>
              <w:rPr>
                <w:rFonts w:ascii="Times New Roman" w:cs="Times New Roman" w:eastAsia="Times New Roman" w:hAnsi="Times New Roman"/>
                <w:sz w:val="18"/>
                <w:szCs w:val="18"/>
                <w:b w:val="1"/>
                <w:bCs w:val="1"/>
                <w:color w:val="auto"/>
                <w:w w:val="96"/>
              </w:rPr>
              <w:t>SCHEDULE 13D</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Mark Comora</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78"/>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4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SOURCE OF FUNDS</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34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spacing w:after="0"/>
              <w:rPr>
                <w:sz w:val="22"/>
                <w:szCs w:val="22"/>
                <w:color w:val="auto"/>
              </w:rPr>
            </w:pPr>
          </w:p>
        </w:tc>
        <w:tc>
          <w:tcPr>
            <w:tcW w:w="8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47"/>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10,125 shares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79"/>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Pr>
          <w:p>
            <w:pPr>
              <w:spacing w:after="0"/>
              <w:rPr>
                <w:sz w:val="24"/>
                <w:szCs w:val="24"/>
                <w:color w:val="auto"/>
              </w:rPr>
            </w:pPr>
          </w:p>
        </w:tc>
        <w:tc>
          <w:tcPr>
            <w:tcW w:w="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145,279,637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BENEFICIALLY</w:t>
            </w:r>
          </w:p>
        </w:tc>
        <w:tc>
          <w:tcPr>
            <w:tcW w:w="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EACH</w:t>
            </w:r>
          </w:p>
        </w:tc>
        <w:tc>
          <w:tcPr>
            <w:tcW w:w="4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10,125 shares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322"/>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145,279,637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145,289,762 shares</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640" w:type="dxa"/>
            <w:vAlign w:val="bottom"/>
            <w:tcBorders>
              <w:bottom w:val="single" w:sz="8" w:color="auto"/>
              <w:right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34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40" w:type="dxa"/>
            <w:vAlign w:val="bottom"/>
            <w:tcBorders>
              <w:bottom w:val="single" w:sz="8" w:color="auto"/>
              <w:right w:val="single" w:sz="8" w:color="auto"/>
            </w:tcBorders>
            <w:gridSpan w:val="4"/>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29"/>
                <w:szCs w:val="29"/>
                <w:color w:val="auto"/>
                <w:vertAlign w:val="superscript"/>
              </w:rPr>
              <w:t>3</w:t>
            </w: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reported shares consist of 10,125 shares of Class A common stock held directly by Mr. Comora.</w:t>
      </w:r>
    </w:p>
    <w:p>
      <w:pPr>
        <w:spacing w:after="0" w:line="24" w:lineRule="exact"/>
        <w:rPr>
          <w:rFonts w:ascii="Times New Roman" w:cs="Times New Roman" w:eastAsia="Times New Roman" w:hAnsi="Times New Roman"/>
          <w:sz w:val="19"/>
          <w:szCs w:val="19"/>
          <w:color w:val="auto"/>
        </w:rPr>
      </w:pPr>
    </w:p>
    <w:p>
      <w:pPr>
        <w:jc w:val="both"/>
        <w:ind w:left="340" w:hanging="332"/>
        <w:spacing w:after="0" w:line="252" w:lineRule="auto"/>
        <w:tabs>
          <w:tab w:leader="none" w:pos="3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reported shares consist of (i) 880,600 shares of Class A common stock (the “Class A common stock”) of OPAL Fuels Inc. (the “Issuer”) held by Fortistar LLC, (ii) 71,500,000 shares of Class B common stock of the Issuer (the “Class B common stock”) held by OPAL HoldCo LLC, (iii) 70,877,450 shares of Class D common stock of the Issuer (the “Class D common stock”) held by OPAL HoldCo LLC and (iv) 2,021,587 shares of Class D common stock held by Hillman RNG Investments, LLC.</w:t>
      </w:r>
    </w:p>
    <w:p>
      <w:pPr>
        <w:ind w:left="340" w:hanging="332"/>
        <w:spacing w:after="0" w:line="247" w:lineRule="auto"/>
        <w:tabs>
          <w:tab w:leader="none" w:pos="3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All ownership percentages in this schedule are calculated based on an aggregate of 28,082,832 shares of Class A common stock outstanding, 71,500,000 shares of Class B common stock outstanding, and 72,899,037 shares of Class D common stock outstanding as of March 14,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CUSIP NO. 68347P 103</w:t>
            </w:r>
          </w:p>
        </w:tc>
        <w:tc>
          <w:tcPr>
            <w:tcW w:w="500" w:type="dxa"/>
            <w:vAlign w:val="bottom"/>
          </w:tcPr>
          <w:p>
            <w:pPr>
              <w:spacing w:after="0"/>
              <w:rPr>
                <w:sz w:val="20"/>
                <w:szCs w:val="20"/>
                <w:color w:val="auto"/>
              </w:rPr>
            </w:pPr>
          </w:p>
        </w:tc>
        <w:tc>
          <w:tcPr>
            <w:tcW w:w="8620" w:type="dxa"/>
            <w:vAlign w:val="bottom"/>
          </w:tcPr>
          <w:p>
            <w:pPr>
              <w:ind w:left="7280"/>
              <w:spacing w:after="0"/>
              <w:rPr>
                <w:sz w:val="20"/>
                <w:szCs w:val="20"/>
                <w:color w:val="auto"/>
              </w:rPr>
            </w:pPr>
            <w:r>
              <w:rPr>
                <w:rFonts w:ascii="Times New Roman" w:cs="Times New Roman" w:eastAsia="Times New Roman" w:hAnsi="Times New Roman"/>
                <w:sz w:val="18"/>
                <w:szCs w:val="18"/>
                <w:b w:val="1"/>
                <w:bCs w:val="1"/>
                <w:color w:val="auto"/>
                <w:w w:val="96"/>
              </w:rPr>
              <w:t>SCHEDULE 13D</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OPAL HoldCo LLC</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78"/>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4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SOURCE OF FUNDS</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34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spacing w:after="0"/>
              <w:rPr>
                <w:sz w:val="22"/>
                <w:szCs w:val="22"/>
                <w:color w:val="auto"/>
              </w:rPr>
            </w:pPr>
          </w:p>
        </w:tc>
        <w:tc>
          <w:tcPr>
            <w:tcW w:w="8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Pr>
          <w:p>
            <w:pPr>
              <w:spacing w:after="0"/>
              <w:rPr>
                <w:sz w:val="24"/>
                <w:szCs w:val="24"/>
                <w:color w:val="auto"/>
              </w:rPr>
            </w:pPr>
          </w:p>
        </w:tc>
        <w:tc>
          <w:tcPr>
            <w:tcW w:w="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142,377,450 shares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EACH</w:t>
            </w:r>
          </w:p>
        </w:tc>
        <w:tc>
          <w:tcPr>
            <w:tcW w:w="60" w:type="dxa"/>
            <w:vAlign w:val="bottom"/>
          </w:tcPr>
          <w:p>
            <w:pPr>
              <w:spacing w:after="0"/>
              <w:rPr>
                <w:sz w:val="18"/>
                <w:szCs w:val="18"/>
                <w:color w:val="auto"/>
              </w:rPr>
            </w:pPr>
          </w:p>
        </w:tc>
        <w:tc>
          <w:tcPr>
            <w:tcW w:w="500" w:type="dxa"/>
            <w:vAlign w:val="bottom"/>
            <w:tcBorders>
              <w:right w:val="single" w:sz="8" w:color="auto"/>
            </w:tcBorders>
            <w:vMerge w:val="continue"/>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340" w:type="dxa"/>
            <w:vAlign w:val="bottom"/>
            <w:tcBorders>
              <w:left w:val="single" w:sz="8" w:color="auto"/>
            </w:tcBorders>
          </w:tcPr>
          <w:p>
            <w:pPr>
              <w:spacing w:after="0"/>
              <w:rPr>
                <w:sz w:val="5"/>
                <w:szCs w:val="5"/>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7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142,377,450 shares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142,377,450 shares </w:t>
            </w:r>
            <w:r>
              <w:rPr>
                <w:rFonts w:ascii="Times New Roman" w:cs="Times New Roman" w:eastAsia="Times New Roman" w:hAnsi="Times New Roman"/>
                <w:sz w:val="29"/>
                <w:szCs w:val="29"/>
                <w:color w:val="auto"/>
                <w:vertAlign w:val="superscript"/>
              </w:rPr>
              <w:t>1</w:t>
            </w: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34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40" w:type="dxa"/>
            <w:vAlign w:val="bottom"/>
            <w:tcBorders>
              <w:bottom w:val="single" w:sz="8" w:color="auto"/>
              <w:right w:val="single" w:sz="8" w:color="auto"/>
            </w:tcBorders>
            <w:gridSpan w:val="4"/>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82.5%</w:t>
            </w:r>
            <w:r>
              <w:rPr>
                <w:rFonts w:ascii="Times New Roman" w:cs="Times New Roman" w:eastAsia="Times New Roman" w:hAnsi="Times New Roman"/>
                <w:sz w:val="29"/>
                <w:szCs w:val="29"/>
                <w:color w:val="auto"/>
                <w:vertAlign w:val="superscript"/>
              </w:rPr>
              <w:t>2</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HC</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54" w:lineRule="auto"/>
        <w:tabs>
          <w:tab w:leader="none" w:pos="3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reported shares consist of (i) 71,500,000 shares of Class B common stock and (ii) 70,877,450 shares of Class D common stock held directly by OPAL HoldCo LLC.</w:t>
      </w:r>
    </w:p>
    <w:p>
      <w:pPr>
        <w:ind w:left="340" w:hanging="332"/>
        <w:spacing w:after="0" w:line="247" w:lineRule="auto"/>
        <w:tabs>
          <w:tab w:leader="none" w:pos="3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All ownership percentages in this schedule are calculated based on an aggregate of 28,082,832 shares of Class A common stock outstanding, 71,500,000 shares of Class B common stock outstanding, and 72,899,037 shares of Class D common stock outstanding as of March 14,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68347P 103</w:t>
            </w:r>
          </w:p>
        </w:tc>
        <w:tc>
          <w:tcPr>
            <w:tcW w:w="560" w:type="dxa"/>
            <w:vAlign w:val="bottom"/>
          </w:tcPr>
          <w:p>
            <w:pPr>
              <w:spacing w:after="0"/>
              <w:rPr>
                <w:sz w:val="20"/>
                <w:szCs w:val="20"/>
                <w:color w:val="auto"/>
              </w:rPr>
            </w:pPr>
          </w:p>
        </w:tc>
        <w:tc>
          <w:tcPr>
            <w:tcW w:w="8620" w:type="dxa"/>
            <w:vAlign w:val="bottom"/>
          </w:tcPr>
          <w:p>
            <w:pPr>
              <w:ind w:left="7280"/>
              <w:spacing w:after="0"/>
              <w:rPr>
                <w:sz w:val="20"/>
                <w:szCs w:val="20"/>
                <w:color w:val="auto"/>
              </w:rPr>
            </w:pPr>
            <w:r>
              <w:rPr>
                <w:rFonts w:ascii="Times New Roman" w:cs="Times New Roman" w:eastAsia="Times New Roman" w:hAnsi="Times New Roman"/>
                <w:sz w:val="18"/>
                <w:szCs w:val="18"/>
                <w:b w:val="1"/>
                <w:bCs w:val="1"/>
                <w:color w:val="auto"/>
                <w:w w:val="96"/>
              </w:rPr>
              <w:t>SCHEDULE 13D</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Hillman RNG Investments, LLC</w:t>
            </w: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78"/>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4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4"/>
                <w:szCs w:val="24"/>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SOURCE OF FUNDS</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34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2,021,587 shares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10"/>
                <w:szCs w:val="10"/>
                <w:color w:val="auto"/>
              </w:rPr>
            </w:pPr>
          </w:p>
        </w:tc>
        <w:tc>
          <w:tcPr>
            <w:tcW w:w="8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vMerge w:val="continue"/>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340" w:type="dxa"/>
            <w:vAlign w:val="bottom"/>
            <w:tcBorders>
              <w:left w:val="single" w:sz="8" w:color="auto"/>
            </w:tcBorders>
          </w:tcPr>
          <w:p>
            <w:pPr>
              <w:spacing w:after="0"/>
              <w:rPr>
                <w:sz w:val="5"/>
                <w:szCs w:val="5"/>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720" w:type="dxa"/>
            <w:vAlign w:val="bottom"/>
            <w:tcBorders>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2,021,587 shares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 xml:space="preserve">2,021,587 shares </w:t>
            </w:r>
            <w:r>
              <w:rPr>
                <w:rFonts w:ascii="Times New Roman" w:cs="Times New Roman" w:eastAsia="Times New Roman" w:hAnsi="Times New Roman"/>
                <w:sz w:val="29"/>
                <w:szCs w:val="29"/>
                <w:color w:val="auto"/>
                <w:w w:val="98"/>
                <w:vertAlign w:val="superscript"/>
              </w:rPr>
              <w:t>1</w:t>
            </w:r>
          </w:p>
        </w:tc>
        <w:tc>
          <w:tcPr>
            <w:tcW w:w="56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34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4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29"/>
                <w:szCs w:val="29"/>
                <w:color w:val="auto"/>
                <w:vertAlign w:val="superscript"/>
              </w:rPr>
              <w:t>2</w:t>
            </w:r>
          </w:p>
        </w:tc>
        <w:tc>
          <w:tcPr>
            <w:tcW w:w="56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reported shares consist of 2,021,587 shares of Class D common stock held directly by Hillman RNG Investments, LLC.</w:t>
      </w:r>
    </w:p>
    <w:p>
      <w:pPr>
        <w:spacing w:after="0" w:line="24" w:lineRule="exact"/>
        <w:rPr>
          <w:rFonts w:ascii="Times New Roman" w:cs="Times New Roman" w:eastAsia="Times New Roman" w:hAnsi="Times New Roman"/>
          <w:sz w:val="19"/>
          <w:szCs w:val="19"/>
          <w:color w:val="auto"/>
        </w:rPr>
      </w:pPr>
    </w:p>
    <w:p>
      <w:pPr>
        <w:ind w:left="340" w:hanging="332"/>
        <w:spacing w:after="0" w:line="268" w:lineRule="auto"/>
        <w:tabs>
          <w:tab w:leader="none" w:pos="3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All ownership percentages in this schedule are calculated based on an aggregate of 28,082,832 shares of Class A common stock outstanding, 71,500,000 shares of Class B common stock outstanding, and 72,899,037 shares of Class D common stock outstanding as of March 14, 2024.</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68347P 103</w:t>
            </w:r>
          </w:p>
        </w:tc>
        <w:tc>
          <w:tcPr>
            <w:tcW w:w="560" w:type="dxa"/>
            <w:vAlign w:val="bottom"/>
          </w:tcPr>
          <w:p>
            <w:pPr>
              <w:spacing w:after="0"/>
              <w:rPr>
                <w:sz w:val="20"/>
                <w:szCs w:val="20"/>
                <w:color w:val="auto"/>
              </w:rPr>
            </w:pPr>
          </w:p>
        </w:tc>
        <w:tc>
          <w:tcPr>
            <w:tcW w:w="8620" w:type="dxa"/>
            <w:vAlign w:val="bottom"/>
          </w:tcPr>
          <w:p>
            <w:pPr>
              <w:ind w:left="7280"/>
              <w:spacing w:after="0"/>
              <w:rPr>
                <w:sz w:val="20"/>
                <w:szCs w:val="20"/>
                <w:color w:val="auto"/>
              </w:rPr>
            </w:pPr>
            <w:r>
              <w:rPr>
                <w:rFonts w:ascii="Times New Roman" w:cs="Times New Roman" w:eastAsia="Times New Roman" w:hAnsi="Times New Roman"/>
                <w:sz w:val="18"/>
                <w:szCs w:val="18"/>
                <w:b w:val="1"/>
                <w:bCs w:val="1"/>
                <w:color w:val="auto"/>
                <w:w w:val="96"/>
              </w:rPr>
              <w:t>SCHEDULE 13D</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Fortistar LLC</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78"/>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4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4"/>
                <w:szCs w:val="24"/>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SOURCE OF FUNDS</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WC</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34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145,279,637 shares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10"/>
                <w:szCs w:val="10"/>
                <w:color w:val="auto"/>
              </w:rPr>
            </w:pPr>
          </w:p>
        </w:tc>
        <w:tc>
          <w:tcPr>
            <w:tcW w:w="8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vMerge w:val="continue"/>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340" w:type="dxa"/>
            <w:vAlign w:val="bottom"/>
            <w:tcBorders>
              <w:left w:val="single" w:sz="8" w:color="auto"/>
            </w:tcBorders>
          </w:tcPr>
          <w:p>
            <w:pPr>
              <w:spacing w:after="0"/>
              <w:rPr>
                <w:sz w:val="5"/>
                <w:szCs w:val="5"/>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720" w:type="dxa"/>
            <w:vAlign w:val="bottom"/>
            <w:tcBorders>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8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145,279,637 shares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145,279,637 shares </w:t>
            </w:r>
            <w:r>
              <w:rPr>
                <w:rFonts w:ascii="Times New Roman" w:cs="Times New Roman" w:eastAsia="Times New Roman" w:hAnsi="Times New Roman"/>
                <w:sz w:val="29"/>
                <w:szCs w:val="29"/>
                <w:color w:val="auto"/>
                <w:vertAlign w:val="superscript"/>
              </w:rPr>
              <w:t>1</w:t>
            </w: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34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4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29"/>
                <w:szCs w:val="29"/>
                <w:color w:val="auto"/>
                <w:vertAlign w:val="superscript"/>
              </w:rPr>
              <w:t>2</w:t>
            </w:r>
          </w:p>
        </w:tc>
        <w:tc>
          <w:tcPr>
            <w:tcW w:w="56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2" w:lineRule="auto"/>
        <w:tabs>
          <w:tab w:leader="none" w:pos="3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reported shares consist of (i) 880,600 shares of Class A common stock held by Fortistar LLC, (ii) 71,500,000 shares of Class B common stock held by OPAL HoldCo LLC, (iii) 70,877,450 shares of Class D common stock held by OPAL HoldCo LLC and (iv) 2,021,587 shares of Class D common stock held by Hillman RNG Investments, LLC.</w:t>
      </w:r>
    </w:p>
    <w:p>
      <w:pPr>
        <w:spacing w:after="0" w:line="2" w:lineRule="exact"/>
        <w:rPr>
          <w:rFonts w:ascii="Times New Roman" w:cs="Times New Roman" w:eastAsia="Times New Roman" w:hAnsi="Times New Roman"/>
          <w:sz w:val="19"/>
          <w:szCs w:val="19"/>
          <w:color w:val="auto"/>
        </w:rPr>
      </w:pPr>
    </w:p>
    <w:p>
      <w:pPr>
        <w:ind w:left="340" w:hanging="332"/>
        <w:spacing w:after="0" w:line="247" w:lineRule="auto"/>
        <w:tabs>
          <w:tab w:leader="none" w:pos="3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All ownership percentages in this schedule are calculated based on an aggregate of 28,082,832 shares of Class A common stock outstanding, 71,500,000 shares of Class B common stock outstanding, and 72,899,037 shares of Class D common stock outstanding as of March 14,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Amendment No. 1 on Schedule 13D (this “Schedule 13D”) relates to the Issuer’s Class A common stock, $0.0001 par value per share, and amends and further supplements the Schedule 13D originally filed on July 29, 2022 (as amended from time to time, the “Statement”) by Mark Comora, OPAL HoldCo LLC, Hillman RNG Investments, LLC, and Fortistar LLC (collectively, the “Reporting Persons”). The Reporting Persons are filing this Schedule 13D to report the exchange by OPAL HoldCo LLC of an aggregate of 71,500,000 shares of Class D common stock into 71,500,000 shares of Class B common stock as disclosed in Item 5 below. Except as expressly set forth herein, there have been no changes to the Statement. The Issuer’s principal executive offices are located at One North Lexington Avenue, Suite 1450, White Plains, New York 10601. Except as otherwise indicated, capitalized terms used and not defined in this Amendment No. 1 shall have the meaning assigned to such term in the Schedule 13D.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Certificate of Incorporation of the Issuer, each share of Class D common stock is convertible into one share of Class B common stock at the option of the holder thereof at any time upon written notice to the Issuer. No conversion price is required to be paid in connection with such conversion. On March 12, 2024, OPAL HoldCo LLC delivered notice to the Issuer of its election to exchange 71,500,000 shares of Class D common stock into a corresponding number of Class B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responses to Items 11 and 13 on the cover page.</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responses to Items 7, 8, 9 and 10 on the cover page.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15, 2024</w:t>
            </w:r>
          </w:p>
        </w:tc>
        <w:tc>
          <w:tcPr>
            <w:tcW w:w="3160" w:type="dxa"/>
            <w:vAlign w:val="bottom"/>
          </w:tcPr>
          <w:p>
            <w:pPr>
              <w:spacing w:after="0"/>
              <w:rPr>
                <w:sz w:val="20"/>
                <w:szCs w:val="20"/>
                <w:color w:val="auto"/>
              </w:rPr>
            </w:pP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Coghlin, as Attorney-in-Fact</w:t>
            </w:r>
          </w:p>
        </w:tc>
      </w:tr>
      <w:tr>
        <w:trPr>
          <w:trHeight w:val="234"/>
        </w:trPr>
        <w:tc>
          <w:tcPr>
            <w:tcW w:w="3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Comora</w:t>
            </w:r>
          </w:p>
        </w:tc>
      </w:tr>
      <w:tr>
        <w:trPr>
          <w:trHeight w:val="414"/>
        </w:trPr>
        <w:tc>
          <w:tcPr>
            <w:tcW w:w="3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OPAL HoldCo LLC</w:t>
            </w:r>
          </w:p>
        </w:tc>
      </w:tr>
      <w:tr>
        <w:trPr>
          <w:trHeight w:val="432"/>
        </w:trPr>
        <w:tc>
          <w:tcPr>
            <w:tcW w:w="3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John Coghlin, as Attorney-in-Fact</w:t>
            </w:r>
          </w:p>
        </w:tc>
      </w:tr>
      <w:tr>
        <w:trPr>
          <w:trHeight w:val="27"/>
        </w:trPr>
        <w:tc>
          <w:tcPr>
            <w:tcW w:w="36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40" w:type="dxa"/>
            <w:vAlign w:val="bottom"/>
            <w:shd w:val="clear" w:color="auto" w:fill="000000"/>
          </w:tcPr>
          <w:p>
            <w:pPr>
              <w:spacing w:after="0"/>
              <w:rPr>
                <w:sz w:val="2"/>
                <w:szCs w:val="2"/>
                <w:color w:val="auto"/>
              </w:rPr>
            </w:pPr>
          </w:p>
        </w:tc>
      </w:tr>
      <w:tr>
        <w:trPr>
          <w:trHeight w:val="418"/>
        </w:trPr>
        <w:tc>
          <w:tcPr>
            <w:tcW w:w="3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Hillman RNG Investments, LLC</w:t>
            </w:r>
          </w:p>
        </w:tc>
      </w:tr>
      <w:tr>
        <w:trPr>
          <w:trHeight w:val="432"/>
        </w:trPr>
        <w:tc>
          <w:tcPr>
            <w:tcW w:w="3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John Coghlin, as Attorney-in-Fact</w:t>
            </w:r>
          </w:p>
        </w:tc>
      </w:tr>
      <w:tr>
        <w:trPr>
          <w:trHeight w:val="27"/>
        </w:trPr>
        <w:tc>
          <w:tcPr>
            <w:tcW w:w="36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40" w:type="dxa"/>
            <w:vAlign w:val="bottom"/>
            <w:shd w:val="clear" w:color="auto" w:fill="000000"/>
          </w:tcPr>
          <w:p>
            <w:pPr>
              <w:spacing w:after="0"/>
              <w:rPr>
                <w:sz w:val="2"/>
                <w:szCs w:val="2"/>
                <w:color w:val="auto"/>
              </w:rPr>
            </w:pPr>
          </w:p>
        </w:tc>
      </w:tr>
      <w:tr>
        <w:trPr>
          <w:trHeight w:val="418"/>
        </w:trPr>
        <w:tc>
          <w:tcPr>
            <w:tcW w:w="3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Fortistar LLC</w:t>
            </w:r>
          </w:p>
        </w:tc>
      </w:tr>
      <w:tr>
        <w:trPr>
          <w:trHeight w:val="439"/>
        </w:trPr>
        <w:tc>
          <w:tcPr>
            <w:tcW w:w="3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John Coghlin, as Attorney-in-Fact</w:t>
            </w:r>
          </w:p>
        </w:tc>
      </w:tr>
      <w:tr>
        <w:trPr>
          <w:trHeight w:val="871"/>
        </w:trPr>
        <w:tc>
          <w:tcPr>
            <w:tcW w:w="36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bottom w:val="single" w:sz="8" w:color="auto"/>
            </w:tcBorders>
          </w:tcPr>
          <w:p>
            <w:pPr>
              <w:spacing w:after="0"/>
              <w:rPr>
                <w:sz w:val="24"/>
                <w:szCs w:val="24"/>
                <w:color w:val="auto"/>
              </w:rPr>
            </w:pPr>
          </w:p>
        </w:tc>
        <w:tc>
          <w:tcPr>
            <w:tcW w:w="4040" w:type="dxa"/>
            <w:vAlign w:val="bottom"/>
            <w:tcBorders>
              <w:top w:val="single" w:sz="8" w:color="auto"/>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2024-03-15T15:13:54Z</dcterms:created>
  <dcterms:modified xsi:type="dcterms:W3CDTF">2024-03-15T15:13:54Z</dcterms:modified>
</cp:coreProperties>
</file>