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10-Q/A</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224155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40" w:type="dxa"/>
        <w:tblCellMar>
          <w:top w:w="0" w:type="dxa"/>
          <w:left w:w="0" w:type="dxa"/>
          <w:bottom w:w="0" w:type="dxa"/>
          <w:right w:w="0" w:type="dxa"/>
        </w:tblCellMar>
      </w:tblPr>
      <w:tr>
        <w:trPr>
          <w:trHeight w:val="212"/>
        </w:trPr>
        <w:tc>
          <w:tcPr>
            <w:tcW w:w="4280" w:type="dxa"/>
            <w:vAlign w:val="bottom"/>
          </w:tcPr>
          <w:p>
            <w:pPr>
              <w:jc w:val="center"/>
              <w:ind w:right="721"/>
              <w:spacing w:after="0"/>
              <w:rPr>
                <w:sz w:val="20"/>
                <w:szCs w:val="20"/>
                <w:color w:val="auto"/>
              </w:rPr>
            </w:pPr>
            <w:r>
              <w:rPr>
                <w:rFonts w:ascii="Arial" w:cs="Arial" w:eastAsia="Arial" w:hAnsi="Arial"/>
                <w:sz w:val="18"/>
                <w:szCs w:val="18"/>
                <w:b w:val="1"/>
                <w:bCs w:val="1"/>
                <w:color w:val="auto"/>
                <w:w w:val="90"/>
              </w:rPr>
              <w:t>Cayman Islands</w:t>
            </w:r>
          </w:p>
        </w:tc>
        <w:tc>
          <w:tcPr>
            <w:tcW w:w="2880" w:type="dxa"/>
            <w:vAlign w:val="bottom"/>
          </w:tcPr>
          <w:p>
            <w:pPr>
              <w:ind w:left="820"/>
              <w:spacing w:after="0"/>
              <w:rPr>
                <w:sz w:val="20"/>
                <w:szCs w:val="20"/>
                <w:color w:val="auto"/>
              </w:rPr>
            </w:pPr>
            <w:r>
              <w:rPr>
                <w:rFonts w:ascii="Arial" w:cs="Arial" w:eastAsia="Arial" w:hAnsi="Arial"/>
                <w:sz w:val="18"/>
                <w:szCs w:val="18"/>
                <w:b w:val="1"/>
                <w:bCs w:val="1"/>
                <w:color w:val="auto"/>
              </w:rPr>
              <w:t>001-40272</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98-1578357</w:t>
            </w:r>
          </w:p>
        </w:tc>
      </w:tr>
      <w:tr>
        <w:trPr>
          <w:trHeight w:val="149"/>
        </w:trPr>
        <w:tc>
          <w:tcPr>
            <w:tcW w:w="4280" w:type="dxa"/>
            <w:vAlign w:val="bottom"/>
          </w:tcPr>
          <w:p>
            <w:pPr>
              <w:jc w:val="center"/>
              <w:ind w:right="72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80" w:type="dxa"/>
            <w:vAlign w:val="bottom"/>
          </w:tcPr>
          <w:p>
            <w:pPr>
              <w:ind w:left="82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280" w:type="dxa"/>
            <w:vAlign w:val="bottom"/>
          </w:tcPr>
          <w:p>
            <w:pPr>
              <w:jc w:val="center"/>
              <w:ind w:right="721"/>
              <w:spacing w:after="0"/>
              <w:rPr>
                <w:sz w:val="20"/>
                <w:szCs w:val="20"/>
                <w:color w:val="auto"/>
              </w:rPr>
            </w:pPr>
            <w:r>
              <w:rPr>
                <w:rFonts w:ascii="Arial" w:cs="Arial" w:eastAsia="Arial" w:hAnsi="Arial"/>
                <w:sz w:val="14"/>
                <w:szCs w:val="14"/>
                <w:b w:val="1"/>
                <w:bCs w:val="1"/>
                <w:color w:val="auto"/>
                <w:w w:val="94"/>
              </w:rPr>
              <w:t>incorporation or organization)</w:t>
            </w:r>
          </w:p>
        </w:tc>
        <w:tc>
          <w:tcPr>
            <w:tcW w:w="2880" w:type="dxa"/>
            <w:vAlign w:val="bottom"/>
          </w:tcPr>
          <w:p>
            <w:pPr>
              <w:ind w:left="80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08"/>
        </w:trPr>
        <w:tc>
          <w:tcPr>
            <w:tcW w:w="4280" w:type="dxa"/>
            <w:vAlign w:val="bottom"/>
          </w:tcPr>
          <w:p>
            <w:pPr>
              <w:jc w:val="center"/>
              <w:ind w:right="701"/>
              <w:spacing w:after="0"/>
              <w:rPr>
                <w:sz w:val="20"/>
                <w:szCs w:val="20"/>
                <w:color w:val="auto"/>
              </w:rPr>
            </w:pPr>
            <w:r>
              <w:rPr>
                <w:rFonts w:ascii="Arial" w:cs="Arial" w:eastAsia="Arial" w:hAnsi="Arial"/>
                <w:sz w:val="18"/>
                <w:szCs w:val="18"/>
                <w:b w:val="1"/>
                <w:bCs w:val="1"/>
                <w:color w:val="auto"/>
                <w:w w:val="91"/>
              </w:rPr>
              <w:t>200 Clarendon Street, 55th Floor Boston, MA</w:t>
            </w:r>
          </w:p>
        </w:tc>
        <w:tc>
          <w:tcPr>
            <w:tcW w:w="2880" w:type="dxa"/>
            <w:vAlign w:val="bottom"/>
          </w:tcPr>
          <w:p>
            <w:pPr>
              <w:spacing w:after="0"/>
              <w:rPr>
                <w:sz w:val="24"/>
                <w:szCs w:val="24"/>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02116</w:t>
            </w:r>
          </w:p>
        </w:tc>
      </w:tr>
      <w:tr>
        <w:trPr>
          <w:trHeight w:val="186"/>
        </w:trPr>
        <w:tc>
          <w:tcPr>
            <w:tcW w:w="4280" w:type="dxa"/>
            <w:vAlign w:val="bottom"/>
          </w:tcPr>
          <w:p>
            <w:pPr>
              <w:jc w:val="center"/>
              <w:ind w:right="7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8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(617) 531-6300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ACTDU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Share, $0.0001 par value, and one-fifth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Shares included as part of the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Redeemable warrants included as part of the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 each whole warrant exercisable for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7"/>
              </w:rPr>
              <w:t>$11.50</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November 5, 2021, 31,116,305 shares of Class A ordinary shares, par value $0.0001, and 7,779,076 shares of Class B ordinary shares, par value $0.0001,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33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References throughout this Amendment No. 1 to the Quarterly Report on Form 10-Q to “we,” “us,” the “Company” or “our company” are to ArcLight Clean Transition Corp. II, unless the context otherwise indicates.</w:t>
      </w:r>
    </w:p>
    <w:p>
      <w:pPr>
        <w:spacing w:after="0" w:line="170"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This Amendment No. 1 (“Amendment No. 1”) to the Quarterly Report on Form 10-Q/A amends the Quarterly Report on Form 10-Q of ArcLight Clean Transition Corp. II as of September 30, 2021 and for the three months ended September 30, 2021 and for the period from January 13, 2021 (inception) through September 30, 2021, as filed with the Securities and Exchange Commission (“SEC”) on November 5, 2021 (the “First Amended Filing”).</w:t>
      </w:r>
    </w:p>
    <w:p>
      <w:pPr>
        <w:spacing w:after="0" w:line="14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November 5, 2021, ArcLight Clean Transition Corp. II (the “Company”) filed its Form 10-Q for the quarterly period ending September 30, 2021 (the “Q3 Form 10-Q”), which included a Note 2, Revision of Previously Issued Financial Statements, (“Note 2”) that describes a revision to the Company’s classification of its Class A ordinary shares subject to redemption issued as part of the units sold in the Company’s initial public offering (“IPO”) on March 25, 2021. As described in Note 2, upon its IPO, the Company classified a portion of the Class A ordinary shares as permanent equity to maintain net tangible assets greater than $5,000,000 on the basis that the Company will consummate its initial business combination only if the Company has net tangible assets of at least $5,000,001. The Company’s management re-evaluated the conclusion and determined that the Class A ordinary shares subject to redemption included certain provisions that require classification of the Class A ordinary shares as temporary equity regardless of the minimum net tangible assets required to complete the Company’s initial business combination. As a result, management corrected the error by revising all Class A ordinary shares subject to redemption as temporary equity. This resulted in an adjustment to the initial carrying value of the Class A ordinary shares subject to possible redemption with the offset recorded to additional paid-in capital (to the extent available), accumulated deficit and Class A ordinary shares.</w:t>
      </w:r>
    </w:p>
    <w:p>
      <w:pPr>
        <w:spacing w:after="0" w:line="18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connection with the change in presentation for the Class A ordinary shares subject to possible redemption, the Company revised its earnings per share calculation to allocate income and losses shared pro rata between the two classes of shares. This presentation differs from the previously presented method of earnings per share, which was similar to the two-class method.</w:t>
      </w:r>
    </w:p>
    <w:p>
      <w:pPr>
        <w:spacing w:after="0" w:line="18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Company determined the changes were not qualitatively material to the Company’s previously issued financial statements and did not restate its financial statements. Instead, the Company revised its previously financial statements in Note 2 to its Q3 Form 10-Q. Although the qualitative factors that management assessed tended to support a conclusion that the misstatements were not material, these factors were not strong enough to overcome the significant quantitative errors in the financial statements. The qualitative and quantitative factors support a conclusion that the misstatements are material on a quantitative basis. Management concluded that the misstatement was such of magnitude that it is probable that the judgment of a reasonable person relying upon the financial statements would have been influenced by the inclusion or correction of the foregoing items. As such, upon further consideration of the change, the Company determined the change in classification of the Class A ordinary shares subject to redemption and change to its presentation of earnings per share is material quantitatively and it should restate its previously issued financial statements.</w:t>
      </w:r>
    </w:p>
    <w:p>
      <w:pPr>
        <w:spacing w:after="0" w:line="16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Therefore, on November 24, 2021, the Company’s management and the audit committee of the Company’s board of directors (the “Audit Committee”) concluded that the Company’s previously issued unaudited interim financial statements included in the Company’s Quarterly Report on Form 10-Q for the quarterly period ended September 30, 2021, filed with the SEC on November 5, 2021 (collectively, the “Affected Period”), should be restated to report all Public Shares as temporary equity and should no longer be relied upon.</w:t>
      </w:r>
    </w:p>
    <w:p>
      <w:pPr>
        <w:spacing w:after="0" w:line="17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As such, the Company is restating its unaudited interim financial statements included in the Company’s Quarterly Report on Form 10-Q for the quarterly period ended September 30, 2021 in this Form 10-Q/A, Amendment No. 1 to remove the “Revision to Previously Reported Financial Statements” included in Note 2 as the Company has amended the Form 10Q for the quarters ended March 31, 2021 and June 30, 2021.</w:t>
      </w:r>
    </w:p>
    <w:p>
      <w:pPr>
        <w:spacing w:after="0" w:line="16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Company determined that none of the above changes will have any impact on its cash position and cash held in the trust account established in connection with the IPO.</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After re-evaluation, the Company’s management has concluded that in light of the errors described above, a material weakness existed in the Company’s internal control over financial reporting during the Affected Periods as well as the unaudited interim financial statements included in the Company’s Quarterly Report on Form 10-Q for the quarterly period ended September 30, 2021, filed with the SEC on November 5, 2021; and that the Company’s disclosure controls and procedures were not effective. The Company’s remediation plan with respect to such material weakness is described in more detail in Item 4 of Part I to this Quarterly Report on Form 10-Q/A.</w:t>
      </w:r>
    </w:p>
    <w:p>
      <w:pPr>
        <w:sectPr>
          <w:pgSz w:w="11900" w:h="16838" w:orient="portrait"/>
          <w:cols w:equalWidth="0" w:num="1">
            <w:col w:w="11120"/>
          </w:cols>
          <w:pgMar w:left="320" w:top="48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1"/>
        </w:trPr>
        <w:tc>
          <w:tcPr>
            <w:tcW w:w="10660" w:type="dxa"/>
            <w:vAlign w:val="bottom"/>
            <w:gridSpan w:val="23"/>
            <w:vMerge w:val="restart"/>
          </w:tcPr>
          <w:p>
            <w:pPr>
              <w:ind w:left="36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56"/>
        </w:trPr>
        <w:tc>
          <w:tcPr>
            <w:tcW w:w="10660" w:type="dxa"/>
            <w:vAlign w:val="bottom"/>
            <w:gridSpan w:val="23"/>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Balance Sheet as of September 30, 2021 (unaudited)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21"/>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 Condensed Statements of Operations for the Three Months ended September 30, 2021, and for the period from January 13,</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2021 (inception) through September 30, 2021 (as restated)</w:t>
              </w:r>
            </w:hyperlink>
          </w:p>
        </w:tc>
        <w:tc>
          <w:tcPr>
            <w:tcW w:w="1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21"/>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Unaudited Condensed Statement of Changes in Shareholders’ Deficit for the Three Months Ended September 30, 2021 and for the</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2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period from January 13, 2021 (inception) through September 30, 2021</w:t>
              </w:r>
            </w:hyperlink>
          </w:p>
        </w:tc>
        <w:tc>
          <w:tcPr>
            <w:tcW w:w="4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21"/>
          </w:tcPr>
          <w:p>
            <w:pPr>
              <w:spacing w:after="0" w:line="196"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Unaudited Condensed Statement of Cash Flows for the period from January 13, 2021 (inception) through September 30, 2021</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Unaudited Condensed Financial Statements (as restated)</w:t>
              </w:r>
            </w:hyperlink>
          </w:p>
        </w:tc>
        <w:tc>
          <w:tcPr>
            <w:tcW w:w="4340" w:type="dxa"/>
            <w:vAlign w:val="bottom"/>
            <w:tcBorders>
              <w:top w:val="single" w:sz="8" w:color="0000EE"/>
            </w:tcBorders>
            <w:gridSpan w:val="4"/>
          </w:tcPr>
          <w:p>
            <w:pPr>
              <w:spacing w:after="0"/>
              <w:rPr>
                <w:sz w:val="17"/>
                <w:szCs w:val="17"/>
                <w:color w:val="auto"/>
              </w:rPr>
            </w:pPr>
          </w:p>
        </w:tc>
        <w:tc>
          <w:tcPr>
            <w:tcW w:w="7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54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80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 (as restated)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3"/>
          </w:tcPr>
          <w:p>
            <w:pPr>
              <w:ind w:left="360"/>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846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80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3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 from Registered Securities</w:t>
              </w:r>
            </w:hyperlink>
          </w:p>
        </w:tc>
        <w:tc>
          <w:tcPr>
            <w:tcW w:w="34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80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748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04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920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00"/>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SIGNATURES</w:t>
        </w:r>
      </w:hyperlink>
    </w:p>
    <w:p>
      <w:pPr>
        <w:sectPr>
          <w:pgSz w:w="11900" w:h="16838" w:orient="portrait"/>
          <w:cols w:equalWidth="0" w:num="1">
            <w:col w:w="11080"/>
          </w:cols>
          <w:pgMar w:left="320" w:top="486"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rPr>
              <w:t>ARCLIGHT CLEAN TRANSITION CORP. II</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UNAUDITED CONDENSED BALANCE SHEET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SEPTEMBER 30, 2021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1,092,857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1,041,828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2,134,685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311,171,488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313,306,173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77,565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277,565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legal fees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10,890,707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16,991,180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28,751,810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Class A ordinary shares subject to possible redemption; 31,116,305 shares at redemption value of $10.00</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311,163,050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Preference shares, $0.0001 par value; 5,000,000 shares authorized; none issued and outstanding</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Class A ordinary shares, $0.0001 par value; 500,000,000 shares authorized (excluding 31,116,305 shares subject to possible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Class B ordinary shares, $0.0001 par value; 50,000,000 shares authorized; 7,779,076 shares issued and outstanding</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(26,609,465)</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(26,608,687)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313,306,173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73"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SEPTEMBER 30, 2021 AND THE PERIOD FROM JANUARY 13,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(INCEPTION) THROUGH SEPTEMBER 30,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34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3"/>
              </w:rPr>
              <w:t>For the three</w:t>
            </w:r>
          </w:p>
        </w:tc>
        <w:tc>
          <w:tcPr>
            <w:tcW w:w="116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January 13, 2021</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3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80" w:type="dxa"/>
            <w:vAlign w:val="bottom"/>
          </w:tcPr>
          <w:p>
            <w:pPr>
              <w:spacing w:after="0"/>
              <w:rPr>
                <w:sz w:val="12"/>
                <w:szCs w:val="12"/>
                <w:color w:val="auto"/>
              </w:rPr>
            </w:pPr>
          </w:p>
        </w:tc>
        <w:tc>
          <w:tcPr>
            <w:tcW w:w="10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3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0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750,307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(750,307)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(1,273,196)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8,958,980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(1,995,420)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costs - warrant liabilities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(462,620)</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Net gain on investments held in Trust Account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8,438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8,962,961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(2,449,602)</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8,212,654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(3,722,798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A common stock, basic and 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31,116,305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23,275,976</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(loss) per ordinary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B common stock, basic and 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7,779,076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7,551,277</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(loss) per ordinary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CHANGES IN SHAREHOLDERS’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SEPTEMBER 30, 2021 AND THE PERIOD FROM JANUARY 13,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(INCEPTION) THROUGH SEPTEMBER 30, 2021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ind w:left="280"/>
              <w:spacing w:after="0"/>
              <w:rPr>
                <w:sz w:val="20"/>
                <w:szCs w:val="20"/>
                <w:color w:val="auto"/>
              </w:rPr>
            </w:pPr>
            <w:r>
              <w:rPr>
                <w:rFonts w:ascii="Arial" w:cs="Arial" w:eastAsia="Arial" w:hAnsi="Arial"/>
                <w:sz w:val="14"/>
                <w:szCs w:val="14"/>
                <w:b w:val="1"/>
                <w:bCs w:val="1"/>
                <w:color w:val="auto"/>
                <w:w w:val="93"/>
              </w:rPr>
              <w:t>Ordinary Shares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Additional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
        </w:trPr>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line="20" w:lineRule="exact"/>
              <w:rPr>
                <w:sz w:val="1"/>
                <w:szCs w:val="1"/>
                <w:color w:val="auto"/>
              </w:rPr>
            </w:pPr>
          </w:p>
        </w:tc>
        <w:tc>
          <w:tcPr>
            <w:tcW w:w="1080" w:type="dxa"/>
            <w:vAlign w:val="bottom"/>
            <w:gridSpan w:val="3"/>
            <w:vMerge w:val="restart"/>
          </w:tcPr>
          <w:p>
            <w:pPr>
              <w:jc w:val="right"/>
              <w:ind w:right="101"/>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line="20" w:lineRule="exact"/>
              <w:rPr>
                <w:sz w:val="1"/>
                <w:szCs w:val="1"/>
                <w:color w:val="auto"/>
              </w:rPr>
            </w:pPr>
          </w:p>
        </w:tc>
        <w:tc>
          <w:tcPr>
            <w:tcW w:w="1080" w:type="dxa"/>
            <w:vAlign w:val="bottom"/>
            <w:gridSpan w:val="3"/>
            <w:vMerge w:val="restart"/>
          </w:tcPr>
          <w:p>
            <w:pPr>
              <w:jc w:val="center"/>
              <w:ind w:right="61"/>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Class B</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01"/>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21"/>
              <w:spacing w:after="0" w:line="155"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Balance—January 13, 2021 (inception)</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Issuance of Class B ordinary shares to Sponsor</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7,906,250</w:t>
            </w:r>
          </w:p>
        </w:tc>
        <w:tc>
          <w:tcPr>
            <w:tcW w:w="24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24,209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Accretion on Class A ordinary shares subject to possible redemption</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(199,953)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(22,886,667)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(23,086,620)</w:t>
            </w:r>
          </w:p>
        </w:tc>
        <w:tc>
          <w:tcPr>
            <w:tcW w:w="0" w:type="dxa"/>
            <w:vAlign w:val="bottom"/>
          </w:tcPr>
          <w:p>
            <w:pPr>
              <w:spacing w:after="0"/>
              <w:rPr>
                <w:sz w:val="1"/>
                <w:szCs w:val="1"/>
                <w:color w:val="auto"/>
              </w:rPr>
            </w:pPr>
          </w:p>
        </w:tc>
      </w:tr>
      <w:tr>
        <w:trPr>
          <w:trHeight w:val="202"/>
        </w:trPr>
        <w:tc>
          <w:tcPr>
            <w:tcW w:w="5500" w:type="dxa"/>
            <w:vAlign w:val="bottom"/>
          </w:tcPr>
          <w:p>
            <w:pPr>
              <w:spacing w:after="0" w:line="201" w:lineRule="exact"/>
              <w:rPr>
                <w:sz w:val="20"/>
                <w:szCs w:val="20"/>
                <w:color w:val="auto"/>
              </w:rPr>
            </w:pPr>
            <w:r>
              <w:rPr>
                <w:rFonts w:ascii="Arial" w:cs="Arial" w:eastAsia="Arial" w:hAnsi="Arial"/>
                <w:sz w:val="18"/>
                <w:szCs w:val="18"/>
                <w:color w:val="auto"/>
                <w:w w:val="97"/>
              </w:rPr>
              <w:t>Sale of private placement warrants to Sponsor less fair value of private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175,731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175,731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Forfeiture of Class B ordinary shares from Sponsor</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(127,174)</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(319,783)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(319,783)</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Balance—March 31, 2021 (unaudited)</w:t>
            </w: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shd w:val="clear" w:color="auto" w:fill="CCEEFF"/>
              </w:rPr>
              <w:t>7,779,076</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778</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(23,206,450)</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(23,205,672)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(11,615,669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(11,615,669</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Balance—June 30, 2021 (unaudited)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7,779,076</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778</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(34,822,119)</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(34,821,341)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8,212,654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8,212,654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Balance—September 30, 2021 (unaudited)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7,779,076</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778</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(26,609,465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shd w:val="clear" w:color="auto" w:fill="CCEEFF"/>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(26,608,687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shd w:val="clear" w:color="auto" w:fill="CCEEFF"/>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760"/>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left="1760"/>
        <w:spacing w:after="0"/>
        <w:rPr>
          <w:sz w:val="20"/>
          <w:szCs w:val="20"/>
          <w:color w:val="auto"/>
        </w:rPr>
      </w:pPr>
      <w:r>
        <w:rPr>
          <w:rFonts w:ascii="Arial" w:cs="Arial" w:eastAsia="Arial" w:hAnsi="Arial"/>
          <w:sz w:val="18"/>
          <w:szCs w:val="18"/>
          <w:b w:val="1"/>
          <w:bCs w:val="1"/>
          <w:color w:val="auto"/>
        </w:rPr>
        <w:t>UNAUDITED CONDENSED STATEMENT OF CASH FLOWS</w:t>
      </w:r>
    </w:p>
    <w:p>
      <w:pPr>
        <w:spacing w:after="0" w:line="9" w:lineRule="exact"/>
        <w:rPr>
          <w:sz w:val="20"/>
          <w:szCs w:val="20"/>
          <w:color w:val="auto"/>
        </w:rPr>
      </w:pPr>
    </w:p>
    <w:p>
      <w:pPr>
        <w:jc w:val="center"/>
        <w:ind w:left="1760"/>
        <w:spacing w:after="0"/>
        <w:rPr>
          <w:sz w:val="20"/>
          <w:szCs w:val="20"/>
          <w:color w:val="auto"/>
        </w:rPr>
      </w:pPr>
      <w:r>
        <w:rPr>
          <w:rFonts w:ascii="Arial" w:cs="Arial" w:eastAsia="Arial" w:hAnsi="Arial"/>
          <w:sz w:val="17"/>
          <w:szCs w:val="17"/>
          <w:b w:val="1"/>
          <w:bCs w:val="1"/>
          <w:color w:val="auto"/>
        </w:rPr>
        <w:t>FOR THE PERIOD FROM JANUARY 13, 2021 (INCEPTION) THROUGH SEPTEMBER 30, 2021</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General and administrative expenses paid by related party in exchange for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General and administrative expenses paid by related party under promissory note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Change in fair value of derivative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Financing costs—warrant liabilities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gain on investments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Deferred legal fees</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deposited in Trust Account</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from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Repayment of note payable to related party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received from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Proceeds received from private placement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Offering costs paid</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Cash—beginning of the period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Cash—end of the period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Offering costs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Offering costs included in accrued expenses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Offering costs paid by related party under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Deferred underwriting commissions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Forfeiture of Class B ordinary shares from Sponsor</w:t>
      </w:r>
    </w:p>
    <w:p>
      <w:pPr>
        <w:spacing w:after="0" w:line="211" w:lineRule="exact"/>
        <w:rPr>
          <w:sz w:val="20"/>
          <w:szCs w:val="20"/>
          <w:color w:val="auto"/>
        </w:rPr>
      </w:pPr>
    </w:p>
    <w:p>
      <w:pPr>
        <w:jc w:val="center"/>
        <w:ind w:left="1760"/>
        <w:spacing w:after="0"/>
        <w:rPr>
          <w:sz w:val="20"/>
          <w:szCs w:val="20"/>
          <w:color w:val="auto"/>
        </w:rPr>
      </w:pPr>
      <w:r>
        <w:rPr>
          <w:rFonts w:ascii="Arial" w:cs="Arial" w:eastAsia="Arial" w:hAnsi="Arial"/>
          <w:sz w:val="17"/>
          <w:szCs w:val="17"/>
          <w:i w:val="1"/>
          <w:iCs w:val="1"/>
          <w:color w:val="auto"/>
        </w:rPr>
        <w:t>The accompanying notes are an integral part of these unaudited condensed financial statements.</w:t>
      </w:r>
    </w:p>
    <w:p>
      <w:pPr>
        <w:spacing w:after="0" w:line="169"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9" w:hanging="269"/>
        <w:spacing w:after="0"/>
        <w:tabs>
          <w:tab w:leader="none" w:pos="269" w:val="left"/>
        </w:tabs>
        <w:numPr>
          <w:ilvl w:val="0"/>
          <w:numId w:val="3"/>
        </w:numPr>
        <w:rPr>
          <w:rFonts w:ascii="Arial" w:cs="Arial" w:eastAsia="Arial" w:hAnsi="Arial"/>
          <w:sz w:val="16"/>
          <w:szCs w:val="16"/>
          <w:color w:val="auto"/>
        </w:rPr>
      </w:pPr>
      <w:r>
        <w:rPr>
          <w:rFonts w:ascii="Arial" w:cs="Arial" w:eastAsia="Arial" w:hAnsi="Arial"/>
          <w:sz w:val="16"/>
          <w:szCs w:val="16"/>
          <w:color w:val="auto"/>
        </w:rPr>
        <w:t>(3,722,798)</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26,800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1,995,420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462,620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(8,438)</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(1,041,828)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7,565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592,358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686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(1,663,301)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686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32" w:lineRule="exact"/>
        <w:rPr>
          <w:sz w:val="20"/>
          <w:szCs w:val="20"/>
          <w:color w:val="auto"/>
        </w:rPr>
      </w:pPr>
    </w:p>
    <w:p>
      <w:pPr>
        <w:ind w:left="109"/>
        <w:spacing w:after="0"/>
        <w:rPr>
          <w:sz w:val="20"/>
          <w:szCs w:val="20"/>
          <w:color w:val="auto"/>
        </w:rPr>
      </w:pPr>
      <w:r>
        <w:rPr>
          <w:rFonts w:ascii="Arial" w:cs="Arial" w:eastAsia="Arial" w:hAnsi="Arial"/>
          <w:sz w:val="16"/>
          <w:szCs w:val="16"/>
          <w:u w:val="single" w:color="auto"/>
          <w:color w:val="auto"/>
        </w:rPr>
        <w:t>(311,163,050</w:t>
      </w:r>
      <w:r>
        <w:rPr>
          <w:rFonts w:ascii="Arial" w:cs="Arial" w:eastAsia="Arial" w:hAnsi="Arial"/>
          <w:sz w:val="16"/>
          <w:szCs w:val="16"/>
          <w:color w:val="auto"/>
        </w:rPr>
        <w:t>)</w:t>
      </w:r>
    </w:p>
    <w:p>
      <w:pPr>
        <w:spacing w:after="0" w:line="59" w:lineRule="exact"/>
        <w:rPr>
          <w:sz w:val="20"/>
          <w:szCs w:val="20"/>
          <w:color w:val="auto"/>
        </w:rPr>
      </w:pPr>
    </w:p>
    <w:p>
      <w:pPr>
        <w:ind w:left="109"/>
        <w:spacing w:after="0"/>
        <w:rPr>
          <w:sz w:val="20"/>
          <w:szCs w:val="20"/>
          <w:color w:val="auto"/>
        </w:rPr>
      </w:pPr>
      <w:r>
        <w:rPr>
          <w:rFonts w:ascii="Arial" w:cs="Arial" w:eastAsia="Arial" w:hAnsi="Arial"/>
          <w:sz w:val="16"/>
          <w:szCs w:val="16"/>
          <w:u w:val="single" w:color="auto"/>
          <w:color w:val="auto"/>
        </w:rPr>
        <w:t>(311,163,050</w:t>
      </w:r>
      <w:r>
        <w:rPr>
          <w:rFonts w:ascii="Arial" w:cs="Arial" w:eastAsia="Arial" w:hAnsi="Arial"/>
          <w:sz w:val="16"/>
          <w:szCs w:val="16"/>
          <w:color w:val="auto"/>
        </w:rPr>
        <w:t>)</w:t>
      </w:r>
    </w:p>
    <w:p>
      <w:pPr>
        <w:spacing w:after="0" w:line="27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(171,742)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311,163,050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9,223,261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(6,295,461)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68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 w:lineRule="exact"/>
        <w:rPr>
          <w:sz w:val="20"/>
          <w:szCs w:val="20"/>
          <w:color w:val="auto"/>
        </w:rPr>
      </w:pPr>
    </w:p>
    <w:p>
      <w:pPr>
        <w:ind w:left="149"/>
        <w:spacing w:after="0"/>
        <w:rPr>
          <w:sz w:val="20"/>
          <w:szCs w:val="20"/>
          <w:color w:val="auto"/>
        </w:rPr>
      </w:pPr>
      <w:r>
        <w:rPr>
          <w:rFonts w:ascii="Arial" w:cs="Arial" w:eastAsia="Arial" w:hAnsi="Arial"/>
          <w:sz w:val="17"/>
          <w:szCs w:val="17"/>
          <w:color w:val="auto"/>
        </w:rPr>
        <w:t>313,919,208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68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8" w:lineRule="exact"/>
        <w:rPr>
          <w:sz w:val="20"/>
          <w:szCs w:val="20"/>
          <w:color w:val="auto"/>
        </w:rPr>
      </w:pPr>
    </w:p>
    <w:p>
      <w:pPr>
        <w:ind w:left="329"/>
        <w:spacing w:after="0"/>
        <w:rPr>
          <w:sz w:val="20"/>
          <w:szCs w:val="20"/>
          <w:color w:val="auto"/>
        </w:rPr>
      </w:pPr>
      <w:r>
        <w:rPr>
          <w:rFonts w:ascii="Arial" w:cs="Arial" w:eastAsia="Arial" w:hAnsi="Arial"/>
          <w:sz w:val="17"/>
          <w:szCs w:val="17"/>
          <w:color w:val="auto"/>
        </w:rPr>
        <w:t>1,092,857</w:t>
      </w:r>
    </w:p>
    <w:p>
      <w:pPr>
        <w:spacing w:after="0" w:line="35" w:lineRule="exact"/>
        <w:rPr>
          <w:sz w:val="20"/>
          <w:szCs w:val="20"/>
          <w:color w:val="auto"/>
        </w:rPr>
      </w:pPr>
    </w:p>
    <w:p>
      <w:pPr>
        <w:ind w:left="78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686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ind w:left="329" w:hanging="329"/>
        <w:spacing w:after="0"/>
        <w:tabs>
          <w:tab w:leader="none" w:pos="329" w:val="left"/>
        </w:tabs>
        <w:numPr>
          <w:ilvl w:val="0"/>
          <w:numId w:val="4"/>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1,092,857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6686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75" w:lineRule="exact"/>
        <w:rPr>
          <w:sz w:val="20"/>
          <w:szCs w:val="20"/>
          <w:color w:val="auto"/>
        </w:rPr>
      </w:pPr>
    </w:p>
    <w:p>
      <w:pPr>
        <w:ind w:left="469" w:hanging="469"/>
        <w:spacing w:after="0"/>
        <w:tabs>
          <w:tab w:leader="none" w:pos="469" w:val="left"/>
        </w:tabs>
        <w:numPr>
          <w:ilvl w:val="0"/>
          <w:numId w:val="5"/>
        </w:numPr>
        <w:rPr>
          <w:rFonts w:ascii="Arial" w:cs="Arial" w:eastAsia="Arial" w:hAnsi="Arial"/>
          <w:sz w:val="17"/>
          <w:szCs w:val="17"/>
          <w:color w:val="auto"/>
        </w:rPr>
      </w:pPr>
      <w:r>
        <w:rPr>
          <w:rFonts w:ascii="Arial" w:cs="Arial" w:eastAsia="Arial" w:hAnsi="Arial"/>
          <w:sz w:val="17"/>
          <w:szCs w:val="17"/>
          <w:color w:val="auto"/>
        </w:rPr>
        <w:t>200,000</w:t>
      </w:r>
    </w:p>
    <w:p>
      <w:pPr>
        <w:spacing w:after="0" w:line="35" w:lineRule="exact"/>
        <w:rPr>
          <w:sz w:val="20"/>
          <w:szCs w:val="20"/>
          <w:color w:val="auto"/>
        </w:rPr>
      </w:pPr>
    </w:p>
    <w:p>
      <w:pPr>
        <w:ind w:left="549" w:hanging="549"/>
        <w:spacing w:after="0"/>
        <w:tabs>
          <w:tab w:leader="none" w:pos="549" w:val="left"/>
        </w:tabs>
        <w:numPr>
          <w:ilvl w:val="0"/>
          <w:numId w:val="6"/>
        </w:numPr>
        <w:rPr>
          <w:rFonts w:ascii="Arial" w:cs="Arial" w:eastAsia="Arial" w:hAnsi="Arial"/>
          <w:sz w:val="18"/>
          <w:szCs w:val="18"/>
          <w:color w:val="auto"/>
        </w:rPr>
      </w:pPr>
      <w:r>
        <w:rPr>
          <w:rFonts w:ascii="Arial" w:cs="Arial" w:eastAsia="Arial" w:hAnsi="Arial"/>
          <w:sz w:val="18"/>
          <w:szCs w:val="18"/>
          <w:color w:val="auto"/>
        </w:rPr>
        <w:t>70,000</w:t>
      </w:r>
    </w:p>
    <w:p>
      <w:pPr>
        <w:spacing w:after="0" w:line="9" w:lineRule="exact"/>
        <w:rPr>
          <w:sz w:val="20"/>
          <w:szCs w:val="20"/>
          <w:color w:val="auto"/>
        </w:rPr>
      </w:pPr>
    </w:p>
    <w:p>
      <w:pPr>
        <w:ind w:left="469" w:hanging="469"/>
        <w:spacing w:after="0"/>
        <w:tabs>
          <w:tab w:leader="none" w:pos="469" w:val="left"/>
        </w:tabs>
        <w:numPr>
          <w:ilvl w:val="0"/>
          <w:numId w:val="7"/>
        </w:numPr>
        <w:rPr>
          <w:rFonts w:ascii="Arial" w:cs="Arial" w:eastAsia="Arial" w:hAnsi="Arial"/>
          <w:sz w:val="17"/>
          <w:szCs w:val="17"/>
          <w:color w:val="auto"/>
        </w:rPr>
      </w:pPr>
      <w:r>
        <w:rPr>
          <w:rFonts w:ascii="Arial" w:cs="Arial" w:eastAsia="Arial" w:hAnsi="Arial"/>
          <w:sz w:val="17"/>
          <w:szCs w:val="17"/>
          <w:color w:val="auto"/>
        </w:rPr>
        <w:t>144,842</w:t>
      </w:r>
    </w:p>
    <w:p>
      <w:pPr>
        <w:spacing w:after="0" w:line="20" w:lineRule="exact"/>
        <w:rPr>
          <w:rFonts w:ascii="Arial" w:cs="Arial" w:eastAsia="Arial" w:hAnsi="Arial"/>
          <w:sz w:val="17"/>
          <w:szCs w:val="17"/>
          <w:color w:val="auto"/>
        </w:rPr>
      </w:pPr>
    </w:p>
    <w:p>
      <w:pPr>
        <w:ind w:left="249" w:hanging="249"/>
        <w:spacing w:after="0"/>
        <w:tabs>
          <w:tab w:leader="none" w:pos="249" w:val="left"/>
        </w:tabs>
        <w:numPr>
          <w:ilvl w:val="0"/>
          <w:numId w:val="7"/>
        </w:numPr>
        <w:rPr>
          <w:rFonts w:ascii="Arial" w:cs="Arial" w:eastAsia="Arial" w:hAnsi="Arial"/>
          <w:sz w:val="17"/>
          <w:szCs w:val="17"/>
          <w:color w:val="auto"/>
        </w:rPr>
      </w:pPr>
      <w:r>
        <w:rPr>
          <w:rFonts w:ascii="Arial" w:cs="Arial" w:eastAsia="Arial" w:hAnsi="Arial"/>
          <w:sz w:val="17"/>
          <w:szCs w:val="17"/>
          <w:color w:val="auto"/>
        </w:rPr>
        <w:t>10,890,707</w:t>
      </w:r>
    </w:p>
    <w:p>
      <w:pPr>
        <w:spacing w:after="0" w:line="20" w:lineRule="exact"/>
        <w:rPr>
          <w:rFonts w:ascii="Arial" w:cs="Arial" w:eastAsia="Arial" w:hAnsi="Arial"/>
          <w:sz w:val="17"/>
          <w:szCs w:val="17"/>
          <w:color w:val="auto"/>
        </w:rPr>
      </w:pPr>
    </w:p>
    <w:p>
      <w:pPr>
        <w:ind w:left="869" w:hanging="869"/>
        <w:spacing w:after="0"/>
        <w:tabs>
          <w:tab w:leader="none" w:pos="869" w:val="left"/>
        </w:tabs>
        <w:numPr>
          <w:ilvl w:val="0"/>
          <w:numId w:val="7"/>
        </w:numPr>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2">
            <w:col w:w="9480" w:space="491"/>
            <w:col w:w="1109"/>
          </w:cols>
          <w:pgMar w:left="320" w:top="486"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 Restated)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Business Operations and Basis of Presentation</w:t>
      </w:r>
    </w:p>
    <w:p>
      <w:pPr>
        <w:spacing w:after="0" w:line="12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yet identified (“Business Combination”).</w:t>
      </w:r>
    </w:p>
    <w:p>
      <w:pPr>
        <w:spacing w:after="0" w:line="165"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As of September 30, 2021, the Company had not yet commenced operations. All activity for the period from January 13, 2021 (inception) through September 30, 2021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6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92"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84"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w:t>
      </w:r>
    </w:p>
    <w:p>
      <w:pPr>
        <w:spacing w:after="0" w:line="1" w:lineRule="exact"/>
        <w:rPr>
          <w:sz w:val="20"/>
          <w:szCs w:val="20"/>
          <w:color w:val="auto"/>
        </w:rPr>
      </w:pPr>
    </w:p>
    <w:p>
      <w:pPr>
        <w:ind w:left="120" w:right="40"/>
        <w:spacing w:after="0" w:line="290" w:lineRule="auto"/>
        <w:rPr>
          <w:sz w:val="20"/>
          <w:szCs w:val="20"/>
          <w:color w:val="auto"/>
        </w:rPr>
      </w:pPr>
      <w:r>
        <w:rPr>
          <w:rFonts w:ascii="Arial" w:cs="Arial" w:eastAsia="Arial" w:hAnsi="Arial"/>
          <w:sz w:val="17"/>
          <w:szCs w:val="17"/>
          <w:color w:val="auto"/>
        </w:rPr>
        <w:t>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6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share, plus any pro rata interest earned on the funds held in the Trust Account and not previously released to the Company to pay its tax obligations). The per-share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86"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Restated)</w:t>
      </w:r>
    </w:p>
    <w:p>
      <w:pPr>
        <w:spacing w:after="0" w:line="143"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amount to be distributed to Public Shareholders who redeem their Public Shares will not be reduced by the deferred underwriting commissions the Company will pay to the underwriters (as discussed in Note 6). These Public Shares were recorded at a redemption value and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5)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19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5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5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8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86"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Restated)</w:t>
      </w:r>
    </w:p>
    <w:p>
      <w:pPr>
        <w:spacing w:after="0" w:line="143"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As of September 30, 2021, the Company had approximately $1.1 million in its operating bank account and working capital of approximately $1.3 million.</w:t>
      </w:r>
    </w:p>
    <w:p>
      <w:pPr>
        <w:spacing w:after="0" w:line="170"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Company’s liquidity needs up to September 30, 2021 had been satisfied through a payment of $25,000 from the Sponsor to cover certain expenses on behalf of the Company in exchange for the issuance of the Founder Shares (as defined below), the loan under the Note from the Sponsor of approximately $172,000 (see Note 5) to the Company, and the net proceeds from the consummation of the Private Placement not held in the Trust Account. The Note from the Sponsor was repaid in full on March 26, 2021. In addition, in order to finance transaction costs in connection with a Business Combination, the Company’s officers, directors and Initial Shareholders may, but are not obligated to, provide the Company Working Capital Loans (see Note 5). To date, there were no amounts outstanding under any Working Capital Loans.</w:t>
      </w:r>
    </w:p>
    <w:p>
      <w:pPr>
        <w:spacing w:after="0" w:line="17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6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Management continues to evaluate the impact of the COVID-19 pandemic and has concluded that the specific impact is not readily determinable as of the date of the unaudited condensed financial statements. The unaudited condensed financial statement does not include any adjustments that might result from the outcome of this uncertainty.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 Restated)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 (as Restated)</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Company is restating its unaudited interim financial statements included in the Company’s Quarterly Report on Form 10-Q for the quarterly period ended September 30, 2021 in this Form 10-Q/A, Amendment No. 1 to remove the “Revision to Previously Reported Financial Statements” included in Note 2 as the Company is refiling the financial statements for those periods affected.</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The accompanying unaudited condensed financial statements of the Company have been prepared in accordance with accounting principles generally accepted in the United States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three months ended September 30, 2021 and for the period from January 13, 2021 (Inception) through September 30, 2021 are not necessarily indicative of the results that may be expected for the period from January 13, 2021 (inception) through December 31, 2021.</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shareholder reports and proxy statements, and exemptions from the requirements of holding a nonbinding advisory vote on executive compensation and stockholder approval of any golden parachute payments not previously approved.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Restated)</w:t>
      </w:r>
    </w:p>
    <w:p>
      <w:pPr>
        <w:spacing w:after="0" w:line="143"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66"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 which management considered in formulating its estimate, could change in the near term due to one or more future confirming events. Accordingly, the actual results could differ significantly from those estimates.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There were no cash equivalents as of September 30,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Held in Trust Account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portfolio of investments is comprised of U.S. government securities, within the meaning set forth in</w:t>
      </w:r>
    </w:p>
    <w:p>
      <w:pPr>
        <w:spacing w:after="0" w:line="23"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condensed balance sheet at fair value at the end of each reporting period. Gains and losses resulting from the change in fair value of these securities is included in net gain on investments held in Trust Account in the accompanying unaudited condensed statements of operations. The estimated fair values of investments held in the Trust Account are determined using available market information.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September 30, 2021, the Company has not experienced losses on these accounts and management believes the Company is not exposed to significant risks on such accounts.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108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Topic 820, “Fair Value Measurements,” approximates the carrying amounts represented in the condensed balance sheets.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2680"/>
        <w:spacing w:after="0" w:line="266" w:lineRule="auto"/>
        <w:rPr>
          <w:sz w:val="20"/>
          <w:szCs w:val="20"/>
          <w:color w:val="auto"/>
        </w:rPr>
      </w:pPr>
      <w:r>
        <w:rPr>
          <w:rFonts w:ascii="Arial" w:cs="Arial" w:eastAsia="Arial" w:hAnsi="Arial"/>
          <w:sz w:val="18"/>
          <w:szCs w:val="18"/>
          <w:b w:val="1"/>
          <w:bCs w:val="1"/>
          <w:color w:val="auto"/>
        </w:rPr>
        <w:t>ARCLIGHT CLEAN TRANSITION CORP. II NOTES TO UNAUDITED CONDENSED FINANCIAL STATEMENTS (As Restated)</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97"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FASB ASC Topic 480 and ASC 815-15, “Derivatives and Hedging” (“ASC 815”). The classification of derivative instruments, including whether such instruments should be recorded as liabilities or as equity, is re-assessed at the end of each reporting period.</w:t>
      </w:r>
    </w:p>
    <w:p>
      <w:pPr>
        <w:spacing w:after="0" w:line="15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condensed consolidated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September 30, 2021, 31,116,305 Class A ordinary shares subject to possible redemption is presented at redemption value as temporary equity, outside of the shareholders’ equity section of the Company’s condensed balance sheet.</w:t>
      </w:r>
    </w:p>
    <w:p>
      <w:pPr>
        <w:sectPr>
          <w:pgSz w:w="11900" w:h="16838" w:orient="portrait"/>
          <w:cols w:equalWidth="0" w:num="1">
            <w:col w:w="11080"/>
          </w:cols>
          <w:pgMar w:left="320" w:top="486" w:right="499" w:bottom="1440" w:gutter="0" w:footer="0" w:header="0"/>
        </w:sectPr>
      </w:pP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80"/>
          </w:cols>
          <w:pgMar w:left="320" w:top="486" w:right="4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 Restated)</w:t>
      </w:r>
    </w:p>
    <w:p>
      <w:pPr>
        <w:spacing w:after="0" w:line="14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Immediately upon the closing of the Initial Public Offering, the Company recognized the accretion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September 30, 2021. The Company is currently not aware of any issues under review that could result in significant payments, accruals or material deviation from its position.</w:t>
      </w:r>
    </w:p>
    <w:p>
      <w:pPr>
        <w:spacing w:after="0" w:line="178" w:lineRule="exact"/>
        <w:rPr>
          <w:sz w:val="20"/>
          <w:szCs w:val="20"/>
          <w:color w:val="auto"/>
        </w:rPr>
      </w:pPr>
    </w:p>
    <w:p>
      <w:pPr>
        <w:ind w:left="120" w:right="520"/>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warrants sold in the Initial Public Offering and the Private Placement to purchase an aggregate of 15,446,522, of the Company’s Class A ordinary shares in the calculation of diluted net income (loss) per share, since their inclusion would be anti-dilutive under the treasury stock method. As a result, diluted net income (loss) per share is the same as basic net income (loss) per share for the three and nine months ended September 30, 2021. Accretion associated with the Class A ordinary shares subject to possible redemption is excluded from earnings per share as the redemption value approximates fair value.</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vMerge w:val="restart"/>
          </w:tcPr>
          <w:p>
            <w:pPr>
              <w:jc w:val="center"/>
              <w:ind w:right="420"/>
              <w:spacing w:after="0"/>
              <w:rPr>
                <w:sz w:val="20"/>
                <w:szCs w:val="20"/>
                <w:color w:val="auto"/>
              </w:rPr>
            </w:pPr>
            <w:r>
              <w:rPr>
                <w:rFonts w:ascii="Arial" w:cs="Arial" w:eastAsia="Arial" w:hAnsi="Arial"/>
                <w:sz w:val="14"/>
                <w:szCs w:val="14"/>
                <w:b w:val="1"/>
                <w:bCs w:val="1"/>
                <w:color w:val="auto"/>
                <w:w w:val="93"/>
              </w:rPr>
              <w:t>For the Three Months Ended</w:t>
            </w:r>
          </w:p>
        </w:tc>
        <w:tc>
          <w:tcPr>
            <w:tcW w:w="100" w:type="dxa"/>
            <w:vAlign w:val="bottom"/>
          </w:tcPr>
          <w:p>
            <w:pPr>
              <w:spacing w:after="0"/>
              <w:rPr>
                <w:sz w:val="14"/>
                <w:szCs w:val="14"/>
                <w:color w:val="auto"/>
              </w:rPr>
            </w:pPr>
          </w:p>
        </w:tc>
        <w:tc>
          <w:tcPr>
            <w:tcW w:w="22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For the period January 13, 2021</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vMerge w:val="continue"/>
          </w:tcPr>
          <w:p>
            <w:pPr>
              <w:spacing w:after="0"/>
              <w:rPr>
                <w:sz w:val="14"/>
                <w:szCs w:val="14"/>
                <w:color w:val="auto"/>
              </w:rPr>
            </w:pPr>
          </w:p>
        </w:tc>
        <w:tc>
          <w:tcPr>
            <w:tcW w:w="23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(inception) through September 30,</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4"/>
                <w:szCs w:val="14"/>
                <w:color w:val="auto"/>
              </w:rPr>
            </w:pPr>
          </w:p>
        </w:tc>
        <w:tc>
          <w:tcPr>
            <w:tcW w:w="1160" w:type="dxa"/>
            <w:vAlign w:val="bottom"/>
            <w:gridSpan w:val="2"/>
          </w:tcPr>
          <w:p>
            <w:pPr>
              <w:jc w:val="center"/>
              <w:ind w:left="759"/>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Class A</w:t>
            </w: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Class B</w:t>
            </w: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Class A</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income (loss) per common share:</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i w:val="1"/>
                <w:iCs w:val="1"/>
                <w:color w:val="auto"/>
              </w:rPr>
              <w:t>Numerator: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Allocation of net income (loss)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6,570,123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1,642,531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(2,810,882)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(911,916)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i w:val="1"/>
                <w:iCs w:val="1"/>
                <w:color w:val="auto"/>
              </w:rPr>
              <w:t>Denominator: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Basic and diluted weighted average common shares outstanding</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31,116,305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7,779,076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23,275,976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7,551,277</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Basic and diluted net income (loss) per common share</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6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 Restated)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updates, if currently adopted, would have a material effect on the Company’s unaudited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3-Initial Public Offering</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65"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7).</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4-Private Placement</w:t>
      </w:r>
    </w:p>
    <w:p>
      <w:pPr>
        <w:spacing w:after="0" w:line="121"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2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86"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Restated)</w:t>
      </w:r>
    </w:p>
    <w:p>
      <w:pPr>
        <w:spacing w:after="0" w:line="14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 (see Note 8).</w:t>
      </w:r>
    </w:p>
    <w:p>
      <w:pPr>
        <w:spacing w:after="0" w:line="165"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w:t>
      </w:r>
    </w:p>
    <w:p>
      <w:pPr>
        <w:spacing w:after="0" w:line="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As of September 30, 2021, the Company had no borrowings under the Working Capital Loans.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March 25, 2021, the Company entered into an agreement that provided that, commencing on the date that the Company’s securities were first listed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Nasdaq through the earlier of consummation of the initial Business Combination and the liquidation, the Company agreed to pay the Sponsor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$10,000 per month for office space, secretarial and administrative services provided to the Company. The Company incurred $30,000 and $70,000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expenses in connection with such services for the three months ended September 30, 2021 and for the period from January 13, 2021 (inception)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2021 as reflected in the accompanying unaudited condensed statements of operations.</w:t>
      </w:r>
    </w:p>
    <w:p>
      <w:pPr>
        <w:spacing w:after="0" w:line="21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 Restated)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4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Class A Ordinary Shares Subject to Possible Redemption</w:t>
      </w:r>
    </w:p>
    <w:p>
      <w:pPr>
        <w:spacing w:after="0" w:line="12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Company’s Class A ordinary shares feature certain redemption rights that are considered to be outside of the Company’s control and subject to the occurrence of future events. The Company is authorized to issue 500,000,000 shares of Class A common stock with a par value of $0.0001 per share. Holder of the Company’s Class A ordinary shares are entitled to one vote for each share. As of September 30, 2021, there were 31,116,305 shares of Class A ordinary shares outstanding, all of which were subject to possible redemption.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September 30, 2021, Class A ordinary shares subject to possible redemption reflected on the balance sheet is reconciled on the following table:</w:t>
      </w:r>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$311,163,050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Offering costs allocated to Class A shares subject to possible redemption</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(17,138,390)</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Proceeds allocated to Public Warrants at issuance</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(5,948,230)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3"/>
              </w:rPr>
              <w:t>Accretion on Class A ordinary shares subject to possible redemption amount</w:t>
            </w:r>
          </w:p>
        </w:tc>
        <w:tc>
          <w:tcPr>
            <w:tcW w:w="3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22,086,620</w:t>
            </w:r>
          </w:p>
        </w:tc>
        <w:tc>
          <w:tcPr>
            <w:tcW w:w="100" w:type="dxa"/>
            <w:vAlign w:val="bottom"/>
            <w:tcBorders>
              <w:bottom w:val="single" w:sz="8" w:color="CCEEFF"/>
            </w:tcBorders>
          </w:tcPr>
          <w:p>
            <w:pPr>
              <w:spacing w:after="0"/>
              <w:rPr>
                <w:sz w:val="18"/>
                <w:szCs w:val="18"/>
                <w:color w:val="auto"/>
              </w:rPr>
            </w:pPr>
          </w:p>
        </w:tc>
      </w:tr>
      <w:tr>
        <w:trPr>
          <w:trHeight w:val="223"/>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ordinary shares subject to possible redemption</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shd w:val="clear" w:color="auto" w:fill="CCEEFF"/>
              </w:rPr>
              <w:t>$</w:t>
            </w:r>
            <w:r>
              <w:rPr>
                <w:rFonts w:ascii="Arial" w:cs="Arial" w:eastAsia="Arial" w:hAnsi="Arial"/>
                <w:sz w:val="18"/>
                <w:szCs w:val="18"/>
                <w:b w:val="1"/>
                <w:bCs w:val="1"/>
                <w:color w:val="auto"/>
                <w:shd w:val="clear" w:color="auto" w:fill="CCEEFF"/>
              </w:rPr>
              <w:t>311,163,050</w:t>
            </w:r>
          </w:p>
        </w:tc>
        <w:tc>
          <w:tcPr>
            <w:tcW w:w="100" w:type="dxa"/>
            <w:vAlign w:val="bottom"/>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8-Shareholders’ Deficit</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b w:val="1"/>
          <w:bCs w:val="1"/>
          <w:i w:val="1"/>
          <w:iCs w:val="1"/>
          <w:color w:val="auto"/>
        </w:rPr>
        <w:t>Class A Ordinary Shares</w:t>
      </w:r>
      <w:r>
        <w:rPr>
          <w:rFonts w:ascii="Arial" w:cs="Arial" w:eastAsia="Arial" w:hAnsi="Arial"/>
          <w:sz w:val="16"/>
          <w:szCs w:val="16"/>
          <w:color w:val="auto"/>
        </w:rPr>
        <w:t>—The Company is authorized to issue 500,000,000 Class A ordinary shares with a par value of $0.0001 per share.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Class A ordinary shares are entitled to one vote for each share. As of September 30, 2021, there were 31,116,305 Class A ordinary shares issued and outstanding. All Class A ordinary shares subject to possible redemption have been classified as temporary equity (see Note 7).</w:t>
      </w:r>
    </w:p>
    <w:p>
      <w:pPr>
        <w:spacing w:after="0" w:line="14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b w:val="1"/>
          <w:bCs w:val="1"/>
          <w:i w:val="1"/>
          <w:iCs w:val="1"/>
          <w:color w:val="auto"/>
        </w:rPr>
        <w:t>Class B Ordinary Shares</w:t>
      </w:r>
      <w:r>
        <w:rPr>
          <w:rFonts w:ascii="Arial" w:cs="Arial" w:eastAsia="Arial" w:hAnsi="Arial"/>
          <w:sz w:val="17"/>
          <w:szCs w:val="17"/>
          <w:color w:val="auto"/>
        </w:rPr>
        <w:t>—The Company is authorized to issue 50,000,000 Class B ordinary shares with a par value of $0.0001 per share.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are subject to forfeiture, to the Company by the Initial Shareholders for no consideration to the extent that the underwriters’ over-allotment option is not exercised in full or in part, so that the Initial Shareholders will collectively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 Restated)</w:t>
      </w:r>
    </w:p>
    <w:p>
      <w:pPr>
        <w:spacing w:after="0" w:line="143"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September 30, 2021, there were 7,779,076 Class B ordinary shares issued and outstanding.</w:t>
      </w:r>
    </w:p>
    <w:p>
      <w:pPr>
        <w:spacing w:after="0" w:line="157"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84"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5,000,000 preference shares with a par value of $0.0001 per share. As of September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were no preference shares issued or outstanding.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9-Derivative Warrant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September 30, 2021, the Company had 6,223,261 and 9,223,261 Public Warrants and Private Placement Warrants, respectively, outstanding.</w:t>
      </w:r>
    </w:p>
    <w:p>
      <w:pPr>
        <w:spacing w:after="0" w:line="24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Restated)</w:t>
      </w:r>
    </w:p>
    <w:p>
      <w:pPr>
        <w:spacing w:after="0" w:line="143"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7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when the price per Class A ordinary share equals or exceeds $18.00:</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Once the warrants become exercisable, the Company may redeem the outstanding warrants (except as described herein with respect to the Private Placement Warrants):</w:t>
      </w:r>
    </w:p>
    <w:p>
      <w:pPr>
        <w:spacing w:after="0" w:line="76" w:lineRule="exact"/>
        <w:rPr>
          <w:sz w:val="20"/>
          <w:szCs w:val="20"/>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540" w:right="360" w:hanging="331"/>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when the price per Class A ordinary share equals or exceeds $10.00: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pacing w:after="0" w:line="131" w:lineRule="exact"/>
        <w:rPr>
          <w:sz w:val="20"/>
          <w:szCs w:val="20"/>
          <w:color w:val="auto"/>
        </w:rPr>
      </w:pPr>
    </w:p>
    <w:p>
      <w:pPr>
        <w:ind w:left="1540" w:hanging="331"/>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540" w:right="240" w:hanging="331"/>
        <w:spacing w:after="0" w:line="311" w:lineRule="auto"/>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Class A ordinary shares to be determined by reference to an agreed table based on the redemption date and the “fair market value” of Class A ordinary shares;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Restated)</w:t>
      </w:r>
    </w:p>
    <w:p>
      <w:pPr>
        <w:spacing w:after="0" w:line="143" w:lineRule="exact"/>
        <w:rPr>
          <w:sz w:val="20"/>
          <w:szCs w:val="20"/>
          <w:color w:val="auto"/>
        </w:rPr>
      </w:pPr>
    </w:p>
    <w:p>
      <w:pPr>
        <w:ind w:left="1540" w:right="160" w:hanging="331"/>
        <w:spacing w:after="0" w:line="263"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 closing price of Class A ordinary shares equals or exceeds $10.00 per share (as adjusted) for any 20 trading days within the 30-trading day period ending three trading days before the Company sends the notice of redemption to the warrant holders; and</w:t>
      </w:r>
    </w:p>
    <w:p>
      <w:pPr>
        <w:spacing w:after="0" w:line="89" w:lineRule="exact"/>
        <w:rPr>
          <w:rFonts w:ascii="Arial" w:cs="Arial" w:eastAsia="Arial" w:hAnsi="Arial"/>
          <w:sz w:val="18"/>
          <w:szCs w:val="18"/>
          <w:color w:val="auto"/>
        </w:rPr>
      </w:pPr>
    </w:p>
    <w:p>
      <w:pPr>
        <w:ind w:left="1540" w:right="120" w:hanging="331"/>
        <w:spacing w:after="0" w:line="259"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4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10-Fair Value Measurements</w:t>
      </w:r>
    </w:p>
    <w:p>
      <w:pPr>
        <w:spacing w:after="0" w:line="121" w:lineRule="exact"/>
        <w:rPr>
          <w:sz w:val="20"/>
          <w:szCs w:val="20"/>
          <w:color w:val="auto"/>
        </w:rPr>
      </w:pPr>
    </w:p>
    <w:p>
      <w:pPr>
        <w:ind w:left="120" w:right="860"/>
        <w:spacing w:after="0" w:line="342"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as of September 30, 2021 and indicates the fair value hierarchy of the valuation techniques that the Company utilized to determine such fair value.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September 30, 2021:</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Quoted</w:t>
            </w:r>
          </w:p>
        </w:tc>
        <w:tc>
          <w:tcPr>
            <w:tcW w:w="400" w:type="dxa"/>
            <w:vAlign w:val="bottom"/>
          </w:tcPr>
          <w:p>
            <w:pPr>
              <w:spacing w:after="0"/>
              <w:rPr>
                <w:sz w:val="14"/>
                <w:szCs w:val="1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Prices</w:t>
            </w:r>
          </w:p>
        </w:tc>
        <w:tc>
          <w:tcPr>
            <w:tcW w:w="4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in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5"/>
              </w:rPr>
              <w:t>Active</w:t>
            </w:r>
          </w:p>
        </w:tc>
        <w:tc>
          <w:tcPr>
            <w:tcW w:w="112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4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42"/>
              <w:spacing w:after="0"/>
              <w:rPr>
                <w:sz w:val="20"/>
                <w:szCs w:val="20"/>
                <w:color w:val="auto"/>
              </w:rPr>
            </w:pPr>
            <w:r>
              <w:rPr>
                <w:rFonts w:ascii="Arial" w:cs="Arial" w:eastAsia="Arial" w:hAnsi="Arial"/>
                <w:sz w:val="14"/>
                <w:szCs w:val="14"/>
                <w:b w:val="1"/>
                <w:bCs w:val="1"/>
                <w:color w:val="auto"/>
                <w:w w:val="98"/>
              </w:rPr>
              <w:t>Markets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99"/>
              <w:spacing w:after="0"/>
              <w:rPr>
                <w:sz w:val="20"/>
                <w:szCs w:val="20"/>
                <w:color w:val="auto"/>
              </w:rPr>
            </w:pPr>
            <w:r>
              <w:rPr>
                <w:rFonts w:ascii="Arial" w:cs="Arial" w:eastAsia="Arial" w:hAnsi="Arial"/>
                <w:sz w:val="14"/>
                <w:szCs w:val="14"/>
                <w:b w:val="1"/>
                <w:bCs w:val="1"/>
                <w:color w:val="auto"/>
              </w:rPr>
              <w:t>Inputs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(Level 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4"/>
                <w:szCs w:val="14"/>
                <w:b w:val="1"/>
                <w:bCs w:val="1"/>
                <w:color w:val="auto"/>
                <w:w w:val="91"/>
              </w:rPr>
              <w:t>(Level 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311,171,488</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Derivative warrant liabilities-public</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6,845,590</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liabilities-private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10,145,590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w:t>
      </w:r>
    </w:p>
    <w:p>
      <w:pPr>
        <w:spacing w:after="0" w:line="184"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Level 1 assets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14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three months ended September 30, 2021 and for the period from January 13, 2021 (inception) through September 30, 2021, the Company recognized a change to the unaudited condensed statements of operations resulting from a decrease (increase) in the fair value of liabilities of approximately $9.0 million and $(2.0) million, respectively, presented as change in fair value of derivative warrant liabilities in the accompanying unaudited condensed statements of operations.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Restated)</w:t>
      </w:r>
    </w:p>
    <w:p>
      <w:pPr>
        <w:spacing w:after="0" w:line="14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March 22,</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September</w:t>
            </w:r>
          </w:p>
        </w:tc>
      </w:tr>
      <w:tr>
        <w:trPr>
          <w:trHeight w:val="171"/>
        </w:trPr>
        <w:tc>
          <w:tcPr>
            <w:tcW w:w="6160" w:type="dxa"/>
            <w:vAlign w:val="bottom"/>
          </w:tcPr>
          <w:p>
            <w:pPr>
              <w:spacing w:after="0"/>
              <w:rPr>
                <w:sz w:val="14"/>
                <w:szCs w:val="14"/>
                <w:color w:val="auto"/>
              </w:rPr>
            </w:pPr>
          </w:p>
        </w:tc>
        <w:tc>
          <w:tcPr>
            <w:tcW w:w="620" w:type="dxa"/>
            <w:vAlign w:val="bottom"/>
          </w:tcPr>
          <w:p>
            <w:pPr>
              <w:jc w:val="right"/>
              <w:ind w:right="75"/>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30, 2021</w:t>
            </w:r>
          </w:p>
        </w:tc>
        <w:tc>
          <w:tcPr>
            <w:tcW w:w="200" w:type="dxa"/>
            <w:vAlign w:val="bottom"/>
          </w:tcPr>
          <w:p>
            <w:pPr>
              <w:spacing w:after="0"/>
              <w:rPr>
                <w:sz w:val="14"/>
                <w:szCs w:val="14"/>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9.81</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Volatility</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the options to convert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Risk-free rate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change in the fair value of the Level 3 derivative warrant liabilities for the period from January 13, 2021 (inception) through September 30, 2021 is summarized as follows: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Public</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Private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warrant liabilities at January 13, 2021 (inception)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Issuance of Public and Private Warrants</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5,948,230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9,047,530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14,995,760</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(146,580)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(124,580)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(271,160)</w:t>
            </w: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Derivative warrant liabilities at March 31, 2021</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5,801,650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8,922,950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14,724,600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4,653,430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6,572,130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11,225,560</w:t>
            </w: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Transfer to Level 1</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(10,455,080)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(10,455,080)</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 at June 30, 2021</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15,495,080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15,495,080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10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(5,349,490)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(5,349,490)</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 at September 30,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10,145,590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10,145,590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11-Subsequent Events</w:t>
      </w:r>
    </w:p>
    <w:p>
      <w:pPr>
        <w:spacing w:after="0" w:line="121" w:lineRule="exact"/>
        <w:rPr>
          <w:sz w:val="20"/>
          <w:szCs w:val="20"/>
          <w:color w:val="auto"/>
        </w:rPr>
      </w:pPr>
    </w:p>
    <w:p>
      <w:pPr>
        <w:ind w:left="120" w:right="400"/>
        <w:spacing w:after="0" w:line="286" w:lineRule="auto"/>
        <w:rPr>
          <w:sz w:val="20"/>
          <w:szCs w:val="20"/>
          <w:color w:val="auto"/>
        </w:rPr>
      </w:pPr>
      <w:r>
        <w:rPr>
          <w:rFonts w:ascii="Arial" w:cs="Arial" w:eastAsia="Arial" w:hAnsi="Arial"/>
          <w:sz w:val="17"/>
          <w:szCs w:val="17"/>
          <w:color w:val="auto"/>
        </w:rPr>
        <w:t>Management has evaluated subsequent events to determine if events or transactions occurring through the date the financial statement were issued. There are no such events requiring potential adjustment to or disclosure in the unaudited condensed financial statements and the Company has concluded that all such events that would require recognition or disclosure have been recognized or disclosed.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8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References to the “Company,” “our,” “us” or “we” refer to ArcLight Clean Transition Corp. II.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18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Company is restating its unaudited interim financial statements included in the Company’s Quarterly Report on Form 10-Q for the quarterly period ended September 30, 2021 in this Form 10-Q/A, Amendment No. 1 to remove the “Revision to Previously Reported Financial Statements” included in Note 2 as the Company is refiling the financial statements for those periods affected.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Such statements include, but are not limited to, possible business combinations and the financing thereof, and related matters, as well as all other statements other than statements of historical fact included in this Form 10-Q. Factors that might cause or contribute to such a discrepancy include, but are not limited to, those described in our other Securities and Exchange Commission (“SEC”) filings.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We are a blank check company incorporated on January 13, 2021 as a Cayman Islands exempted company for the purpose of effecting a merger, share exchange, asset acquisition, share purchase, reorganization or similar business combination with one or more businesses or entities (the “Business Combination”), that we have not yet identified. Our sponsor is ArcLight CTC Holdings II, L.P., a Delaware limited partnership (our “Sponsor”).</w:t>
      </w:r>
    </w:p>
    <w:p>
      <w:pPr>
        <w:spacing w:after="0" w:line="14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registration statement for our initial public offering (the “Initial Public Offering”) was declared effective on March 22, 2021. On March 25, 2021, we consummated our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and incurring offering costs of approximately $17.6 million, of which approximately $10.9 million was for deferred underwriting commissions.</w:t>
      </w:r>
    </w:p>
    <w:p>
      <w:pPr>
        <w:spacing w:after="0" w:line="18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9,223,261 warrants (each, a “Private Placement Warrant” and collectively, the “Private Placement Warrants”), at a price of $1.00 per Private Placement Warrant with the Sponsor, generating gross proceeds of approximately $9.2 million.</w:t>
      </w:r>
    </w:p>
    <w:p>
      <w:pPr>
        <w:spacing w:after="0" w:line="184"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w:t>
      </w:r>
    </w:p>
    <w:p>
      <w:pPr>
        <w:spacing w:after="0" w:line="1" w:lineRule="exact"/>
        <w:rPr>
          <w:sz w:val="20"/>
          <w:szCs w:val="20"/>
          <w:color w:val="auto"/>
        </w:rPr>
      </w:pPr>
    </w:p>
    <w:p>
      <w:pPr>
        <w:ind w:left="120" w:right="80"/>
        <w:spacing w:after="0" w:line="290" w:lineRule="auto"/>
        <w:rPr>
          <w:sz w:val="20"/>
          <w:szCs w:val="20"/>
          <w:color w:val="auto"/>
        </w:rPr>
      </w:pPr>
      <w:r>
        <w:rPr>
          <w:rFonts w:ascii="Arial" w:cs="Arial" w:eastAsia="Arial" w:hAnsi="Arial"/>
          <w:sz w:val="17"/>
          <w:szCs w:val="17"/>
          <w:color w:val="auto"/>
        </w:rPr>
        <w:t>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86"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If we are unable to complete a Business Combination within 24 months from the closing of the Initial Public Offering, or March 25, 2023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entire activity since inception through September 30, 2021 relates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 Additionally, we recognize non-cash gains and losses within other income (expense) related to changes in recurring fair value measurement of our warrant liabilities at each reporting period.</w:t>
      </w:r>
    </w:p>
    <w:p>
      <w:pPr>
        <w:spacing w:after="0" w:line="19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the three months ended September 30, 2021, we had a net income of approximately $8.2 million from changes in the value of derivative warrant liabilities of approximately $9.0 million and $4,000 gain on investments held in Trust Account partially offset by approximately $750,000 in general and administrative costs.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period from January 13, 2021 (inception) through September 30, 2021, we had a net loss of approximately</w:t>
      </w:r>
    </w:p>
    <w:p>
      <w:pPr>
        <w:spacing w:after="0" w:line="23" w:lineRule="exact"/>
        <w:rPr>
          <w:sz w:val="20"/>
          <w:szCs w:val="20"/>
          <w:color w:val="auto"/>
        </w:rPr>
      </w:pPr>
    </w:p>
    <w:p>
      <w:pPr>
        <w:ind w:left="120" w:right="660"/>
        <w:spacing w:after="0" w:line="255" w:lineRule="auto"/>
        <w:rPr>
          <w:sz w:val="20"/>
          <w:szCs w:val="20"/>
          <w:color w:val="auto"/>
        </w:rPr>
      </w:pPr>
      <w:r>
        <w:rPr>
          <w:rFonts w:ascii="Arial" w:cs="Arial" w:eastAsia="Arial" w:hAnsi="Arial"/>
          <w:sz w:val="18"/>
          <w:szCs w:val="18"/>
          <w:color w:val="auto"/>
        </w:rPr>
        <w:t>$3.7 million from changes in the value of derivative warrant liabilities of approximately $2.0 million, financing costs attributable to the warrant liabilities of approximately $463,000 and approximately $1.3 million in general and administrative costs, partially offset by an $8,000 gain on investments held in Trust Account.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September 30, 2021, we had approximately $1.1 million in our operating bank account and working capital of approximately $1.3 million.</w:t>
      </w:r>
    </w:p>
    <w:p>
      <w:pPr>
        <w:spacing w:after="0" w:line="23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Our liquidity needs up to September 30, 2021 had been satisfied through a payment of $25,000 from the Sponsor to cover certain expenses on behalf of the Company in exchange for the issuance of the Founder Shares (as defined below), a loan under a promissory note from our Sponsor of approximately $172,000 (the “Note”), and the net proceeds from the consummation of the Private Placement not held in the Trust Account. The Note was repaid in full on March 26, 2021. In addition, in order to finance transaction costs in connection with a Business Combination, our officers, directors and Initial Shareholders may, but are not obligated to, provide the Company with Working Capital Loans. To date, there are no amounts outstanding under any Working Capital Loans.</w:t>
      </w:r>
    </w:p>
    <w:p>
      <w:pPr>
        <w:spacing w:after="0" w:line="19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the Sponsor or an affiliate of the Sponsor, or certain of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6"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We continue to evaluate the impact of the COVID-19 pandemic and has concluded that the specific impact is not readily determinable as of the date of the condensed balance sheet. The financial statement does not include any adjustments that might result from the outcome of this uncertainty.</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120" w:right="60"/>
        <w:spacing w:after="0" w:line="342" w:lineRule="auto"/>
        <w:rPr>
          <w:sz w:val="20"/>
          <w:szCs w:val="20"/>
          <w:color w:val="auto"/>
        </w:rPr>
      </w:pPr>
      <w:r>
        <w:rPr>
          <w:rFonts w:ascii="Arial" w:cs="Arial" w:eastAsia="Arial" w:hAnsi="Arial"/>
          <w:sz w:val="16"/>
          <w:szCs w:val="16"/>
          <w:color w:val="auto"/>
        </w:rPr>
        <w:t>We do not have any long-term debt obligations, capital lease obligations, operating lease obligations, purchase obligations or long-term liabilities, other than an administrative services agreement to pay our Sponsor $10,000 per month for office space, secretarial and administrative services provided to 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have identified the following as its critical accounting policies: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account for our Class A ordinary shares subject to possible redemption in accordance with the guidance in ASC Topic 480 “Distinguishing Liabilities from Equity.” Class A ordinary shares subject to mandatory redemption (if any) is classified as liability instruments and are measured at fair value. Conditionally redeemable Class A ordinary shares (including Class ordinary shares that features redemption rights that are either within the control of the holder or subject to redemption upon the occurrence of uncertain events not solely within our control) are classified as temporary equity. At all other times, Class A ordinary shares are classified as shareholders’ equity. Our Class A ordinary shares feature certain redemption rights that are considered to be outside of our control and subject to the occurrence of uncertain future events. Accordingly, as of September 30, 2021, 31,116,305 Class A ordinary shares subject to possible redemption is presented at redemption value as temporary equity, outside of the shareholders’ equity section of our condensed balance sheet.</w:t>
      </w:r>
    </w:p>
    <w:p>
      <w:pPr>
        <w:spacing w:after="0" w:line="178"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Immediately upon the closing of the Initial Public Offering, we recognized the accretion from initial book value to redemption amount. The change in the carrying value of redeemable shares of Class A ordinary shares resulted in charges against additional paid-in capital and accumulated deficit.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We do not use derivative instruments to hedge exposures to cash flow, market, or foreign currency risks. We evaluate all of our financial instruments, including issued share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 The classification of derivative instruments, including whether such instruments should be recorded as liabilities or as equity, is re-assessed at the end of each reporting period.</w:t>
      </w:r>
    </w:p>
    <w:p>
      <w:pPr>
        <w:spacing w:after="0" w:line="16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The warrants issued in our Initial Public Offering, the underwriters’ exercise of their overallotment option and Private Placement Warrants are recognized as derivative liabilities in accordance with ASC 815. Accordingly, we recognize the warrant instruments as liabilities at fair value and adjust the instruments to fair value at each reporting period. The liabilities are subject to remeasurement at each balance sheet date until exercised, and any change in fair value is recognized in the Company’s unaudited condensed statement of operations. The fair value of warrants issued in connection with the Initial Public Offering and Private Placement were initially measured at fair value using a Monte Carlo simulation model and subsequently, the fair value of the Private Placement warrants have been estimated using a Monte Carlo simulation model each measurement date. The fair value of Warrants issued in connection with our Initial Public Offering have subsequently been measured based on the listed market price of such warrants.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have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We have not considered the effect of the warrants sold in the Initial Public Offering and the Private Placement to purchase an aggregate of 15,446,522, of the Company’s Class A ordinary shares in the calculation of diluted net income (loss) per share, since their inclusion would be anti-dilutive under the treasury stock method. As a result, diluted net income (loss) per share is the same as basic net income (loss) per share for the three and nine months ended September 30, 2021. Accretion associated with the Class A ordinary shares subject to possible redemption is excluded from earnings per share as the redemption value approximates fair value.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management does not believe that any other recently issued, but not yet effective, accounting standards if currently adopted would have a material effect on the Company’s unaudited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30, 2021,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unaudited condensed financial statements may not be comparable to companies that comply with new or revised accounting pronouncements as of public company effective dates.</w:t>
      </w:r>
    </w:p>
    <w:p>
      <w:pPr>
        <w:spacing w:after="0" w:line="164" w:lineRule="exact"/>
        <w:rPr>
          <w:sz w:val="20"/>
          <w:szCs w:val="20"/>
          <w:color w:val="auto"/>
        </w:rPr>
      </w:pPr>
    </w:p>
    <w:p>
      <w:pPr>
        <w:ind w:left="120" w:right="100"/>
        <w:spacing w:after="0" w:line="284"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w:t>
      </w:r>
    </w:p>
    <w:p>
      <w:pPr>
        <w:spacing w:after="0" w:line="4" w:lineRule="exact"/>
        <w:rPr>
          <w:sz w:val="20"/>
          <w:szCs w:val="20"/>
          <w:color w:val="auto"/>
        </w:rPr>
      </w:pPr>
    </w:p>
    <w:p>
      <w:pPr>
        <w:ind w:left="120" w:right="40" w:hanging="4"/>
        <w:spacing w:after="0" w:line="255" w:lineRule="auto"/>
        <w:tabs>
          <w:tab w:leader="none" w:pos="4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 (as Restated)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September 30, 2021, as such term is defined in Rules 13a-15(e) and 15d-15(e) under the Exchange Act. Based on this evaluation, our principal executive officer and principal financial officer has concluded that during the period covered by this report, our disclosure controls and procedures were not effective as of September 30, 2021, because of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Specifically, the Company’s management has concluded that our control around the interpretation and accounting for certain complex features of the Class A ordinary shares subject to redemption and warrants issued by the Company was not effectively designed or maintained. This material weakness resulted in the restatement of the Company’s balance sheet as of March 25, 2021 and its interim financial statements for the quarters ended March 31, 2021 and June 30, 2021. Additionally, this material weakness could result in a misstatement of the warrant liability, Class A ordinary shares subject to redemption and related accounts and disclosures that would result in a material misstatement of the financial statements that would not be prevented or detected on a timely basis.</w:t>
      </w:r>
    </w:p>
    <w:p>
      <w:pPr>
        <w:spacing w:after="0" w:line="16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September 30, 2021 covered by this Quarterly Report on Form 10-Q that has materially affected, or is reasonably likely to materially affect, our internal control over financial reporting except for the below:</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principal executive officer and principal financial officer performed additional accounting and financial analyses and other post-closing procedures including consulting with subject matter experts related to the accounting for certain complex features of the Class A ordinary shares and warrants. The Company’s management has expended, and will continue to expend, a substantial amount of effort and resources for the remediation and improvement of our internal control over financial reporting. While we have processes to properly identify and evaluate the appropriate accounting technical pronouncements and other literature for all significant or unusual transactions, we have expanded and will continue to improve these processes to ensure that the nuances of such transactions are effectively evaluated in the context of the increasingly complex accounting standards.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the Company’s most recent prospectus for the Initial Public Offering as filed with the SEC on March 22, 2021.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86"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740"/>
        <w:spacing w:after="0" w:line="37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from Registered Securities </w:t>
      </w:r>
      <w:r>
        <w:rPr>
          <w:rFonts w:ascii="Arial" w:cs="Arial" w:eastAsia="Arial" w:hAnsi="Arial"/>
          <w:sz w:val="18"/>
          <w:szCs w:val="18"/>
          <w:i w:val="1"/>
          <w:iCs w:val="1"/>
          <w:color w:val="auto"/>
        </w:rPr>
        <w:t>Unregistered Sales</w:t>
      </w:r>
    </w:p>
    <w:p>
      <w:pPr>
        <w:spacing w:after="0" w:line="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January 3, 2021, our Sponsor paid an aggregate of $25,000 for certain expenses on our behalf in exchange for issuance of 7,187,500 Class B ordinary shares (the “Founder Shares”). On February 2, 2021, our Sponsor transferred 35,000 Founder Shares to each of Arno Harris, Ja-Chin Audrey Lee, Brian Goncher and Steven Berkenfeld, our independent director nominees. On March 22, 2021, we effected a share capitalization resulting in an aggregate of 7,906,250 Founder Shares issued and outstanding. Up to 1,031,250 Founder Shares were subject to forfeiture by the Sponsor, to the extent that the option to purchase additional units was not exercised in full by the underwriters, so that the Founder Shares would represent 20% of the Company’s issued and outstanding shares after the Initial Public Offering. The underwriters partially exercised their over-allotment option on March 22, 2021, with the remaining portion of the over-allotment option expiring at the conclusion of the 45-day option period. As a result, an aggregate of 127,174 Founder Shares were forfeited by the Sponsor upon the expiration of the over-allotment option.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Proceeds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connection with the Initial Public Offering and the underwriters of their over-allotment option, we incurred offering costs of approximately</w:t>
      </w:r>
    </w:p>
    <w:p>
      <w:pPr>
        <w:spacing w:after="0" w:line="35" w:lineRule="exact"/>
        <w:rPr>
          <w:sz w:val="20"/>
          <w:szCs w:val="20"/>
          <w:color w:val="auto"/>
        </w:rPr>
      </w:pPr>
    </w:p>
    <w:p>
      <w:pPr>
        <w:jc w:val="both"/>
        <w:ind w:left="120" w:right="300"/>
        <w:spacing w:after="0" w:line="252" w:lineRule="auto"/>
        <w:rPr>
          <w:sz w:val="20"/>
          <w:szCs w:val="20"/>
          <w:color w:val="auto"/>
        </w:rPr>
      </w:pPr>
      <w:r>
        <w:rPr>
          <w:rFonts w:ascii="Arial" w:cs="Arial" w:eastAsia="Arial" w:hAnsi="Arial"/>
          <w:sz w:val="18"/>
          <w:szCs w:val="18"/>
          <w:color w:val="auto"/>
        </w:rPr>
        <w:t>$15.9 million (including deferred underwriting commissions of approximately $9.8 million). Other incurred offering costs consisted principally of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$277.5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and invested as described elsewhere in this Quarterly Report on Form 10-Q.</w:t>
      </w:r>
    </w:p>
    <w:p>
      <w:pPr>
        <w:spacing w:after="0" w:line="19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There has been no material change in the planned use of the proceeds from the Initial Public Offering and Private Placement as is described in the Company’s final prospectus related to the Initial Public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8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97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Number</w:t>
            </w:r>
          </w:p>
        </w:tc>
        <w:tc>
          <w:tcPr>
            <w:tcW w:w="97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9740" w:type="dxa"/>
            <w:vAlign w:val="bottom"/>
            <w:gridSpan w:val="7"/>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Certification of Chief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Adopted Pursuant to Section 302 of the Sarbanes-Oxley Act of 2002.</w:t>
              </w:r>
            </w:hyperlink>
          </w:p>
        </w:tc>
        <w:tc>
          <w:tcPr>
            <w:tcW w:w="4360" w:type="dxa"/>
            <w:vAlign w:val="bottom"/>
            <w:tcBorders>
              <w:top w:val="single" w:sz="8" w:color="0000EE"/>
            </w:tcBorders>
            <w:gridSpan w:val="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3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Chief Financial Officer Pursuant to Rules 13a-14(a) and 15d-14(a) under the Securities Exchange Act of 1934, as</w:t>
              </w:r>
            </w:hyperlink>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740" w:type="dxa"/>
            <w:vAlign w:val="bottom"/>
            <w:gridSpan w:val="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7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Certification of Chief Executive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2002.</w:t>
              </w:r>
            </w:hyperlink>
          </w:p>
        </w:tc>
        <w:tc>
          <w:tcPr>
            <w:tcW w:w="5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97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74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74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540" w:right="3200" w:hanging="5424"/>
        <w:spacing w:after="0" w:line="449" w:lineRule="auto"/>
        <w:tabs>
          <w:tab w:leader="none" w:pos="12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25</w:t>
      </w:r>
    </w:p>
    <w:p>
      <w:pPr>
        <w:sectPr>
          <w:pgSz w:w="11900" w:h="16838" w:orient="portrait"/>
          <w:cols w:equalWidth="0" w:num="1">
            <w:col w:w="10960"/>
          </w:cols>
          <w:pgMar w:left="320" w:top="486" w:right="6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26th day of November, 2021.</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380"/>
          </w:cols>
          <w:pgMar w:left="320" w:top="486" w:right="11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440" w:right="20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John F. Erhard, certify that:</w:t>
      </w:r>
    </w:p>
    <w:p>
      <w:pPr>
        <w:spacing w:after="0" w:line="131" w:lineRule="exact"/>
        <w:rPr>
          <w:sz w:val="20"/>
          <w:szCs w:val="20"/>
          <w:color w:val="auto"/>
        </w:rPr>
      </w:pPr>
    </w:p>
    <w:p>
      <w:pPr>
        <w:ind w:left="424" w:right="440" w:hanging="424"/>
        <w:spacing w:after="0" w:line="277"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Amendment No. 1 to the Quarterly Report on Form 10-Q for the three months ended September 30, 2021 of ArcLight Clean Transition Corp. II;</w:t>
      </w:r>
    </w:p>
    <w:p>
      <w:pPr>
        <w:spacing w:after="0" w:line="75"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November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John F. Erhard</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4"/>
          </w:cols>
          <w:pgMar w:left="436" w:top="121"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440" w:right="20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Marco F. Gatti, certify that:</w:t>
      </w:r>
    </w:p>
    <w:p>
      <w:pPr>
        <w:spacing w:after="0" w:line="131" w:lineRule="exact"/>
        <w:rPr>
          <w:sz w:val="20"/>
          <w:szCs w:val="20"/>
          <w:color w:val="auto"/>
        </w:rPr>
      </w:pPr>
    </w:p>
    <w:p>
      <w:pPr>
        <w:ind w:left="424" w:right="44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Amendment No. 1 to the Quarterly Report on Form 10-Q for the three months ended September 30, 2021 of ArcLight Clean Transition Corp. II;</w:t>
      </w:r>
    </w:p>
    <w:p>
      <w:pPr>
        <w:spacing w:after="0" w:line="75"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November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Marco F. Gatti</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4"/>
          </w:cols>
          <w:pgMar w:left="436" w:top="121"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In connection with Amendment No. 1 to the Quarterly Report of ArcLight Clean Transition Corp. II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three months ended September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John F. Erhard, President, Chief Executive Officer and Director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26, 2021</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5715</wp:posOffset>
            </wp:positionV>
            <wp:extent cx="32143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024"/>
          </w:cols>
          <w:pgMar w:left="436" w:top="121"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In connection with Amendment No. 1 to the Quarterly Report of ArcLight Clean Transition Corp. II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three months ended September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Marco F. Gatti, Chief Financial Officer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26, 2021</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5715</wp:posOffset>
            </wp:positionV>
            <wp:extent cx="32143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Name: Marco F. Gatti</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484"/>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Roman"/>
      <w:start w:val="4"/>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2021-11-26T08:26:51Z</dcterms:created>
  <dcterms:modified xsi:type="dcterms:W3CDTF">2021-11-26T08:26:51Z</dcterms:modified>
</cp:coreProperties>
</file>