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127738802.xml.htm"/>
      <w:bookmarkStart w:id="1" w:name="kswfform4_16806412773880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Comora Adam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NORTH LEXINGTON AVE, 14TH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WHITE PLAINS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Co-Chief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374" w:type="dxa"/>
        <w:jc w:val="left"/>
        <w:tblInd w:w="0" w:type="dxa"/>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46"/>
        <w:gridCol w:w="92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options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57,035</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(2)(3)(4)(5)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03/31/2033</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57,035</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57,035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107,605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(7)(8)(9)(10)</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107,605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182,605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Granted pursuant to the Issuer's 2022 Omnibus Equity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Upon the occurrence of a termination by reason of the Reporting Person's death,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restricted stock unit represents the contingent right to receive, at settlement,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restricted stock units vest in three equal installments on March 31, 2024, March 31, 2025 and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Upon the occurrence of a termination by reason of the Reporting Person's death, any unvested portion of the RSUs shall accelerate and vest in full.</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Coghlin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3088"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1016</Words>
  <CharactersWithSpaces>6312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