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580" w:type="dxa"/>
            <w:vAlign w:val="bottom"/>
          </w:tcPr>
          <w:p>
            <w:pPr>
              <w:jc w:val="center"/>
              <w:ind w:right="17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2"/>
              </w:rPr>
              <w:t>UNITED STATES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80" w:type="dxa"/>
            <w:vAlign w:val="bottom"/>
          </w:tcPr>
          <w:p>
            <w:pPr>
              <w:jc w:val="center"/>
              <w:ind w:right="17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80" w:type="dxa"/>
            <w:vAlign w:val="bottom"/>
          </w:tcPr>
          <w:p>
            <w:pPr>
              <w:jc w:val="center"/>
              <w:ind w:right="17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80" w:type="dxa"/>
            <w:vAlign w:val="bottom"/>
          </w:tcPr>
          <w:p>
            <w:pPr>
              <w:jc w:val="center"/>
              <w:ind w:right="17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89"/>
              </w:rPr>
              <w:t>Effectiveness Date:</w:t>
            </w:r>
          </w:p>
        </w:tc>
        <w:tc>
          <w:tcPr>
            <w:tcW w:w="75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March 22, 2021 4:00 P.M.</w:t>
            </w:r>
          </w:p>
        </w:tc>
      </w:tr>
      <w:tr>
        <w:trPr>
          <w:trHeight w:val="324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S-1</w:t>
            </w:r>
          </w:p>
        </w:tc>
      </w:tr>
      <w:tr>
        <w:trPr>
          <w:trHeight w:val="31"/>
        </w:trPr>
        <w:tc>
          <w:tcPr>
            <w:tcW w:w="18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300"/>
        </w:trPr>
        <w:tc>
          <w:tcPr>
            <w:tcW w:w="1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7580" w:type="dxa"/>
            <w:vAlign w:val="bottom"/>
          </w:tcPr>
          <w:p>
            <w:pPr>
              <w:ind w:left="60"/>
              <w:spacing w:after="0"/>
              <w:rPr>
                <w:rFonts w:ascii="Arial" w:cs="Arial" w:eastAsia="Arial" w:hAnsi="Arial"/>
                <w:sz w:val="22"/>
                <w:szCs w:val="22"/>
                <w:u w:val="single" w:color="auto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u w:val="single" w:color="auto"/>
                  <w:color w:val="0000EE"/>
                </w:rPr>
                <w:t>0001842279</w:t>
              </w:r>
            </w:hyperlink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ArcLight Clean Transition Corp. II</w:t>
            </w:r>
          </w:p>
        </w:tc>
      </w:tr>
      <w:tr>
        <w:trPr>
          <w:trHeight w:val="297"/>
        </w:trPr>
        <w:tc>
          <w:tcPr>
            <w:tcW w:w="1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7580" w:type="dxa"/>
            <w:vAlign w:val="bottom"/>
          </w:tcPr>
          <w:p>
            <w:pPr>
              <w:ind w:left="60"/>
              <w:spacing w:after="0"/>
              <w:rPr>
                <w:rFonts w:ascii="Arial" w:cs="Arial" w:eastAsia="Arial" w:hAnsi="Arial"/>
                <w:sz w:val="22"/>
                <w:szCs w:val="22"/>
                <w:u w:val="single" w:color="auto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u w:val="single" w:color="auto"/>
                  <w:color w:val="0000EE"/>
                </w:rPr>
                <w:t>333-252730</w:t>
              </w:r>
            </w:hyperlink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842279" TargetMode="External"/><Relationship Id="rId9" Type="http://schemas.openxmlformats.org/officeDocument/2006/relationships/hyperlink" Target="http://www.sec.gov/cgi-bin/browse-edgar?action=getcompany&amp;filenum=333-25273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2021-03-23T05:23:44Z</dcterms:created>
  <dcterms:modified xsi:type="dcterms:W3CDTF">2021-03-23T05:23:44Z</dcterms:modified>
</cp:coreProperties>
</file>