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679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Vemuri Ashok</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10/03/2023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40"/>
              <w:spacing w:after="0"/>
              <w:rPr>
                <w:sz w:val="20"/>
                <w:szCs w:val="20"/>
                <w:color w:val="auto"/>
              </w:rPr>
            </w:pPr>
            <w:r>
              <w:rPr>
                <w:rFonts w:ascii="Arial" w:cs="Arial" w:eastAsia="Arial" w:hAnsi="Arial"/>
                <w:sz w:val="17"/>
                <w:szCs w:val="17"/>
                <w:color w:val="0000FF"/>
                <w:w w:val="88"/>
              </w:rPr>
              <w:t>10,125</w:t>
            </w:r>
          </w:p>
        </w:tc>
        <w:tc>
          <w:tcPr>
            <w:tcW w:w="5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10,125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560" w:type="dxa"/>
            <w:vAlign w:val="bottom"/>
          </w:tcPr>
          <w:p>
            <w:pPr>
              <w:jc w:val="center"/>
              <w:ind w:right="7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10,125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10,125</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19,369</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7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6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10,125 restricted stock units were awarded on October 4, 2022. This award vested in full on October 3, 2023. 19,369 restricted stock units are scheduled to vest on March 31, 2024, provided that the Reporting Person remains in the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6651"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2023-10-05T15:22:17Z</dcterms:created>
  <dcterms:modified xsi:type="dcterms:W3CDTF">2023-10-05T15:22:17Z</dcterms:modified>
</cp:coreProperties>
</file>