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182671-posam_opalfuels.htm"/>
      <w:bookmarkStart w:id="1" w:name="ksea182671posam_opalfuels"/>
      <w:bookmarkEnd w:id="0"/>
      <w:bookmarkEnd w:id="1"/>
      <w:r>
        <w:rPr>
          <w:rFonts w:ascii="Times New Roman;Times;Serif" w:hAnsi="Times New Roman;Times;Serif"/>
          <w:b/>
          <w:i w:val="false"/>
          <w:caps w:val="false"/>
          <w:smallCaps w:val="false"/>
          <w:sz w:val="20"/>
        </w:rPr>
        <w:t>As filed with the Securities and Exchange Commission on August 1, 2023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333-266757</w:t>
      </w:r>
    </w:p>
    <w:p>
      <w:pPr>
        <w:pStyle w:val="TextBody"/>
        <w:bidi w:val="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 ON FORM S-3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FUELS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98-1578357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North Lexington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Plains, New York 10601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 705-4000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 Anthony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OPAL Fuels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North Lexington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Plains, New York 10601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 705-4000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communications, including communications sent to agent for service, should be sent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Edward M. Welch, Esq.</w:t>
        <w:br/>
        <w:t>Sheppard, Mullin, Richter &amp; Hampton LLP</w:t>
        <w:br/>
        <w:t>30 Rockefeller Plaza New York, New York 10112</w:t>
        <w:br/>
        <w:t>Tel: (212) 653-8700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this Registration Statement becomes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2022, OPAL Fuels Inc. filed a registration statement with the Securities and Exchange Commission (the “SEC”) on Form S-1 (File No. 333-266757) (as amended on September 20, 2022, October 14, 2022, November 2, 2022, and November 4, 2022, and post-effectively amended on May 3, 2023 and May 4, 2023) (collectively, the “Registration Statement”) which registered (i) for original issuance up to 15,446,494 shares of our Class A common stock underlying the Warrants (as defined below) (such Warrants were subsequently exchange for shares of Class A common stock pursuant to a registration statement on Form S-4 (File No. 333-268455)), and (ii) for resale by the selling security holders named therein up to 175,541,507 shares of our Class A common stock (including 9,223,261 shares underlying Private Placement Warrants (as defined below) which Private Placement Warrants were subsequently exchanged for shares of Class A common stock pursuant to a registration statement on Form S-4 (File No. 333-268455)). The Registration Statement was declared effective by the SEC on November 8, 2022, and the post-effective amendment to the Registration Statement was declared effective by the SEC on May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to Form S-1 on Form S-3 is being filed to convert the Registration Statement on Form S-1 into a registration statement on Form S-3 and to include an updated prospectus relating to the offering and sale of the securities remaining available for sale under the Registration Statement. No additional securities are being registered under this post-effective amendment and all applicable registration and filing fees were paid at the time of the original filing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COMPLETION, DATED AUGUST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146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OPAL FUELS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163,676,735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securityholders named in this prospectus (the “Selling Holders”) 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8,202,865 shares of Class A common stock issued under the Business Combination Agreement, dated as of December 2, 2021 (as the same has been or may be amended, modified, supplemented or waived from time to time, the “BCA” or the “Business Combination Agreement”), by and among ArcLight Clean Transition Corp. II (“ArcLight”), Opal Fuels LLC (“Opco”) and Opal Holdco LLC (“OPAL Holdco”) to ARCC Beacon LLC (“Ares”), ArcLight CTC Holdings II, L.P. (“Sponsor”) and certain former directors of ArcLight originally acquired by such parties for an effective purchase price of approximately $0.003 per share;</w:t>
      </w:r>
    </w:p>
    <w:p>
      <w:pPr>
        <w:pStyle w:val="TextBody"/>
        <w:bidi w:val="0"/>
        <w:spacing w:before="0" w:after="0"/>
        <w:ind w:left="49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144,399,037 shares of Class A common stock issuable upon the conversion of Class C common stock issuable to Opal Holdco and Hillman RNG Investments, LLC (the “Opco Common Equityholders”) upon the exchange of Opco Common Units (as defined below) and the cancellation of an equal number of shares of Class D common stock (as defined in this prospectus) originally issued as consideration in connection with the Business Combination at a per share value of $10.00 per share; and</w:t>
      </w:r>
    </w:p>
    <w:p>
      <w:pPr>
        <w:pStyle w:val="TextBody"/>
        <w:bidi w:val="0"/>
        <w:spacing w:before="0" w:after="0"/>
        <w:ind w:left="49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11,074,833 shares of Class A common stock originally issued and sold to certain of the Selling Holders pursuant to subscription agreements dated as of December 2, 2021 (collectively, the “PIPE Investors”) at a purchase price of $10.00 per share.</w:t>
      </w:r>
    </w:p>
    <w:p>
      <w:pPr>
        <w:pStyle w:val="TextBody"/>
        <w:bidi w:val="0"/>
        <w:spacing w:before="0" w:after="0"/>
        <w:ind w:left="49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591% of shares of Class A common stock outstanding of the Company as of July 31, 2023 (without giving effect to the issuance of shares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 example, based on the closing price of our Class A common stock of $7.79 as of July 31, 2023, Sponsor and other holders of the shares of our Class A common stock that were originally purchased by Arclight’s Sponsor in a private placement prior to Arclight’s initial public offering would experience a potential profit of approximately $7.787 per share, or approximately $11,671,186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Class A common stock by the Selling Holders pursuant to this prospectus. 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“Plan of Distribution.” We will bear all costs, expenses and fees in connection with the registration of the securities. The Selling Holders will bear all commissions and discounts, if any, attributable to their respective sales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prospectus supplement or amendment carefully before you invest in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Class A common stock are listed on the Nasdaq Capital Market (“Nasdaq”) under the symbol “OPAL.” On July 31, 2023, the closing price of our Class A common stock was $7.79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defined under the federal securities laws and, as such, are subject to certain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4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89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TRADEMARKS</w:t>
              </w:r>
            </w:hyperlink>
          </w:p>
        </w:tc>
        <w:tc>
          <w:tcPr>
            <w:tcW w:w="275" w:type="dxa"/>
            <w:tcBorders/>
            <w:shd w:fill="CCEEFF" w:val="clear"/>
            <w:vAlign w:val="center"/>
          </w:tcPr>
          <w:p>
            <w:pPr>
              <w:pStyle w:val="TableContents"/>
              <w:bidi w:val="0"/>
              <w:spacing w:before="0" w:after="283"/>
              <w:jc w:val="center"/>
              <w:rPr/>
            </w:pPr>
            <w:r>
              <w:rPr/>
              <w:t>ii</w:t>
            </w:r>
          </w:p>
        </w:tc>
      </w:tr>
      <w:tr>
        <w:trPr/>
        <w:tc>
          <w:tcPr>
            <w:tcW w:w="689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SELECTED DEFINITIONS</w:t>
              </w:r>
            </w:hyperlink>
          </w:p>
        </w:tc>
        <w:tc>
          <w:tcPr>
            <w:tcW w:w="275" w:type="dxa"/>
            <w:tcBorders/>
            <w:vAlign w:val="center"/>
          </w:tcPr>
          <w:p>
            <w:pPr>
              <w:pStyle w:val="TableContents"/>
              <w:bidi w:val="0"/>
              <w:spacing w:before="0" w:after="283"/>
              <w:jc w:val="center"/>
              <w:rPr/>
            </w:pPr>
            <w:r>
              <w:rPr/>
              <w:t>ii</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ABOUT THIS PROSPECTUS</w:t>
              </w:r>
            </w:hyperlink>
          </w:p>
        </w:tc>
        <w:tc>
          <w:tcPr>
            <w:tcW w:w="275" w:type="dxa"/>
            <w:tcBorders/>
            <w:shd w:fill="CCEEFF" w:val="clear"/>
            <w:vAlign w:val="center"/>
          </w:tcPr>
          <w:p>
            <w:pPr>
              <w:pStyle w:val="TableContents"/>
              <w:bidi w:val="0"/>
              <w:spacing w:before="0" w:after="283"/>
              <w:jc w:val="center"/>
              <w:rPr/>
            </w:pPr>
            <w:r>
              <w:rPr/>
              <w:t>v</w:t>
            </w:r>
          </w:p>
        </w:tc>
      </w:tr>
      <w:tr>
        <w:trPr/>
        <w:tc>
          <w:tcPr>
            <w:tcW w:w="6890"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CAUTIONARY STATEMENT REGARDING FORWARD-LOOKING STATEMENTS</w:t>
              </w:r>
            </w:hyperlink>
          </w:p>
        </w:tc>
        <w:tc>
          <w:tcPr>
            <w:tcW w:w="275" w:type="dxa"/>
            <w:tcBorders/>
            <w:vAlign w:val="center"/>
          </w:tcPr>
          <w:p>
            <w:pPr>
              <w:pStyle w:val="TableContents"/>
              <w:bidi w:val="0"/>
              <w:spacing w:before="0" w:after="283"/>
              <w:jc w:val="center"/>
              <w:rPr/>
            </w:pPr>
            <w:r>
              <w:rPr/>
              <w:t>vi</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SUMMARY</w:t>
              </w:r>
            </w:hyperlink>
          </w:p>
        </w:tc>
        <w:tc>
          <w:tcPr>
            <w:tcW w:w="275" w:type="dxa"/>
            <w:tcBorders/>
            <w:shd w:fill="CCEEFF" w:val="clear"/>
            <w:vAlign w:val="center"/>
          </w:tcPr>
          <w:p>
            <w:pPr>
              <w:pStyle w:val="TableContents"/>
              <w:bidi w:val="0"/>
              <w:spacing w:before="0" w:after="283"/>
              <w:jc w:val="center"/>
              <w:rPr/>
            </w:pPr>
            <w:r>
              <w:rPr/>
              <w:t>1</w:t>
            </w:r>
          </w:p>
        </w:tc>
      </w:tr>
      <w:tr>
        <w:trPr/>
        <w:tc>
          <w:tcPr>
            <w:tcW w:w="6890"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MARKET PRICE, TICKER SYMBOL, AND DIVIDEND INFORMATION</w:t>
              </w:r>
            </w:hyperlink>
          </w:p>
        </w:tc>
        <w:tc>
          <w:tcPr>
            <w:tcW w:w="275" w:type="dxa"/>
            <w:tcBorders/>
            <w:vAlign w:val="center"/>
          </w:tcPr>
          <w:p>
            <w:pPr>
              <w:pStyle w:val="TableContents"/>
              <w:bidi w:val="0"/>
              <w:spacing w:before="0" w:after="283"/>
              <w:jc w:val="center"/>
              <w:rPr/>
            </w:pPr>
            <w:r>
              <w:rPr/>
              <w:t>3</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RISK FACTORS</w:t>
              </w:r>
            </w:hyperlink>
          </w:p>
        </w:tc>
        <w:tc>
          <w:tcPr>
            <w:tcW w:w="275" w:type="dxa"/>
            <w:tcBorders/>
            <w:shd w:fill="CCEEFF" w:val="clear"/>
            <w:vAlign w:val="center"/>
          </w:tcPr>
          <w:p>
            <w:pPr>
              <w:pStyle w:val="TableContents"/>
              <w:bidi w:val="0"/>
              <w:spacing w:before="0" w:after="283"/>
              <w:jc w:val="center"/>
              <w:rPr/>
            </w:pPr>
            <w:r>
              <w:rPr/>
              <w:t>4</w:t>
            </w:r>
          </w:p>
        </w:tc>
      </w:tr>
      <w:tr>
        <w:trPr/>
        <w:tc>
          <w:tcPr>
            <w:tcW w:w="6890"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USE OF PROCEEDS</w:t>
              </w:r>
            </w:hyperlink>
          </w:p>
        </w:tc>
        <w:tc>
          <w:tcPr>
            <w:tcW w:w="275" w:type="dxa"/>
            <w:tcBorders/>
            <w:vAlign w:val="center"/>
          </w:tcPr>
          <w:p>
            <w:pPr>
              <w:pStyle w:val="TableContents"/>
              <w:bidi w:val="0"/>
              <w:spacing w:before="0" w:after="283"/>
              <w:jc w:val="center"/>
              <w:rPr/>
            </w:pPr>
            <w:r>
              <w:rPr/>
              <w:t>5</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DETERMINATION OF OFFERING PRICE</w:t>
              </w:r>
            </w:hyperlink>
          </w:p>
        </w:tc>
        <w:tc>
          <w:tcPr>
            <w:tcW w:w="275" w:type="dxa"/>
            <w:tcBorders/>
            <w:shd w:fill="CCEEFF" w:val="clear"/>
            <w:vAlign w:val="center"/>
          </w:tcPr>
          <w:p>
            <w:pPr>
              <w:pStyle w:val="TableContents"/>
              <w:bidi w:val="0"/>
              <w:spacing w:before="0" w:after="283"/>
              <w:jc w:val="center"/>
              <w:rPr/>
            </w:pPr>
            <w:r>
              <w:rPr/>
              <w:t>5</w:t>
            </w:r>
          </w:p>
        </w:tc>
      </w:tr>
      <w:tr>
        <w:trPr/>
        <w:tc>
          <w:tcPr>
            <w:tcW w:w="6890"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SECURITIES</w:t>
              </w:r>
            </w:hyperlink>
          </w:p>
        </w:tc>
        <w:tc>
          <w:tcPr>
            <w:tcW w:w="275" w:type="dxa"/>
            <w:tcBorders/>
            <w:vAlign w:val="center"/>
          </w:tcPr>
          <w:p>
            <w:pPr>
              <w:pStyle w:val="TableContents"/>
              <w:bidi w:val="0"/>
              <w:spacing w:before="0" w:after="283"/>
              <w:jc w:val="center"/>
              <w:rPr/>
            </w:pPr>
            <w:r>
              <w:rPr/>
              <w:t>6</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SELLING HOLDERS</w:t>
              </w:r>
            </w:hyperlink>
          </w:p>
        </w:tc>
        <w:tc>
          <w:tcPr>
            <w:tcW w:w="275" w:type="dxa"/>
            <w:tcBorders/>
            <w:shd w:fill="CCEEFF" w:val="clear"/>
            <w:vAlign w:val="center"/>
          </w:tcPr>
          <w:p>
            <w:pPr>
              <w:pStyle w:val="TableContents"/>
              <w:bidi w:val="0"/>
              <w:spacing w:before="0" w:after="283"/>
              <w:jc w:val="center"/>
              <w:rPr/>
            </w:pPr>
            <w:r>
              <w:rPr/>
              <w:t>13</w:t>
            </w:r>
          </w:p>
        </w:tc>
      </w:tr>
      <w:tr>
        <w:trPr/>
        <w:tc>
          <w:tcPr>
            <w:tcW w:w="6890"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PLAN OF DISTRIBUTION</w:t>
              </w:r>
            </w:hyperlink>
          </w:p>
        </w:tc>
        <w:tc>
          <w:tcPr>
            <w:tcW w:w="275" w:type="dxa"/>
            <w:tcBorders/>
            <w:vAlign w:val="center"/>
          </w:tcPr>
          <w:p>
            <w:pPr>
              <w:pStyle w:val="TableContents"/>
              <w:bidi w:val="0"/>
              <w:spacing w:before="0" w:after="283"/>
              <w:jc w:val="center"/>
              <w:rPr/>
            </w:pPr>
            <w:r>
              <w:rPr/>
              <w:t>17</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LEGAL MATTERS</w:t>
              </w:r>
            </w:hyperlink>
          </w:p>
        </w:tc>
        <w:tc>
          <w:tcPr>
            <w:tcW w:w="275" w:type="dxa"/>
            <w:tcBorders/>
            <w:shd w:fill="CCEEFF" w:val="clear"/>
            <w:vAlign w:val="center"/>
          </w:tcPr>
          <w:p>
            <w:pPr>
              <w:pStyle w:val="TableContents"/>
              <w:bidi w:val="0"/>
              <w:spacing w:before="0" w:after="283"/>
              <w:jc w:val="center"/>
              <w:rPr/>
            </w:pPr>
            <w:r>
              <w:rPr/>
              <w:t>21</w:t>
            </w:r>
          </w:p>
        </w:tc>
      </w:tr>
      <w:tr>
        <w:trPr/>
        <w:tc>
          <w:tcPr>
            <w:tcW w:w="6890"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EXPERTS</w:t>
              </w:r>
            </w:hyperlink>
          </w:p>
        </w:tc>
        <w:tc>
          <w:tcPr>
            <w:tcW w:w="275" w:type="dxa"/>
            <w:tcBorders/>
            <w:vAlign w:val="center"/>
          </w:tcPr>
          <w:p>
            <w:pPr>
              <w:pStyle w:val="TableContents"/>
              <w:bidi w:val="0"/>
              <w:spacing w:before="0" w:after="283"/>
              <w:jc w:val="center"/>
              <w:rPr/>
            </w:pPr>
            <w:r>
              <w:rPr/>
              <w:t>21</w:t>
            </w:r>
          </w:p>
        </w:tc>
      </w:tr>
      <w:tr>
        <w:trPr/>
        <w:tc>
          <w:tcPr>
            <w:tcW w:w="6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WHERE YOU CAN FIND MORE INFORMATION</w:t>
              </w:r>
            </w:hyperlink>
          </w:p>
        </w:tc>
        <w:tc>
          <w:tcPr>
            <w:tcW w:w="275" w:type="dxa"/>
            <w:tcBorders/>
            <w:shd w:fill="CCEEFF" w:val="clear"/>
            <w:vAlign w:val="center"/>
          </w:tcPr>
          <w:p>
            <w:pPr>
              <w:pStyle w:val="TableContents"/>
              <w:bidi w:val="0"/>
              <w:spacing w:before="0" w:after="283"/>
              <w:jc w:val="center"/>
              <w:rPr/>
            </w:pPr>
            <w:r>
              <w:rPr/>
              <w:t>21</w:t>
            </w:r>
          </w:p>
        </w:tc>
      </w:tr>
      <w:tr>
        <w:trPr/>
        <w:tc>
          <w:tcPr>
            <w:tcW w:w="6890"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INCORPORATION OF CERTAIN INFORMATION BY REFERENCE</w:t>
              </w:r>
            </w:hyperlink>
          </w:p>
        </w:tc>
        <w:tc>
          <w:tcPr>
            <w:tcW w:w="275"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and service marks belonging to other entities. Solely for convenience, trademarks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SELECTED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prospectus, unless the context otherwise requires: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BCA” or “Business Combination Agreement” refers to the Business Combination Agreement dated as of December 2, 2021 (as the same has been or may be amended, modified, supplemented or waived from time to time), by and among ArcLight, Opco and OPAL Holdco.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Combination” refers to the transaction contemplated by the BCA.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Bylaws” refers to the bylaws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Charter” refers to certificate of incorporation of OPAL.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common stock” refers to the shares of Class A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Units” refers to the Class A Units as defined in the Second A&amp;R LLC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common stock” refers to the shares of Class B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Units” refers to the Class B Units as defined in the Second A&amp;R LLC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C common stock” refers to the shares of Class C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Class D common stock” refers to the shares of Class D common stock, par value $0.0001 per share, of OPAL.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Closing” refers to the closing of the Business Combination.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Common Stock” refers to the collective shares of Class A common stock, Class B common stock, Class C common stock and Class 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“we”, “our”, “us” or similar terms refers to OPAL Fuels Inc. individually or on a consolidated basis, as the context may require.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 refers to the Securities Exchange Act of 1934,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Fortistar” refers to Fortistar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w:t>
      </w:r>
      <w:r>
        <w:rPr>
          <w:rFonts w:ascii="Times New Roman;Times;Serif" w:hAnsi="Times New Roman;Times;Serif"/>
          <w:b w:val="false"/>
          <w:i w:val="false"/>
          <w:caps w:val="false"/>
          <w:smallCaps w:val="false"/>
          <w:sz w:val="20"/>
        </w:rPr>
        <w:t xml:space="preserve">CNG. </w:t>
      </w:r>
      <w:r>
        <w:rPr>
          <w:rFonts w:ascii="Times New Roman;Times;Serif" w:hAnsi="Times New Roman;Times;Serif"/>
          <w:b w:val="false"/>
          <w:i/>
          <w:caps w:val="false"/>
          <w:smallCaps w:val="false"/>
          <w:sz w:val="20"/>
        </w:rPr>
        <w:t>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Hillman” refers to Hillman RNG Investments,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IPO” refers to ArcLight’s initial public offering of its Class A ordinary shares and ArcLight Public Warrants pursuant to the IPO Registration Statement and completed on March 25,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IPO Registration Statement” refers to ArcLight’s Registration Statement on Form S-1, filed with the SEC (File No. 333-252730), on March 22,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NextEra” refers to Mendocino Capital,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and “OPAL Fuels” refers to OPAL Fuels Inc., a Delaware 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Preferred Stock” refers to our shares of preferred stock, par value $0.0001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Opco Common Units” refers to the Class B Units resulting from the re-classification of the collective Opco common units existing immediately prior to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refers to the Charter and the Bylaws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 means an individual, partnership, corporation, limited liability company, joint stock company, unincorporated organization or association, trust, joint venture or other similar entity, whether or not a legal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PIPE Investors” refers, collectively, to the institutional and accredited investors that entered into Subscription Agreements with ArcLight.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Warrants” refers to the 9,223,261 redeemable warrants that were exchanged for the ArcLight Private Placement Warrants in connection with the Closing, and which were subsequently exchanged for Class A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Public Warrants” refers to the 6,223,233 redeemable warrants exchanged for the ArcLight Public Warrants in connection with the Closing, and which were subsequently exchanged for Class A common stock</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Sarbanes-Oxley Act” refers to the Sarbanes-Oxley Act of 2002.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A&amp;R LLC Agreement” refers to the Second Amended and Restated Limited Liability Company Agreement of Opco.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 Act” refers to the Securities Act of 1933,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Subscription Agreements” refer to the subscription agreements (as amended from time to time) that ArcLight entered into in connection with the Business Combination Agreement, each dated as of December 2,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Warrants” refers collectively to the Private Placement Warrants together with the Public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is a glossary of key industry terms used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Btu” refers to British thermal units.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CNG” refers to compressed natural gas.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EPA” refers to the U.S. Environmental Protection Agency.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LCFS” refers to Low Carbon Fuel Standard or similar types of federal and state programs.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 refers to renewable energy credits.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Renewable Power” refers to electricity generated from renewable sources.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RFS” refers to the EPA’s Renewable Fuel Standard.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RINs” refers to Renewable Identification Numbers.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RNG” refers to renewable natural gas.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using the “shelf” registration process. Under this shelf registration process, the Selling Holders may, from time to time, sell the securities offered by them described in this prospectus. We will not receive any proceeds from the sale by the Selling Holders of the securities offered by them described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in this prospectus, as well as the information incorporated by reference into this prospectus and any applicable prospectus supplement. Neither we nor the Selling 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Holders take responsibility for, and can provide no assurance as to the reliability of, any other information that others may give you. Neither we nor the Selling Holders are making or will make an offer to sell these securities in any jurisdiction where the offer or sale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the “Company” refer to OPAL Fuels Inc. individually or on a consolidated basis with our subsidiaries,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prospectus are “forward-looking statements.” Words such as “estimates,” “projected,” “expects,”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failure to realize the benefits of the Business Combination, which may be affected by, among other things, competition, our ability to grow and manage growth profitably, maintain relationships with customers and suppliers and retain key employees;</w:t>
            </w:r>
          </w:p>
        </w:tc>
      </w:tr>
    </w:tbl>
    <w:p>
      <w:pPr>
        <w:pStyle w:val="TextBody"/>
        <w:bidi w:val="0"/>
        <w:spacing w:before="0" w:after="0"/>
        <w:ind w:left="960" w:right="0" w:hanging="48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sz w:val="20"/>
              </w:rPr>
            </w:pPr>
            <w:r>
              <w:rPr>
                <w:sz w:val="20"/>
              </w:rPr>
              <w:t>our success in retaining or recruiting, our principal officers, key employees or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sz w:val="20"/>
              </w:rPr>
            </w:pPr>
            <w:r>
              <w:rPr>
                <w:sz w:val="20"/>
              </w:rPr>
              <w:t>intense competition and competitive pressures from other companies in the industry in which we operate;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increased costs of, or delays in obtaining, key components or labor for the construction and completion of landfill gas and livestock waste projects that generate electricity, and RNG, CNG and hydrogen dispensing stations;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factors relating to our business, operations and financial performance, including market conditions and global and economic factors beyond our control;</w:t>
            </w:r>
          </w:p>
        </w:tc>
      </w:tr>
    </w:tbl>
    <w:p>
      <w:pPr>
        <w:pStyle w:val="TextBody"/>
        <w:bidi w:val="0"/>
        <w:spacing w:before="0" w:after="0"/>
        <w:ind w:left="960" w:right="0" w:hanging="48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macroeconomic conditions related to the global COVID-19 pandemic;</w:t>
            </w:r>
          </w:p>
        </w:tc>
      </w:tr>
    </w:tbl>
    <w:p>
      <w:pPr>
        <w:pStyle w:val="TextBody"/>
        <w:bidi w:val="0"/>
        <w:spacing w:before="0" w:after="0"/>
        <w:ind w:left="960" w:right="0" w:hanging="48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the reduction or elimination of government economic incentives to the renewable energy market;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owners and operators of landfill and livestock Biogas Conversion Project sites on which we operate our landfill gas and livestock waste projects that generate electricity and (iii) RNG prices for Environmental Attributes, low carbon fuel standard credits and other incentives;</w:t>
            </w:r>
          </w:p>
        </w:tc>
      </w:tr>
    </w:tbl>
    <w:p>
      <w:pPr>
        <w:pStyle w:val="TextBody"/>
        <w:bidi w:val="0"/>
        <w:spacing w:before="0" w:after="0"/>
        <w:ind w:left="960" w:right="0" w:hanging="48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sz w:val="20"/>
              </w:rPr>
            </w:pPr>
            <w:r>
              <w:rPr>
                <w:sz w:val="20"/>
              </w:rPr>
              <w:t>the ability to identify, acquire, develop and operate renewable projects and Fueling Stations;</w:t>
            </w:r>
          </w:p>
        </w:tc>
      </w:tr>
    </w:tbl>
    <w:p>
      <w:pPr>
        <w:pStyle w:val="TextBody"/>
        <w:bidi w:val="0"/>
        <w:spacing w:before="0" w:after="0"/>
        <w:ind w:left="960" w:right="0" w:hanging="48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our ability to issue equity or equity-linked securities or obtain debt financing;</w:t>
            </w:r>
          </w:p>
        </w:tc>
      </w:tr>
    </w:tbl>
    <w:p>
      <w:pPr>
        <w:pStyle w:val="TextBody"/>
        <w:bidi w:val="0"/>
        <w:spacing w:before="0" w:after="0"/>
        <w:ind w:left="960" w:right="0" w:hanging="48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sz w:val="20"/>
              </w:rPr>
            </w:pPr>
            <w:r>
              <w:rPr>
                <w:sz w:val="20"/>
              </w:rPr>
              <w:t>the demand for renewable energy not being sustained;</w:t>
            </w:r>
          </w:p>
        </w:tc>
      </w:tr>
    </w:tbl>
    <w:p>
      <w:pPr>
        <w:pStyle w:val="TextBody"/>
        <w:bidi w:val="0"/>
        <w:spacing w:before="0" w:after="0"/>
        <w:ind w:left="960" w:right="0" w:hanging="48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sz w:val="20"/>
              </w:rPr>
            </w:pPr>
            <w:r>
              <w:rPr>
                <w:sz w:val="20"/>
              </w:rPr>
              <w:t>impacts of climate change, changing weather patterns and conditions and natural disasters;</w:t>
            </w:r>
          </w:p>
        </w:tc>
      </w:tr>
    </w:tbl>
    <w:p>
      <w:pPr>
        <w:pStyle w:val="TextBody"/>
        <w:bidi w:val="0"/>
        <w:spacing w:before="0" w:after="0"/>
        <w:ind w:left="960" w:right="0" w:hanging="48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sz w:val="20"/>
              </w:rPr>
            </w:pPr>
            <w:r>
              <w:rPr>
                <w:sz w:val="20"/>
              </w:rPr>
              <w:t>the effect of legal, tax and regulatory changes; and</w:t>
            </w:r>
          </w:p>
        </w:tc>
      </w:tr>
    </w:tbl>
    <w:p>
      <w:pPr>
        <w:pStyle w:val="TextBody"/>
        <w:bidi w:val="0"/>
        <w:spacing w:before="0" w:after="0"/>
        <w:ind w:left="960" w:right="0" w:hanging="48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other factors detailed under the section entitled “</w:t>
            </w:r>
            <w:r>
              <w:rPr>
                <w:i/>
                <w:sz w:val="20"/>
              </w:rPr>
              <w:t>Risk Factors.</w:t>
            </w:r>
            <w:r>
              <w:rPr>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 w:name="a_005"/>
      <w:bookmarkStart w:id="7" w:name="a_005"/>
      <w:bookmarkEnd w:id="7"/>
    </w:p>
    <w:tbl>
      <w:tblPr>
        <w:tblW w:w="10205" w:type="dxa"/>
        <w:jc w:val="left"/>
        <w:tblInd w:w="-15" w:type="dxa"/>
        <w:tblLayout w:type="fixed"/>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185" w:right="185" w:hanging="0"/>
              <w:jc w:val="center"/>
              <w:rPr>
                <w:caps w:val="false"/>
                <w:smallCaps w:val="false"/>
              </w:rPr>
            </w:pPr>
            <w:r>
              <w:rPr>
                <w:caps w:val="false"/>
                <w:smallCaps w:val="false"/>
              </w:rPr>
              <w:t> </w:t>
            </w:r>
          </w:p>
          <w:p>
            <w:pPr>
              <w:pStyle w:val="TableContents"/>
              <w:bidi w:val="0"/>
              <w:spacing w:before="0" w:after="0"/>
              <w:ind w:left="185" w:right="18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185" w:right="185" w:hanging="0"/>
              <w:jc w:val="center"/>
              <w:rPr>
                <w:caps w:val="false"/>
                <w:smallCaps w:val="false"/>
              </w:rPr>
            </w:pPr>
            <w:r>
              <w:rPr>
                <w:caps w:val="false"/>
                <w:smallCaps w:val="false"/>
              </w:rPr>
              <w:t> </w:t>
            </w:r>
          </w:p>
          <w:p>
            <w:pPr>
              <w:pStyle w:val="TableContents"/>
              <w:bidi w:val="0"/>
              <w:spacing w:before="0" w:after="0"/>
              <w:ind w:left="185" w:right="185"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contained elsewhere in this prospectus and does not contain all of the information you should consider when making your investment decision. Before investing in our securities, you should carefully read this entire prospectus. See also the section entitled “Where You Can Find More Information.” The definition of some of the terms used in this prospectus are set forth under the section “Selected Definitions.”</w:t>
            </w:r>
          </w:p>
          <w:p>
            <w:pPr>
              <w:pStyle w:val="TableContents"/>
              <w:bidi w:val="0"/>
              <w:spacing w:before="0" w:after="0"/>
              <w:ind w:left="185" w:right="185" w:hanging="0"/>
              <w:jc w:val="both"/>
              <w:rPr>
                <w:caps w:val="false"/>
                <w:smallCaps w:val="false"/>
              </w:rPr>
            </w:pPr>
            <w:r>
              <w:rPr>
                <w:caps w:val="false"/>
                <w:smallCaps w:val="false"/>
              </w:rPr>
              <w:t> </w:t>
            </w:r>
          </w:p>
          <w:p>
            <w:pPr>
              <w:pStyle w:val="TableContents"/>
              <w:bidi w:val="0"/>
              <w:spacing w:before="0" w:after="0"/>
              <w:ind w:left="185" w:right="185"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ableContents"/>
              <w:bidi w:val="0"/>
              <w:spacing w:before="0" w:after="0"/>
              <w:ind w:left="185" w:right="185" w:firstLine="360"/>
              <w:jc w:val="both"/>
              <w:rPr>
                <w:caps w:val="false"/>
                <w:smallCaps w:val="false"/>
              </w:rPr>
            </w:pPr>
            <w:r>
              <w:rPr>
                <w:caps w:val="false"/>
                <w:smallCaps w:val="false"/>
              </w:rPr>
              <w:t> </w:t>
            </w:r>
          </w:p>
          <w:p>
            <w:pPr>
              <w:pStyle w:val="TableContents"/>
              <w:bidi w:val="0"/>
              <w:spacing w:before="0" w:after="0"/>
              <w:ind w:left="185" w:right="185"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pStyle w:val="TableContents"/>
              <w:bidi w:val="0"/>
              <w:spacing w:before="0" w:after="0"/>
              <w:ind w:left="185" w:right="185" w:firstLine="360"/>
              <w:jc w:val="both"/>
              <w:rPr>
                <w:caps w:val="false"/>
                <w:smallCaps w:val="false"/>
              </w:rPr>
            </w:pPr>
            <w:r>
              <w:rPr>
                <w:caps w:val="false"/>
                <w:smallCaps w:val="false"/>
              </w:rPr>
              <w:t> </w:t>
            </w:r>
          </w:p>
          <w:p>
            <w:pPr>
              <w:pStyle w:val="TableContents"/>
              <w:bidi w:val="0"/>
              <w:spacing w:before="0" w:after="0"/>
              <w:ind w:left="185" w:right="185"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pStyle w:val="TableContents"/>
              <w:bidi w:val="0"/>
              <w:spacing w:before="0" w:after="0"/>
              <w:ind w:left="185" w:right="185" w:firstLine="360"/>
              <w:jc w:val="both"/>
              <w:rPr>
                <w:caps w:val="false"/>
                <w:smallCaps w:val="false"/>
              </w:rPr>
            </w:pPr>
            <w:r>
              <w:rPr>
                <w:caps w:val="false"/>
                <w:smallCaps w:val="false"/>
              </w:rPr>
              <w:t> </w:t>
            </w:r>
          </w:p>
          <w:p>
            <w:pPr>
              <w:pStyle w:val="TableContents"/>
              <w:bidi w:val="0"/>
              <w:spacing w:before="0" w:after="0"/>
              <w:ind w:left="185" w:right="185"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pStyle w:val="TableContents"/>
              <w:bidi w:val="0"/>
              <w:spacing w:before="0" w:after="0"/>
              <w:ind w:left="185" w:right="185" w:firstLine="360"/>
              <w:jc w:val="both"/>
              <w:rPr>
                <w:caps w:val="false"/>
                <w:smallCaps w:val="false"/>
              </w:rPr>
            </w:pPr>
            <w:r>
              <w:rPr>
                <w:caps w:val="false"/>
                <w:smallCaps w:val="false"/>
              </w:rPr>
              <w:t> </w:t>
            </w:r>
          </w:p>
          <w:p>
            <w:pPr>
              <w:pStyle w:val="TableContents"/>
              <w:bidi w:val="0"/>
              <w:spacing w:before="0" w:after="0"/>
              <w:ind w:left="185" w:right="185"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us can be found in our most recent annual report on Form 10-K incorporated by reference herein together with any material changes thereto contained in subsequently filed quarterly reports on Form 10-Q.</w:t>
            </w:r>
          </w:p>
          <w:p>
            <w:pPr>
              <w:pStyle w:val="TableContents"/>
              <w:bidi w:val="0"/>
              <w:spacing w:before="0" w:after="0"/>
              <w:ind w:left="130" w:right="130" w:hanging="0"/>
              <w:jc w:val="both"/>
              <w:rPr>
                <w:caps w:val="false"/>
                <w:smallCaps w:val="false"/>
              </w:rPr>
            </w:pPr>
            <w:r>
              <w:rPr>
                <w:caps w:val="false"/>
                <w:smallCaps w:val="false"/>
              </w:rPr>
              <w:t> </w:t>
            </w:r>
          </w:p>
          <w:p>
            <w:pPr>
              <w:pStyle w:val="TableContents"/>
              <w:bidi w:val="0"/>
              <w:spacing w:before="0" w:after="0"/>
              <w:ind w:left="130" w:right="13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Information</w:t>
            </w:r>
          </w:p>
          <w:p>
            <w:pPr>
              <w:pStyle w:val="TableContents"/>
              <w:bidi w:val="0"/>
              <w:spacing w:before="0" w:after="0"/>
              <w:ind w:left="130" w:right="130" w:hanging="0"/>
              <w:jc w:val="both"/>
              <w:rPr>
                <w:caps w:val="false"/>
                <w:smallCaps w:val="false"/>
              </w:rPr>
            </w:pPr>
            <w:r>
              <w:rPr>
                <w:caps w:val="false"/>
                <w:smallCaps w:val="false"/>
              </w:rPr>
              <w:t> </w:t>
            </w:r>
          </w:p>
          <w:p>
            <w:pPr>
              <w:pStyle w:val="TableContents"/>
              <w:bidi w:val="0"/>
              <w:spacing w:before="0" w:after="0"/>
              <w:ind w:left="185" w:right="185"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Delaware corporation. Our principal executive offices are located at One North Lexington Avenue, Suite 1450, White Plains, New York 10601 and our telephone number is (914) 705-4000. Our website is </w:t>
            </w:r>
            <w:r>
              <w:rPr>
                <w:rFonts w:ascii="Times New Roman;Times;Serif" w:hAnsi="Times New Roman;Times;Serif"/>
                <w:b w:val="false"/>
                <w:i/>
                <w:caps w:val="false"/>
                <w:smallCaps w:val="false"/>
                <w:sz w:val="20"/>
              </w:rPr>
              <w:t>www.opalfuels.com</w:t>
            </w:r>
            <w:r>
              <w:rPr>
                <w:rFonts w:ascii="Times New Roman;Times;Serif" w:hAnsi="Times New Roman;Times;Serif"/>
                <w:b w:val="false"/>
                <w:i w:val="false"/>
                <w:caps w:val="false"/>
                <w:smallCaps w:val="false"/>
                <w:sz w:val="20"/>
              </w:rPr>
              <w:t>. Our website and the information contained on, or accessed through, its website are not part of this prospectus, and you should rely only on the information contained in this prospectus when making a decision as to whether to invest in our securities.</w:t>
            </w:r>
          </w:p>
          <w:p>
            <w:pPr>
              <w:pStyle w:val="TableContents"/>
              <w:bidi w:val="0"/>
              <w:spacing w:before="0" w:after="0"/>
              <w:ind w:left="185" w:right="185" w:firstLine="360"/>
              <w:jc w:val="both"/>
              <w:rPr>
                <w:caps w:val="false"/>
                <w:smallCaps w:val="false"/>
              </w:rPr>
            </w:pPr>
            <w:r>
              <w:rPr>
                <w:caps w:val="false"/>
                <w:smallCaps w:val="false"/>
              </w:rPr>
              <w:t> </w:t>
            </w:r>
          </w:p>
        </w:tc>
      </w:tr>
    </w:tbl>
    <w:p>
      <w:pPr>
        <w:pStyle w:val="TextBody"/>
        <w:bidi w:val="0"/>
        <w:spacing w:before="0" w:after="0"/>
        <w:ind w:left="185" w:right="185" w:hanging="0"/>
        <w:jc w:val="center"/>
        <w:rPr>
          <w:caps w:val="false"/>
          <w:smallCaps w:val="false"/>
        </w:rPr>
      </w:pPr>
      <w:r>
        <w:rPr>
          <w:caps w:val="false"/>
          <w:smallCaps w:val="false"/>
        </w:rPr>
        <w:t> </w:t>
      </w:r>
    </w:p>
    <w:p>
      <w:pPr>
        <w:pStyle w:val="TextBody"/>
        <w:bidi w:val="0"/>
        <w:spacing w:before="0" w:after="0"/>
        <w:ind w:left="185" w:right="185"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8770" w:type="dxa"/>
        <w:jc w:val="left"/>
        <w:tblInd w:w="0" w:type="dxa"/>
        <w:tblLayout w:type="fixed"/>
        <w:tblCellMar>
          <w:top w:w="0" w:type="dxa"/>
          <w:left w:w="0" w:type="dxa"/>
          <w:bottom w:w="0" w:type="dxa"/>
          <w:right w:w="0" w:type="dxa"/>
        </w:tblCellMar>
      </w:tblPr>
      <w:tblGrid>
        <w:gridCol w:w="3305"/>
        <w:gridCol w:w="60"/>
        <w:gridCol w:w="5405"/>
      </w:tblGrid>
      <w:tr>
        <w:trPr/>
        <w:tc>
          <w:tcPr>
            <w:tcW w:w="3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OPAL Fuels Inc.</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offered by the Selling Holders</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163,676,735 shares of Class A common stock, consisting of:</w:t>
            </w:r>
          </w:p>
        </w:tc>
      </w:tr>
    </w:tbl>
    <w:p>
      <w:pPr>
        <w:pStyle w:val="TextBody"/>
        <w:bidi w:val="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95"/>
        <w:gridCol w:w="170"/>
        <w:gridCol w:w="8540"/>
      </w:tblGrid>
      <w:tr>
        <w:trPr/>
        <w:tc>
          <w:tcPr>
            <w:tcW w:w="14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8,202,865 shares of Class A common stock issued under the Business Combination Agreement to Ares, Sponsor and certain former directors of ArcLight originally acquired by such parties for an effective purchase price of approximately $0.003 per share;</w:t>
            </w:r>
          </w:p>
        </w:tc>
      </w:tr>
      <w:tr>
        <w:trPr/>
        <w:tc>
          <w:tcPr>
            <w:tcW w:w="14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r>
      <w:tr>
        <w:trPr/>
        <w:tc>
          <w:tcPr>
            <w:tcW w:w="14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144,399,037 shares of Class A common stock issuable upon the conversion of Class C common stock issuable to the Opco Common Equityholders upon the exchange of Opco Common Units and the cancellation of an equal number of shares of Class D common stock originally issued as consideration in connection with the Business Combination at a per share value of $10.00 per share; and</w:t>
            </w:r>
          </w:p>
        </w:tc>
      </w:tr>
      <w:tr>
        <w:trPr/>
        <w:tc>
          <w:tcPr>
            <w:tcW w:w="14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r>
      <w:tr>
        <w:trPr/>
        <w:tc>
          <w:tcPr>
            <w:tcW w:w="14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11,074,833 shares of Class A common stock issued to the PIPE Investors at a purchase price of $10.00 per share.</w:t>
            </w:r>
          </w:p>
        </w:tc>
      </w:tr>
      <w:tr>
        <w:trPr/>
        <w:tc>
          <w:tcPr>
            <w:tcW w:w="14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8540" w:type="dxa"/>
            <w:tcBorders/>
            <w:vAlign w:val="center"/>
          </w:tcPr>
          <w:p>
            <w:pPr>
              <w:pStyle w:val="TableContents"/>
              <w:bidi w:val="0"/>
              <w:spacing w:before="0" w:after="283"/>
              <w:jc w:val="both"/>
              <w:rPr/>
            </w:pPr>
            <w:r>
              <w:rPr/>
              <w:t> </w:t>
            </w:r>
          </w:p>
        </w:tc>
      </w:tr>
      <w:tr>
        <w:trPr/>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17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receive any of the proceeds from the sale of the shares of Class A common stock by the Selling Holders. We will bear all costs, expenses and fees in connection with the registration of the securities. The Selling Holders will bear all commissions and discounts, if any, attributable to their respective sales of the securities.</w:t>
            </w:r>
          </w:p>
        </w:tc>
      </w:tr>
      <w:tr>
        <w:trPr/>
        <w:tc>
          <w:tcPr>
            <w:tcW w:w="14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r>
      <w:tr>
        <w:trPr/>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for our shares of Class A common stock</w:t>
            </w:r>
          </w:p>
        </w:tc>
        <w:tc>
          <w:tcPr>
            <w:tcW w:w="871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Class A common stock is listed for trading on Nasdaq under the symbol “OPAL”.</w:t>
            </w:r>
          </w:p>
        </w:tc>
      </w:tr>
      <w:tr>
        <w:trPr/>
        <w:tc>
          <w:tcPr>
            <w:tcW w:w="14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r>
      <w:tr>
        <w:trPr/>
        <w:tc>
          <w:tcPr>
            <w:tcW w:w="14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871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Any investment in the securities offered hereby is speculative and involves a high degree of risk. You should carefully consider the information set forth under “</w:t>
            </w:r>
            <w:r>
              <w:rPr>
                <w:rFonts w:ascii="Times New Roman;Times;Serif" w:hAnsi="Times New Roman;Times;Serif"/>
                <w:b/>
                <w:i/>
                <w:sz w:val="20"/>
              </w:rPr>
              <w:t>Risk Factors</w:t>
            </w:r>
            <w:r>
              <w:rPr>
                <w:rFonts w:ascii="Times New Roman;Times;Serif" w:hAnsi="Times New Roman;Times;Serif"/>
                <w:b/>
                <w:sz w:val="20"/>
              </w:rPr>
              <w:t>” and elsewhere in this prospectus.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8" w:name="a_006"/>
      <w:bookmarkEnd w:id="8"/>
      <w:r>
        <w:rPr>
          <w:rFonts w:ascii="Times New Roman;Times;Serif" w:hAnsi="Times New Roman;Times;Serif"/>
          <w:b/>
          <w:i w:val="false"/>
          <w:caps w:val="false"/>
          <w:smallCaps w:val="false"/>
          <w:sz w:val="20"/>
          <w:bdr w:val="single" w:sz="12" w:space="5" w:color="000000"/>
        </w:rPr>
        <w:t>MARKET PRICE, TICKER SYMBOL, AND DIVIDEND INFORMATION</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OPAL’s Class A common stock is listed for trading on Nasdaq under the symbol “OPAL”.</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closing price of the Class A common stock on July 31, 2023 was $7.79. Holders of Class A common stock should obtain current market quotations for their securities.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 of directors.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Before making an investment decision, you should carefully consider the risks, uncertainties and other factors described in our most recent annual report on Form 10-K, as supplemented and updated by subsequent quarterly reports on Form 10-Q and current reports on Form 8-K, and all other information contained or incorporated by reference into this prospectus, as updated by our subsequent filings under the Exchange Act that we have filed or will file with the SEC, and in documents which are incorporated by reference into this prospectus, as well as the risk factors and other information contained in or incorporated by reference into any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were to occur, our business, affairs, prospects, assets, financial condition, results of operations and cash flow could be materially and adversely affected. If this occurs, the market or trading price of our securities could decline, and you could lose all or part of your investment. In addition, please read “Cautionary Statement Regarding Forward-Looking Statements” in this prospectus, where we describe additional uncertainties associated with our business and the forward-looking statements included or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Class A common stock offered by the Selling Holders pursuant to this prospectus will be sold by the Selling Holders for their respective accounts. We will not receive any of the proceeds from these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Class A common stock may be sold by the Selling Holders under this prospectus, as the price will be determined by the prevailing public market price for shares of the Class A common stock, by negotiations between the Selling Holders and the buyers of the Class A common stock in private transactions or as otherwise described in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OPAL’s capital stock is only a summary, and it does not contain all the information that may be important to you. For a complete description of the matters set forth in this section, you should refer to the Charter, the Bylaws, the Second A&amp;R LLC Agreement, the Investor Rights Agreement, and to the applicable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all classes of stock that OPAL has the authority to issue is 1,120,000,000 shares, consisting of:</w:t>
      </w:r>
    </w:p>
    <w:p>
      <w:pPr>
        <w:pStyle w:val="TextBody"/>
        <w:bidi w:val="0"/>
        <w:spacing w:before="0" w:after="0"/>
        <w:ind w:left="960" w:right="0" w:hanging="36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sz w:val="20"/>
              </w:rPr>
            </w:pPr>
            <w:r>
              <w:rPr>
                <w:sz w:val="20"/>
              </w:rPr>
              <w:t>820,000,000 shares of Common Stock, par value of $0.0001 per share, divided into:</w:t>
            </w:r>
          </w:p>
        </w:tc>
      </w:tr>
    </w:tbl>
    <w:p>
      <w:pPr>
        <w:pStyle w:val="TextBody"/>
        <w:bidi w:val="0"/>
        <w:spacing w:before="0" w:after="0"/>
        <w:ind w:left="144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sz w:val="20"/>
              </w:rPr>
            </w:pPr>
            <w:r>
              <w:rPr>
                <w:sz w:val="20"/>
              </w:rPr>
              <w:t>340,000,000 shares of Class A common stock;</w:t>
            </w:r>
          </w:p>
        </w:tc>
      </w:tr>
    </w:tbl>
    <w:p>
      <w:pPr>
        <w:pStyle w:val="TextBody"/>
        <w:bidi w:val="0"/>
        <w:spacing w:before="0" w:after="0"/>
        <w:ind w:left="144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sz w:val="20"/>
              </w:rPr>
            </w:pPr>
            <w:r>
              <w:rPr>
                <w:sz w:val="20"/>
              </w:rPr>
              <w:t>160,000,000 shares of Class B common stock;</w:t>
            </w:r>
          </w:p>
        </w:tc>
      </w:tr>
    </w:tbl>
    <w:p>
      <w:pPr>
        <w:pStyle w:val="TextBody"/>
        <w:bidi w:val="0"/>
        <w:spacing w:before="0" w:after="0"/>
        <w:ind w:left="144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160,000,000 shares of Class C common stock; and</w:t>
            </w:r>
          </w:p>
        </w:tc>
      </w:tr>
    </w:tbl>
    <w:p>
      <w:pPr>
        <w:pStyle w:val="TextBody"/>
        <w:bidi w:val="0"/>
        <w:spacing w:before="0" w:after="0"/>
        <w:ind w:left="144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160,000,000 shares of Class D common stock; and</w:t>
            </w:r>
          </w:p>
        </w:tc>
      </w:tr>
    </w:tbl>
    <w:p>
      <w:pPr>
        <w:pStyle w:val="TextBody"/>
        <w:bidi w:val="0"/>
        <w:spacing w:before="0" w:after="0"/>
        <w:ind w:left="960"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300,000,000 shares of OPAL Preferred Stock, par value $0.0001 per share.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27,694,332 shares of Class A common stock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holders of shares of each class of the Common Stock, as such, have no voting power with respect to, and are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or Combinations.</w:t>
      </w:r>
      <w:r>
        <w:rPr>
          <w:rFonts w:ascii="Times New Roman;Times;Serif" w:hAnsi="Times New Roman;Times;Serif"/>
          <w:b w:val="false"/>
          <w:i w:val="false"/>
          <w:caps w:val="false"/>
          <w:smallCaps w:val="false"/>
          <w:sz w:val="20"/>
        </w:rPr>
        <w:t> Subject to applicable law and the rights, if any, of the holders 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of directors in its discretion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any stock dividend, stock split, reverse stock split, combination of stock, reclassification or recapitalization be declared or made on any series of Common Stock (each, a “Stock Adjustment”) unless:</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(a)</w:t>
            </w:r>
          </w:p>
        </w:tc>
        <w:tc>
          <w:tcPr>
            <w:tcW w:w="9956" w:type="dxa"/>
            <w:tcBorders/>
            <w:vAlign w:val="center"/>
          </w:tcPr>
          <w:p>
            <w:pPr>
              <w:pStyle w:val="TableContents"/>
              <w:bidi w:val="0"/>
              <w:spacing w:before="0" w:after="283"/>
              <w:jc w:val="both"/>
              <w:rPr>
                <w:sz w:val="20"/>
              </w:rPr>
            </w:pPr>
            <w:r>
              <w:rPr>
                <w:sz w:val="20"/>
              </w:rPr>
              <w:t>a corresponding Stock Adjustment for all other series of Common Stock not so adjusted at the time outstanding is made in the same proportion and the same manner;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(b)</w:t>
            </w:r>
          </w:p>
        </w:tc>
        <w:tc>
          <w:tcPr>
            <w:tcW w:w="9937" w:type="dxa"/>
            <w:tcBorders/>
            <w:vAlign w:val="center"/>
          </w:tcPr>
          <w:p>
            <w:pPr>
              <w:pStyle w:val="TableContents"/>
              <w:bidi w:val="0"/>
              <w:spacing w:before="0" w:after="283"/>
              <w:jc w:val="both"/>
              <w:rPr>
                <w:sz w:val="20"/>
              </w:rPr>
            </w:pPr>
            <w:r>
              <w:rPr>
                <w:sz w:val="20"/>
              </w:rPr>
              <w:t>the Stock Adjustment has been reflected in the same economically equivalent manner on all Class A Units (as defined in the Second A&amp;R LLC Agreement).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dividends with respect to each class of Common Stock may only be paid with shares of stock of the same series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i/>
          <w:caps w:val="false"/>
          <w:smallCaps w:val="false"/>
          <w:sz w:val="20"/>
        </w:rPr>
        <w:t>Dividends; Stock Splits or Combinations.</w:t>
      </w:r>
      <w:r>
        <w:rPr>
          <w:rFonts w:ascii="Times New Roman;Times;Serif" w:hAnsi="Times New Roman;Times;Serif"/>
          <w:b w:val="false"/>
          <w:i w:val="false"/>
          <w:caps w:val="false"/>
          <w:smallCaps w:val="false"/>
          <w:sz w:val="20"/>
        </w:rPr>
        <w:t xml:space="preserve"> Dividends of cash or property may not be declared or paid on shares of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Subscription Rights. </w:t>
      </w:r>
      <w:r>
        <w:rPr>
          <w:rFonts w:ascii="Times New Roman;Times;Serif" w:hAnsi="Times New Roman;Times;Serif"/>
          <w:b w:val="false"/>
          <w:i w:val="false"/>
          <w:caps w:val="false"/>
          <w:smallCaps w:val="false"/>
          <w:sz w:val="20"/>
        </w:rPr>
        <w:t>To the extent Class B Units are issued pursuant to the Second A&amp;R LLC 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C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did not have any shares of Class C common stock issued and outstanding. Shares of Class C common stock may be converted to shares of Class A common stock, as discussed further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i/>
                <w:sz w:val="20"/>
              </w:rPr>
              <w:t>Voluntary Conversion</w:t>
            </w:r>
            <w:r>
              <w:rPr>
                <w:sz w:val="20"/>
              </w:rPr>
              <w:t>. 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i/>
                <w:sz w:val="20"/>
              </w:rPr>
              <w:t>Automatic Conversion</w:t>
            </w:r>
            <w:r>
              <w:rPr>
                <w:sz w:val="20"/>
              </w:rPr>
              <w:t>. Each share of Class C common stock shall automatically, without any further action, convert into one share of Class A common stock upon a Transfer (as defined in the Charter), other than a Transfer to a Qualified Stockholder (as defined in the Charter).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144,399,037 shares of Class D common stock issued and outstanding.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and Combinations.</w:t>
      </w:r>
      <w:r>
        <w:rPr>
          <w:rFonts w:ascii="Times New Roman;Times;Serif" w:hAnsi="Times New Roman;Times;Serif"/>
          <w:b w:val="false"/>
          <w:i w:val="false"/>
          <w:caps w:val="false"/>
          <w:smallCaps w:val="false"/>
          <w:sz w:val="20"/>
        </w:rPr>
        <w:t> Dividends of cash or property may not be declared or paid on shares of Class 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Subscription Rights.</w:t>
      </w:r>
      <w:r>
        <w:rPr>
          <w:rFonts w:ascii="Times New Roman;Times;Serif" w:hAnsi="Times New Roman;Times;Serif"/>
          <w:b w:val="false"/>
          <w:i w:val="false"/>
          <w:caps w:val="false"/>
          <w:smallCaps w:val="false"/>
          <w:sz w:val="20"/>
        </w:rPr>
        <w:t> To the extent that Class B Units are issued pursuant to the Second A&amp;R LLC 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i/>
                <w:sz w:val="20"/>
              </w:rPr>
              <w:t>Voluntary Conversion</w:t>
            </w:r>
            <w:r>
              <w:rPr>
                <w:sz w:val="20"/>
              </w:rPr>
              <w:t>. Each share of Class D common stock shall be convertible into one share of 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 Further, shares of Class D common stock, together with the corresponding Class B Units may be exchanged for shares of Class C common stock pursuant to the Second A&amp;R LLC Agreement.</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i/>
                <w:sz w:val="20"/>
              </w:rPr>
              <w:t>Automatic Conversion</w:t>
            </w:r>
            <w:r>
              <w:rPr>
                <w:sz w:val="20"/>
              </w:rPr>
              <w:t>. Each share of Class D common stock shall automatically, without any further action, convert into one share of Class B common stock upon a Transfer, other than a Transfer to a Qualified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Cancellation of Class B common stock and Class 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expressly provided in any certificate of designation designating any series of OPAL Preferred Stock, (i) any new series of OPAL Preferred Stock may be designated, fixed and determined as provided by the Charter by our board of directors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rights of the Common Stock, the OPAL Preferred Stock or any future class or series of OPAL Preferred Stock or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OPAL Capital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A common stock, we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Delaware Law and the Organizational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Organizational Documents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include: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Action by Written Consent; Special Meeting of Stockholder.</w:t>
      </w:r>
      <w:r>
        <w:rPr>
          <w:rFonts w:ascii="Times New Roman;Times;Serif" w:hAnsi="Times New Roman;Times;Serif"/>
          <w:b w:val="false"/>
          <w:i w:val="false"/>
          <w:caps w:val="false"/>
          <w:smallCaps w:val="false"/>
          <w:sz w:val="20"/>
        </w:rPr>
        <w:t> Subject to, with respect to the OPAL Preferred Stock, the terms of any series of OPAL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we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and may not be effected by any consent in lieu of a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special rights of the holders of any series of OPAL Preferred Stock and the requirements of applicable law, a special meetings of stockholders may be called only by the chairperson of our board of directors, the vice chairperson of our board of directors, the chief executive officer or at the direction of our board of directors pursuant to a written resolution adopted by a majority of the total number of directors that we would have if there were no vacancies, and the ability of the stockholders or any other Persons to call a special meeting of the stockholders is specifically denied.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Election and Removal of Directors.</w:t>
      </w:r>
      <w:r>
        <w:rPr>
          <w:rFonts w:ascii="Times New Roman;Times;Serif" w:hAnsi="Times New Roman;Times;Serif"/>
          <w:b w:val="false"/>
          <w:i w:val="false"/>
          <w:caps w:val="false"/>
          <w:smallCaps w:val="false"/>
          <w:sz w:val="20"/>
        </w:rPr>
        <w:t> Subject to any limitations imposed by applicable law and except for additional directors of OPAL elected by the holders of any series of OPAL Preferred Stock as provided for or fixed pursuant to the Charter, any director of OPAL or the entire board of directors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of directors or any one or more directors of OPAL should be so removed, any new directors of OPAL shall, unless our board of directors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of directors, and not by the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Limitations on Stockholder Actions</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Our Bylaws also impose some procedural requirements on stockholders who wish to:</w:t>
      </w:r>
    </w:p>
    <w:p>
      <w:pPr>
        <w:pStyle w:val="TextBody"/>
        <w:bidi w:val="0"/>
        <w:spacing w:before="0" w:after="0"/>
        <w:ind w:left="960" w:right="0" w:hanging="36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sz w:val="20"/>
              </w:rPr>
            </w:pPr>
            <w:r>
              <w:rPr>
                <w:sz w:val="20"/>
              </w:rPr>
              <w:t>make nominations in the election of directors; or</w:t>
            </w:r>
          </w:p>
        </w:tc>
      </w:tr>
    </w:tbl>
    <w:p>
      <w:pPr>
        <w:pStyle w:val="TextBody"/>
        <w:bidi w:val="0"/>
        <w:spacing w:before="0" w:after="0"/>
        <w:ind w:left="960" w:right="0" w:hanging="36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sz w:val="20"/>
              </w:rPr>
            </w:pPr>
            <w:r>
              <w:rPr>
                <w:sz w:val="20"/>
              </w:rPr>
              <w:t>propose any other business to be brought before an annual meeting of stockholders.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pStyle w:val="TextBody"/>
        <w:bidi w:val="0"/>
        <w:spacing w:before="0" w:after="0"/>
        <w:ind w:left="960" w:right="0" w:hanging="36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sz w:val="20"/>
              </w:rPr>
            </w:pPr>
            <w:r>
              <w:rPr>
                <w:sz w:val="20"/>
              </w:rPr>
              <w:t>the name and record address of each stockholder proposing business, as they appear in OPAL’s books;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class or series and number of shares of stock of OPAL, directly or indirectly, held of record and beneficially by the Proponent or Stockholder Associated Person, as such terms are defined in the Bylaws;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9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names of all persons with whom the stockholder is acting in concert and a description of all arrangements and understandings with those persons;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description of the business or nomination to be brought before the meeting, the text of the proposal and the reasons for conducting such business at the meeting; and</w:t>
            </w:r>
          </w:p>
        </w:tc>
      </w:tr>
    </w:tbl>
    <w:p>
      <w:pPr>
        <w:pStyle w:val="TextBody"/>
        <w:bidi w:val="0"/>
        <w:spacing w:before="0" w:after="0"/>
        <w:ind w:left="960" w:right="0" w:hanging="36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any material interest of the Proponent or Stockholder Associated Person in such business.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set out the timeliness requirements for delivery of such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Organizational Documents provide indemnification for OPAL’s directors and officers to the fullest extent permitted by the DGCL.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2022, we entered into certain Indemnification Agreements (“Indemnification Agreements”)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“Expenses”).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our behalf of;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action, the subject matter of which is within the scope of the exclusive forum provisions of the Charter,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“Enforcement Action”) and (ii) having service of process made upon such stockholder in any such Enforcement Action by service upon such stockholder’s counsel in the Foreign Action as agent for such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holding, owning or otherwise acquiring any interest in any of our securities shall be deemed to have notice of and to have consented to the exclusive forum provisions of the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OPAL’s Common Stock is Continental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are listed on Nasdaq under the symbol “OPAL”.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SELLING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Holders from time to time of up to 163,676,735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04"/>
        <w:gridCol w:w="60"/>
        <w:gridCol w:w="60"/>
        <w:gridCol w:w="1220"/>
        <w:gridCol w:w="60"/>
        <w:gridCol w:w="60"/>
        <w:gridCol w:w="84"/>
        <w:gridCol w:w="1716"/>
        <w:gridCol w:w="60"/>
        <w:gridCol w:w="60"/>
        <w:gridCol w:w="110"/>
        <w:gridCol w:w="1035"/>
        <w:gridCol w:w="76"/>
      </w:tblGrid>
      <w:tr>
        <w:trPr/>
        <w:tc>
          <w:tcPr>
            <w:tcW w:w="5604" w:type="dxa"/>
            <w:tcBorders>
              <w:bottom w:val="single" w:sz="12" w:space="0" w:color="000000"/>
            </w:tcBorders>
            <w:vAlign w:val="center"/>
          </w:tcPr>
          <w:p>
            <w:pPr>
              <w:pStyle w:val="TableContents"/>
              <w:bidi w:val="0"/>
              <w:spacing w:before="0" w:after="283"/>
              <w:jc w:val="left"/>
              <w:rPr>
                <w:b/>
              </w:rPr>
            </w:pPr>
            <w:r>
              <w:rPr>
                <w:b/>
              </w:rPr>
              <w:t>Name of Selling Holder</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Number of</w:t>
              <w:br/>
              <w:t>Class A</w:t>
              <w:br/>
              <w:t>Common</w:t>
              <w:br/>
              <w:t>Stock Held</w:t>
              <w:br/>
              <w:t>Prior to</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0" w:type="dxa"/>
            <w:gridSpan w:val="2"/>
            <w:tcBorders>
              <w:bottom w:val="single" w:sz="12" w:space="0" w:color="000000"/>
            </w:tcBorders>
            <w:vAlign w:val="center"/>
          </w:tcPr>
          <w:p>
            <w:pPr>
              <w:pStyle w:val="TableContents"/>
              <w:bidi w:val="0"/>
              <w:spacing w:before="0" w:after="283"/>
              <w:jc w:val="center"/>
              <w:rPr>
                <w:b/>
              </w:rPr>
            </w:pPr>
            <w:r>
              <w:rPr>
                <w:b/>
              </w:rPr>
              <w:t>Number of Class</w:t>
              <w:br/>
              <w:t>A Common Stock</w:t>
              <w:br/>
              <w:t xml:space="preserve">Registered for </w:t>
              <w:br/>
              <w:t>Sale Hereby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Number &amp;</w:t>
              <w:br/>
              <w:t>Percentage</w:t>
              <w:br/>
              <w:t>of Class A</w:t>
              <w:br/>
              <w:t>Common</w:t>
              <w:br/>
              <w:t>Stock Held</w:t>
              <w:br/>
              <w:t>After</w:t>
              <w:br/>
              <w:t>Offering</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ARCC Beacon LLC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3,059,533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3,059,533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ArcLight CTC Holdings II, L.P.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1,498,804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1,498,804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Arno Harris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Brian Goncher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35,000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35,000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Ja-Chin Audrey Lee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Steven Berkenfeld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35,000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35,000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Entities affiliated with Mark Comora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145,279,637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145,279,637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Adage Capital Partners LP (5)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494,233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494,233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Arosa Alternative Energy Fund LP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45,000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45,000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Arosa Opportunistic Fund LP (7)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105,000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105,000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Dmitri Sinenko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Nyera II Limited (9)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1,500,000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1,500,000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J. Goldman Master Fund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Mendocino Capital, LLC (11)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2,500,000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2,500,000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Northbank Capital Management, LLC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Stearns, Conrad and Schmidt Consulting Engineers, Inc. (13)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50,000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50,000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Trent Vichie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Entities affiliated with Encompass Capital Advisors LLC (15)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2,741,370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2,741,370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Entities affiliated with Electron (16)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1,800,000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1,800,000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ACHP B, L.P.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331,235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331,235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ACTC Holdings GP II, LLC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69,572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69,572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Carl Stjernfeldt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43,247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43,247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Daniel R. Revers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1,316,388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1,316,388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Elisabeth Wallace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6,849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6,849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John F. Erhard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108,253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108,253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Josef Alves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7,064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7,064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Marco Francesco Gatti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342,381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342,381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Matthew Williamson Miller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67,365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67,365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Neelamkavil and Parekh Trust dated March 5, 2020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99,930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99,930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Revers Special Ops Holdings, LLC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86,969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86,969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Robert Knight (17)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23,978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23,978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Robert Meister Trevisani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13,808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13,808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Robert S. McGaughey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21,190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21,190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Ryan James Ganong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3,500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3,500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Vancouver Resources, Inc. (18)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42,000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42,000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pPr>
            <w:r>
              <w:rPr/>
              <w:t>William C. Revers (19)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33,123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pPr>
            <w:r>
              <w:rPr/>
              <w:t>33,123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Aaron Barasz (20)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39,974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pPr>
            <w:r>
              <w:rPr/>
              <w:t>39,974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Mohammad Hassan Afkham-Ebrahimi (21)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91,713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91,713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r>
        <w:trPr/>
        <w:tc>
          <w:tcPr>
            <w:tcW w:w="5604" w:type="dxa"/>
            <w:tcBorders/>
            <w:shd w:fill="CCEEFF" w:val="clear"/>
            <w:tcMar>
              <w:bottom w:w="0" w:type="dxa"/>
            </w:tcMar>
            <w:vAlign w:val="center"/>
          </w:tcPr>
          <w:p>
            <w:pPr>
              <w:pStyle w:val="TableContents"/>
              <w:bidi w:val="0"/>
              <w:spacing w:before="0" w:after="283"/>
              <w:jc w:val="left"/>
              <w:rPr/>
            </w:pPr>
            <w:r>
              <w:rPr/>
              <w:t>Christina Lynn Thomas (22)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6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Thomas Milburn III (23)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035" w:type="dxa"/>
            <w:tcBorders/>
            <w:tcMar>
              <w:bottom w:w="0" w:type="dxa"/>
            </w:tcMar>
            <w:vAlign w:val="center"/>
          </w:tcPr>
          <w:p>
            <w:pPr>
              <w:pStyle w:val="TableContents"/>
              <w:bidi w:val="0"/>
              <w:spacing w:before="0" w:after="283"/>
              <w:jc w:val="right"/>
              <w:rPr/>
            </w:pPr>
            <w:r>
              <w:rPr/>
              <w:t>—</w:t>
            </w:r>
          </w:p>
        </w:tc>
        <w:tc>
          <w:tcPr>
            <w:tcW w:w="76"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20"/>
              </w:rPr>
            </w:pPr>
            <w:r>
              <w:rPr>
                <w:sz w:val="20"/>
              </w:rPr>
              <w:t>(1)</w:t>
            </w:r>
          </w:p>
        </w:tc>
        <w:tc>
          <w:tcPr>
            <w:tcW w:w="9980" w:type="dxa"/>
            <w:tcBorders/>
            <w:vAlign w:val="center"/>
          </w:tcPr>
          <w:p>
            <w:pPr>
              <w:pStyle w:val="TableContents"/>
              <w:bidi w:val="0"/>
              <w:spacing w:before="0" w:after="283"/>
              <w:jc w:val="both"/>
              <w:rPr>
                <w:sz w:val="20"/>
              </w:rPr>
            </w:pPr>
            <w:r>
              <w:rPr>
                <w:sz w:val="20"/>
              </w:rPr>
              <w:t>Consists of 3,059,533 shares of Class A common stock. ARCC Beacon LLC’s (“ARCC Beacon”)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“Ares Class B Common Stock”) and Ares Voting LLC is the sole holder of the Class C common stock, $0.01 par value per share, of Ares Management Corporation (the “Ares Class C Common Stock”). Pursuant to Ares Management Corporation’s Certificate of Incorporation in effect as of the date of this filing, the holders of the 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“Ares Board Members”). Antony P. Ressler generally has veto authority over decisions by the Ares Board Members. Each of the above named entities (other than ARCC Beacon, with respect to the securities owned by it as set forth above), the Ares Board Members and the other directors, officers, partners, stockholders, members and managers of the above named entities, expressly disclaims beneficial ownership of the shares reported herein for purposes of Section 13(d) of the Exchange Act and the rules under Section 13(d) of the Exchange Act. The address of each above named entity is 2000 Avenue of the Stars, 12th Floor, Los Angeles, California 90067.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(2)</w:t>
            </w:r>
          </w:p>
        </w:tc>
        <w:tc>
          <w:tcPr>
            <w:tcW w:w="9970" w:type="dxa"/>
            <w:tcBorders/>
            <w:vAlign w:val="center"/>
          </w:tcPr>
          <w:p>
            <w:pPr>
              <w:pStyle w:val="TableContents"/>
              <w:bidi w:val="0"/>
              <w:spacing w:before="0" w:after="283"/>
              <w:jc w:val="both"/>
              <w:rPr>
                <w:sz w:val="20"/>
              </w:rPr>
            </w:pPr>
            <w:r>
              <w:rPr>
                <w:sz w:val="20"/>
              </w:rPr>
              <w:t>Consists of 1,498,804 shares of Class A common stock held directly by ArcLight CTC Holdings II, L.P. (“Sponsor”).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(3)</w:t>
            </w:r>
          </w:p>
        </w:tc>
        <w:tc>
          <w:tcPr>
            <w:tcW w:w="9954" w:type="dxa"/>
            <w:tcBorders/>
            <w:vAlign w:val="center"/>
          </w:tcPr>
          <w:p>
            <w:pPr>
              <w:pStyle w:val="TableContents"/>
              <w:bidi w:val="0"/>
              <w:spacing w:before="0" w:after="283"/>
              <w:jc w:val="both"/>
              <w:rPr>
                <w:sz w:val="20"/>
              </w:rPr>
            </w:pPr>
            <w:r>
              <w:rPr>
                <w:sz w:val="20"/>
              </w:rPr>
              <w:t>Does not include any shares that may be deemed to be indirectly owned because of an ownership interest in the Sponsor. The business address of Sponsor and the reporting person is 200 Clarendon Street, 55th Floor, Boston, Massachusetts 02116.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20"/>
              </w:rPr>
            </w:pPr>
            <w:r>
              <w:rPr>
                <w:sz w:val="20"/>
              </w:rPr>
              <w:t>(4)</w:t>
            </w:r>
          </w:p>
        </w:tc>
        <w:tc>
          <w:tcPr>
            <w:tcW w:w="9977" w:type="dxa"/>
            <w:tcBorders/>
            <w:vAlign w:val="center"/>
          </w:tcPr>
          <w:p>
            <w:pPr>
              <w:pStyle w:val="TableContents"/>
              <w:bidi w:val="0"/>
              <w:spacing w:before="0" w:after="283"/>
              <w:jc w:val="both"/>
              <w:rPr>
                <w:sz w:val="20"/>
              </w:rPr>
            </w:pPr>
            <w:r>
              <w:rPr>
                <w:sz w:val="20"/>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i/>
                <w:sz w:val="20"/>
              </w:rPr>
              <w:t>Certain Relationships and Related Party Transactions—Hillman Restructuring</w:t>
            </w:r>
            <w:r>
              <w:rPr>
                <w:sz w:val="20"/>
              </w:rPr>
              <w:t>.” The business address of each of Mr. Comora, OPAL Holdco, Hillman and Fortistar is One North Lexington Avenue 14th Floor, White Plains, New York 10601.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sz w:val="20"/>
              </w:rPr>
              <w:t>(5)</w:t>
            </w:r>
          </w:p>
        </w:tc>
        <w:tc>
          <w:tcPr>
            <w:tcW w:w="9968" w:type="dxa"/>
            <w:tcBorders/>
            <w:vAlign w:val="center"/>
          </w:tcPr>
          <w:p>
            <w:pPr>
              <w:pStyle w:val="TableContents"/>
              <w:bidi w:val="0"/>
              <w:spacing w:before="0" w:after="283"/>
              <w:jc w:val="both"/>
              <w:rPr>
                <w:sz w:val="20"/>
              </w:rPr>
            </w:pPr>
            <w:r>
              <w:rPr>
                <w:sz w:val="20"/>
              </w:rPr>
              <w:t>Consists of 494,233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20"/>
              </w:rPr>
            </w:pPr>
            <w:r>
              <w:rPr>
                <w:sz w:val="20"/>
              </w:rPr>
              <w:t>(6)</w:t>
            </w:r>
          </w:p>
        </w:tc>
        <w:tc>
          <w:tcPr>
            <w:tcW w:w="9965" w:type="dxa"/>
            <w:tcBorders/>
            <w:vAlign w:val="center"/>
          </w:tcPr>
          <w:p>
            <w:pPr>
              <w:pStyle w:val="TableContents"/>
              <w:bidi w:val="0"/>
              <w:spacing w:before="0" w:after="283"/>
              <w:jc w:val="both"/>
              <w:rPr>
                <w:sz w:val="20"/>
              </w:rPr>
            </w:pPr>
            <w:r>
              <w:rPr>
                <w:sz w:val="20"/>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(7)</w:t>
            </w:r>
          </w:p>
        </w:tc>
        <w:tc>
          <w:tcPr>
            <w:tcW w:w="9971" w:type="dxa"/>
            <w:tcBorders/>
            <w:vAlign w:val="center"/>
          </w:tcPr>
          <w:p>
            <w:pPr>
              <w:pStyle w:val="TableContents"/>
              <w:bidi w:val="0"/>
              <w:spacing w:before="0" w:after="283"/>
              <w:jc w:val="both"/>
              <w:rPr>
                <w:sz w:val="20"/>
              </w:rPr>
            </w:pPr>
            <w:r>
              <w:rPr>
                <w:sz w:val="20"/>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34th Street, Suite 2800, New York, New York 10001.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20"/>
              </w:rPr>
            </w:pPr>
            <w:r>
              <w:rPr>
                <w:sz w:val="20"/>
              </w:rPr>
              <w:t>(8)</w:t>
            </w:r>
          </w:p>
        </w:tc>
        <w:tc>
          <w:tcPr>
            <w:tcW w:w="9929" w:type="dxa"/>
            <w:tcBorders/>
            <w:vAlign w:val="center"/>
          </w:tcPr>
          <w:p>
            <w:pPr>
              <w:pStyle w:val="TableContents"/>
              <w:bidi w:val="0"/>
              <w:spacing w:before="0" w:after="283"/>
              <w:jc w:val="both"/>
              <w:rPr>
                <w:sz w:val="20"/>
              </w:rPr>
            </w:pPr>
            <w:r>
              <w:rPr>
                <w:sz w:val="20"/>
              </w:rPr>
              <w:t>Consists of 500,000 shares of Class A common stock. The address of the Selling Holder is 1614 Sul Ross Street, Houston, Texas 77006.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20"/>
              </w:rPr>
            </w:pPr>
            <w:r>
              <w:rPr>
                <w:sz w:val="20"/>
              </w:rPr>
              <w:t>(9)</w:t>
            </w:r>
          </w:p>
        </w:tc>
        <w:tc>
          <w:tcPr>
            <w:tcW w:w="9972" w:type="dxa"/>
            <w:tcBorders/>
            <w:vAlign w:val="center"/>
          </w:tcPr>
          <w:p>
            <w:pPr>
              <w:pStyle w:val="TableContents"/>
              <w:bidi w:val="0"/>
              <w:spacing w:before="0" w:after="283"/>
              <w:jc w:val="both"/>
              <w:rPr>
                <w:sz w:val="20"/>
              </w:rPr>
            </w:pPr>
            <w:r>
              <w:rPr>
                <w:sz w:val="20"/>
              </w:rPr>
              <w:t>Consists of 1,500,000 shares of Class A common stock. Benjamin Wasem, Pantelitsa Georgiade and Vasiliki Papalli (the “Nyera Principals”) each has voting and investment discretion with respect to the securities held Nyera II Limited (“Nyera”),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20"/>
              </w:rPr>
            </w:pPr>
            <w:r>
              <w:rPr>
                <w:sz w:val="20"/>
              </w:rPr>
              <w:t>(10)</w:t>
            </w:r>
          </w:p>
        </w:tc>
        <w:tc>
          <w:tcPr>
            <w:tcW w:w="9870" w:type="dxa"/>
            <w:tcBorders/>
            <w:vAlign w:val="center"/>
          </w:tcPr>
          <w:p>
            <w:pPr>
              <w:pStyle w:val="TableContents"/>
              <w:bidi w:val="0"/>
              <w:spacing w:before="0" w:after="283"/>
              <w:jc w:val="both"/>
              <w:rPr>
                <w:sz w:val="20"/>
              </w:rPr>
            </w:pPr>
            <w:r>
              <w:rPr>
                <w:sz w:val="20"/>
              </w:rPr>
              <w:t>Consists of 500,000 shares of Class A common stock. J. Goldman Master Fund, L.P. (the “Master Fund”),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20"/>
              </w:rPr>
            </w:pPr>
            <w:r>
              <w:rPr>
                <w:sz w:val="20"/>
              </w:rPr>
              <w:t>(11)</w:t>
            </w:r>
          </w:p>
        </w:tc>
        <w:tc>
          <w:tcPr>
            <w:tcW w:w="9854" w:type="dxa"/>
            <w:tcBorders/>
            <w:vAlign w:val="center"/>
          </w:tcPr>
          <w:p>
            <w:pPr>
              <w:pStyle w:val="TableContents"/>
              <w:bidi w:val="0"/>
              <w:spacing w:before="0" w:after="283"/>
              <w:jc w:val="both"/>
              <w:rPr>
                <w:sz w:val="20"/>
              </w:rPr>
            </w:pPr>
            <w:r>
              <w:rPr>
                <w:sz w:val="20"/>
              </w:rPr>
              <w:t>Consists of 2,500,000 shares of Class A common stock. Mendocino Capital, LLC (“Mendocino”) is a subsidiary of NextEra Energy, Inc. (“NextEra”), a publicly traded company. The business address of Mendocino and NextEra is 700 Universe Boulevard, Juno Beach, Florida 33408.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20"/>
              </w:rPr>
            </w:pPr>
            <w:r>
              <w:rPr>
                <w:sz w:val="20"/>
              </w:rPr>
              <w:t>(12)</w:t>
            </w:r>
          </w:p>
        </w:tc>
        <w:tc>
          <w:tcPr>
            <w:tcW w:w="9856" w:type="dxa"/>
            <w:tcBorders/>
            <w:vAlign w:val="center"/>
          </w:tcPr>
          <w:p>
            <w:pPr>
              <w:pStyle w:val="TableContents"/>
              <w:bidi w:val="0"/>
              <w:spacing w:before="0" w:after="283"/>
              <w:jc w:val="both"/>
              <w:rPr>
                <w:sz w:val="20"/>
              </w:rPr>
            </w:pPr>
            <w:r>
              <w:rPr>
                <w:sz w:val="20"/>
              </w:rPr>
              <w:t>Consists of 500,000 shares of Class A common stock. Bradford Seagraves is the Chief Investment Officer of Northbank Capital Management, LLC (“Northbank”), and may be deemed the beneficial owner of such shares. The business address of Northbank is 133 Southern Comfort Road, Ketchum, Idaho 83340.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20"/>
              </w:rPr>
            </w:pPr>
            <w:r>
              <w:rPr>
                <w:sz w:val="20"/>
              </w:rPr>
              <w:t>(13)</w:t>
            </w:r>
          </w:p>
        </w:tc>
        <w:tc>
          <w:tcPr>
            <w:tcW w:w="9859" w:type="dxa"/>
            <w:tcBorders/>
            <w:vAlign w:val="center"/>
          </w:tcPr>
          <w:p>
            <w:pPr>
              <w:pStyle w:val="TableContents"/>
              <w:bidi w:val="0"/>
              <w:spacing w:before="0" w:after="283"/>
              <w:jc w:val="both"/>
              <w:rPr>
                <w:sz w:val="20"/>
              </w:rPr>
            </w:pPr>
            <w:r>
              <w:rPr>
                <w:sz w:val="20"/>
              </w:rPr>
              <w:t>Consists of 50,000 shares of Class A common stock. Curtis Jang is the Chief Financial Officer of Stearns, Conrad and Schmidt Consulting Engineers, Inc.(“SCS Consulting”), and may be deemed the beneficial owner of such shares. The business address of SCS Consulting is 3900 Kilroy Airport Way, Suite 100, Long Beach, California 90806.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20"/>
              </w:rPr>
            </w:pPr>
            <w:r>
              <w:rPr>
                <w:sz w:val="20"/>
              </w:rPr>
              <w:t>(14)</w:t>
            </w:r>
          </w:p>
        </w:tc>
        <w:tc>
          <w:tcPr>
            <w:tcW w:w="9821" w:type="dxa"/>
            <w:tcBorders/>
            <w:vAlign w:val="center"/>
          </w:tcPr>
          <w:p>
            <w:pPr>
              <w:pStyle w:val="TableContents"/>
              <w:bidi w:val="0"/>
              <w:spacing w:before="0" w:after="283"/>
              <w:jc w:val="both"/>
              <w:rPr>
                <w:sz w:val="20"/>
              </w:rPr>
            </w:pPr>
            <w:r>
              <w:rPr>
                <w:sz w:val="20"/>
              </w:rPr>
              <w:t>Consists of 200,000 shares of Class A common stock. The address of the Selling Holder is 2403 Hatley Dr., Austin Texas 78746.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20"/>
              </w:rPr>
            </w:pPr>
            <w:r>
              <w:rPr>
                <w:sz w:val="20"/>
              </w:rPr>
              <w:t>(15)</w:t>
            </w:r>
          </w:p>
        </w:tc>
        <w:tc>
          <w:tcPr>
            <w:tcW w:w="9857" w:type="dxa"/>
            <w:tcBorders/>
            <w:vAlign w:val="center"/>
          </w:tcPr>
          <w:p>
            <w:pPr>
              <w:pStyle w:val="TableContents"/>
              <w:bidi w:val="0"/>
              <w:spacing w:before="0" w:after="283"/>
              <w:jc w:val="both"/>
              <w:rPr>
                <w:sz w:val="20"/>
              </w:rPr>
            </w:pPr>
            <w:r>
              <w:rPr>
                <w:sz w:val="20"/>
              </w:rPr>
              <w:t>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20"/>
              </w:rPr>
            </w:pPr>
            <w:r>
              <w:rPr>
                <w:sz w:val="20"/>
              </w:rPr>
              <w:t>(16)</w:t>
            </w:r>
          </w:p>
        </w:tc>
        <w:tc>
          <w:tcPr>
            <w:tcW w:w="9872" w:type="dxa"/>
            <w:tcBorders/>
            <w:vAlign w:val="center"/>
          </w:tcPr>
          <w:p>
            <w:pPr>
              <w:pStyle w:val="TableContents"/>
              <w:bidi w:val="0"/>
              <w:spacing w:before="0" w:after="283"/>
              <w:jc w:val="both"/>
              <w:rPr>
                <w:sz w:val="20"/>
              </w:rPr>
            </w:pPr>
            <w:r>
              <w:rPr>
                <w:sz w:val="20"/>
              </w:rPr>
              <w:t>Consists of (i) 1,060,088 shares of Class A common stock held by Electron Global Master Fund LP (“EGMF”), (ii) 695,913 shares of Class A common stock held by Electron Infrastructure Master Fund LP (“EIMF”), (iii) 30,628 shares of Class A common stock held by Boothbay Absolute Return Strategies, LP (“BARS”) and (iv) 13,371 shares of Class A common stock held by AGR Trading SPC-Series Segregated Portfolio (“AGR”).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EIMF and Mr. Shaver is 10 East 53rd Street, 19th Floor, New York, NY 10022. The business address of BARS is 140 East 45th St., 14th Floor, New York, NY 10017. The business address of AGR is 1350 Avenue of the Americas, Suite 2300, New York, New York 10019.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1"/>
        <w:gridCol w:w="9846"/>
      </w:tblGrid>
      <w:tr>
        <w:trPr/>
        <w:tc>
          <w:tcPr>
            <w:tcW w:w="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20"/>
              </w:rPr>
            </w:pPr>
            <w:r>
              <w:rPr>
                <w:sz w:val="20"/>
              </w:rPr>
              <w:t>(17)</w:t>
            </w:r>
          </w:p>
        </w:tc>
        <w:tc>
          <w:tcPr>
            <w:tcW w:w="9846" w:type="dxa"/>
            <w:tcBorders/>
            <w:vAlign w:val="center"/>
          </w:tcPr>
          <w:p>
            <w:pPr>
              <w:pStyle w:val="TableContents"/>
              <w:bidi w:val="0"/>
              <w:spacing w:before="0" w:after="283"/>
              <w:jc w:val="both"/>
              <w:rPr>
                <w:sz w:val="20"/>
              </w:rPr>
            </w:pPr>
            <w:r>
              <w:rPr>
                <w:sz w:val="20"/>
              </w:rPr>
              <w:t>Does not include any shares that may be deemed to be indirectly owned because of an ownership interest in the Sponsor. The address of the Selling Holder is 566 Commonwealth Ave PH1, Boston, Massachusetts 02215.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20"/>
              </w:rPr>
            </w:pPr>
            <w:r>
              <w:rPr>
                <w:sz w:val="20"/>
              </w:rPr>
              <w:t>(18)</w:t>
            </w:r>
          </w:p>
        </w:tc>
        <w:tc>
          <w:tcPr>
            <w:tcW w:w="9844" w:type="dxa"/>
            <w:tcBorders/>
            <w:vAlign w:val="center"/>
          </w:tcPr>
          <w:p>
            <w:pPr>
              <w:pStyle w:val="TableContents"/>
              <w:bidi w:val="0"/>
              <w:spacing w:before="0" w:after="283"/>
              <w:jc w:val="both"/>
              <w:rPr>
                <w:sz w:val="20"/>
              </w:rPr>
            </w:pPr>
            <w:r>
              <w:rPr>
                <w:sz w:val="20"/>
              </w:rPr>
              <w:t>Does not include any shares that may be deemed to be indirectly owned because of an ownership interest in the Sponsor. The address of the Selling Holder is 8582 Katy Freeway, Suite 150, Houston, Texas 77024.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20"/>
              </w:rPr>
            </w:pPr>
            <w:r>
              <w:rPr>
                <w:sz w:val="20"/>
              </w:rPr>
              <w:t>(19)</w:t>
            </w:r>
          </w:p>
        </w:tc>
        <w:tc>
          <w:tcPr>
            <w:tcW w:w="9845" w:type="dxa"/>
            <w:tcBorders/>
            <w:vAlign w:val="center"/>
          </w:tcPr>
          <w:p>
            <w:pPr>
              <w:pStyle w:val="TableContents"/>
              <w:bidi w:val="0"/>
              <w:spacing w:before="0" w:after="283"/>
              <w:jc w:val="both"/>
              <w:rPr>
                <w:sz w:val="20"/>
              </w:rPr>
            </w:pPr>
            <w:r>
              <w:rPr>
                <w:sz w:val="20"/>
              </w:rPr>
              <w:t>Does not include any shares that may be deemed to be indirectly owned because of an ownership interest in the Sponsor. The address of the Selling Holder is 9331 Mount Vernon Circle, Alexandria, Virginia 22309.</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20"/>
              </w:rPr>
            </w:pPr>
            <w:r>
              <w:rPr>
                <w:sz w:val="20"/>
              </w:rPr>
              <w:t>(20)</w:t>
            </w:r>
          </w:p>
        </w:tc>
        <w:tc>
          <w:tcPr>
            <w:tcW w:w="9845" w:type="dxa"/>
            <w:tcBorders/>
            <w:vAlign w:val="center"/>
          </w:tcPr>
          <w:p>
            <w:pPr>
              <w:pStyle w:val="TableContents"/>
              <w:bidi w:val="0"/>
              <w:spacing w:before="0" w:after="283"/>
              <w:jc w:val="both"/>
              <w:rPr>
                <w:sz w:val="20"/>
              </w:rPr>
            </w:pPr>
            <w:r>
              <w:rPr>
                <w:sz w:val="20"/>
              </w:rPr>
              <w:t>Does not include any shares that may be deemed to be indirectly owned because of an ownership interest in the Sponsor. The address of the Selling Holder is 199 Dali Blvd, Unit 706, Saint Petersburg, Florida 33701.</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1"/>
        <w:gridCol w:w="9846"/>
      </w:tblGrid>
      <w:tr>
        <w:trPr/>
        <w:tc>
          <w:tcPr>
            <w:tcW w:w="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20"/>
              </w:rPr>
            </w:pPr>
            <w:r>
              <w:rPr>
                <w:sz w:val="20"/>
              </w:rPr>
              <w:t>(21)</w:t>
            </w:r>
          </w:p>
        </w:tc>
        <w:tc>
          <w:tcPr>
            <w:tcW w:w="9846" w:type="dxa"/>
            <w:tcBorders/>
            <w:vAlign w:val="center"/>
          </w:tcPr>
          <w:p>
            <w:pPr>
              <w:pStyle w:val="TableContents"/>
              <w:bidi w:val="0"/>
              <w:spacing w:before="0" w:after="283"/>
              <w:jc w:val="both"/>
              <w:rPr>
                <w:sz w:val="20"/>
              </w:rPr>
            </w:pPr>
            <w:r>
              <w:rPr>
                <w:sz w:val="20"/>
              </w:rPr>
              <w:t>Does not include any shares that may be deemed to be indirectly owned because of an ownership interest in the Sponsor. The address of the Selling Holder is Chalet Aiglon, 102 Gstaadstrasse, Gstaad 3780, Switzerland.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include any shares that may be deemed to be indirectly owned because of an ownership interest in the Sponsor. The address of the Selling Holder is 303 Eden Ave. Unit 7A, Bellevue, Kentucky 41073.</w:t>
            </w:r>
          </w:p>
        </w:tc>
      </w:tr>
    </w:tbl>
    <w:p>
      <w:pPr>
        <w:pStyle w:val="TextBody"/>
        <w:bidi w:val="0"/>
        <w:spacing w:before="0" w:after="12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include any shares that may be deemed to be indirectly owned because of an ownership interest in the Sponsor. The address of the Selling Holder is 5353 Memorial Drive, Unit 3025, Houston, TX 77007.</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possible resale by the Selling Holders of up to 163,676,735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securities by the Selling Holders. The aggregate proceeds to the Selling Holders will be the purchase price of the securities less any discounts and commissions borne by the Selling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any applicable registration rights agreement, the Selling Holders may use any one or more of the following methods when selling the securities offered by this prospectus:</w:t>
      </w:r>
    </w:p>
    <w:p>
      <w:pPr>
        <w:pStyle w:val="TextBody"/>
        <w:bidi w:val="0"/>
        <w:spacing w:before="0" w:after="0"/>
        <w:ind w:left="0" w:right="0" w:hanging="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sz w:val="20"/>
              </w:rPr>
            </w:pPr>
            <w:r>
              <w:rPr>
                <w:sz w:val="20"/>
              </w:rPr>
              <w:t>purchases by a broker-dealer as principal and resale by such broker-dealer for its own account pursuant to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sz w:val="20"/>
              </w:rPr>
            </w:pPr>
            <w:r>
              <w:rPr>
                <w:sz w:val="20"/>
              </w:rPr>
              <w:t>ordinary brokerage transactions and transactions in which the broker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block trades in which the broker-dealer so engaged will attempt to sell the securities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sz w:val="20"/>
              </w:rPr>
            </w:pPr>
            <w:r>
              <w:rPr>
                <w:sz w:val="20"/>
              </w:rPr>
              <w:t>an over-the-counter distribution in accordance with the rules of Nasdaq;</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sz w:val="20"/>
              </w:rPr>
            </w:pPr>
            <w:r>
              <w:rPr>
                <w:sz w:val="20"/>
              </w:rPr>
              <w:t>through one or more underwritten offerings on a firm commitment or best efforts basis;</w:t>
            </w:r>
          </w:p>
        </w:tc>
      </w:tr>
    </w:tbl>
    <w:p>
      <w:pPr>
        <w:pStyle w:val="TextBody"/>
        <w:bidi w:val="0"/>
        <w:spacing w:before="0" w:after="0"/>
        <w:ind w:left="0" w:right="0" w:hanging="0"/>
        <w:jc w:val="left"/>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sz w:val="20"/>
              </w:rPr>
            </w:pPr>
            <w:r>
              <w:rPr>
                <w:sz w:val="20"/>
              </w:rPr>
              <w:t>settlement of short sales entered into after the date of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17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both"/>
              <w:rPr>
                <w:sz w:val="20"/>
              </w:rPr>
            </w:pPr>
            <w:r>
              <w:rPr>
                <w:sz w:val="20"/>
              </w:rPr>
              <w:t>agreements with broker-dealers to sell a specified number of the securities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directly to purchasers, including through a specific bidding, auction or other process or in 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sz w:val="20"/>
              </w:rPr>
            </w:pPr>
            <w:r>
              <w:rPr>
                <w:sz w:val="20"/>
              </w:rPr>
              <w:t>through the distributions by any Selling Holder or its affiliates to its partners, members or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sz w:val="20"/>
              </w:rPr>
            </w:pPr>
            <w:r>
              <w:rPr>
                <w:sz w:val="20"/>
              </w:rPr>
              <w:t>through a combination of any of the above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sz w:val="20"/>
              </w:rPr>
            </w:pPr>
            <w:r>
              <w:rPr>
                <w:sz w:val="20"/>
              </w:rPr>
              <w:t>any other method permitted pursuant to applicable law.</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pStyle w:val="TextBody"/>
        <w:bidi w:val="0"/>
        <w:spacing w:before="0" w:after="0"/>
        <w:ind w:left="0"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both"/>
              <w:rPr>
                <w:sz w:val="20"/>
              </w:rPr>
            </w:pPr>
            <w:r>
              <w:rPr>
                <w:sz w:val="20"/>
              </w:rPr>
              <w:t>the specific securities to be offered and sold;</w:t>
            </w:r>
          </w:p>
        </w:tc>
      </w:tr>
    </w:tbl>
    <w:p>
      <w:pPr>
        <w:pStyle w:val="TextBody"/>
        <w:bidi w:val="0"/>
        <w:spacing w:before="0" w:after="0"/>
        <w:ind w:left="0" w:right="0" w:hanging="0"/>
        <w:jc w:val="left"/>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sz w:val="20"/>
              </w:rPr>
            </w:pPr>
            <w:r>
              <w:rPr>
                <w:sz w:val="20"/>
              </w:rPr>
              <w:t>the names of the Selling 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respective purchase prices and public offering prices, the proceeds to be received from the sale, if any, and other material terms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sz w:val="20"/>
              </w:rPr>
            </w:pPr>
            <w:r>
              <w:rPr>
                <w:sz w:val="20"/>
              </w:rPr>
              <w:t>settlement of short sales entered into after the date of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sz w:val="20"/>
              </w:rPr>
            </w:pPr>
            <w:r>
              <w:rPr>
                <w:sz w:val="20"/>
              </w:rPr>
              <w:t>the names of any participating agents, broker-dealers or underwriters; and</w:t>
            </w:r>
          </w:p>
        </w:tc>
      </w:tr>
    </w:tbl>
    <w:p>
      <w:pPr>
        <w:pStyle w:val="TextBody"/>
        <w:bidi w:val="0"/>
        <w:spacing w:before="0" w:after="0"/>
        <w:ind w:left="0" w:right="0" w:hanging="0"/>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17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sz w:val="20"/>
              </w:rPr>
            </w:pPr>
            <w:r>
              <w:rPr>
                <w:sz w:val="20"/>
              </w:rPr>
              <w:t>any applicable commissions, discounts, concessions and other items constituting compensation from the Selling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broker-dealers and agents may engage in transactions with us or the Selling Holders, or perform services for us or the Selling Holders,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Sheppard, Mullin, Richter &amp; Hampton LLP, New York, New York, will pass upon the validity of the Class A common stock offered by this prospectus and certain other matters related 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for each of the two years in the period ended December 31, 2022 incorporated by reference in this Prospectus and elsewhere in the Registration Statement have been so incorporated in reliance on the report of BDO USA, LLP (n/k/a BDO USA, P.A.), an independent registered public accounting firm, incorporated herein by reference,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or the exhibits thereto.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file annual, quarterly and current reports, proxy statements and other information with the SEC. Our SEC filings are available to the public over the Internet at the SEC’s website at www.sec.gov and on our website, free of charge, at www.opalfuels.com. The information contained on, or that may be accessed through or that is hyperlinked to, our website is not part of, and is not incorporated into, this prospectus. You may inspect a copy of the registration statement through the SEC’s website, as provided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fiscal year ended December 31, 2022, filed with the SEC on March 29,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quarterly report on </w:t>
            </w:r>
            <w:hyperlink r:id="rId4">
              <w:r>
                <w:rPr>
                  <w:rStyle w:val="InternetLink"/>
                </w:rPr>
                <w:t>Form 10–Q</w:t>
              </w:r>
            </w:hyperlink>
            <w:r>
              <w:rPr/>
              <w:t xml:space="preserve"> for the three months ended March 31, 2023, filed with the SEC on May 15,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reports on Form 8–K filed with the SEC on </w:t>
            </w:r>
            <w:hyperlink r:id="rId5">
              <w:r>
                <w:rPr>
                  <w:rStyle w:val="InternetLink"/>
                </w:rPr>
                <w:t>March 7, 2023</w:t>
              </w:r>
            </w:hyperlink>
            <w:r>
              <w:rPr/>
              <w:t xml:space="preserve">, </w:t>
            </w:r>
            <w:hyperlink r:id="rId6">
              <w:r>
                <w:rPr>
                  <w:rStyle w:val="InternetLink"/>
                </w:rPr>
                <w:t>March 27, 2023</w:t>
              </w:r>
            </w:hyperlink>
            <w:r>
              <w:rPr/>
              <w:t xml:space="preserve">, </w:t>
            </w:r>
            <w:hyperlink r:id="rId7">
              <w:r>
                <w:rPr>
                  <w:rStyle w:val="InternetLink"/>
                </w:rPr>
                <w:t>April 5, 2023</w:t>
              </w:r>
            </w:hyperlink>
            <w:r>
              <w:rPr/>
              <w:t xml:space="preserve">, </w:t>
            </w:r>
            <w:hyperlink r:id="rId8">
              <w:r>
                <w:rPr>
                  <w:rStyle w:val="InternetLink"/>
                </w:rPr>
                <w:t>April 19, 2023</w:t>
              </w:r>
            </w:hyperlink>
            <w:r>
              <w:rPr/>
              <w:t xml:space="preserve">, </w:t>
            </w:r>
            <w:hyperlink r:id="rId9">
              <w:r>
                <w:rPr>
                  <w:rStyle w:val="InternetLink"/>
                </w:rPr>
                <w:t>May 1, 2023</w:t>
              </w:r>
            </w:hyperlink>
            <w:r>
              <w:rPr/>
              <w:t xml:space="preserve">, </w:t>
            </w:r>
            <w:hyperlink r:id="rId10">
              <w:r>
                <w:rPr>
                  <w:rStyle w:val="InternetLink"/>
                </w:rPr>
                <w:t>May 8, 2023</w:t>
              </w:r>
            </w:hyperlink>
            <w:r>
              <w:rPr/>
              <w:t xml:space="preserve">, </w:t>
            </w:r>
            <w:hyperlink r:id="rId11">
              <w:r>
                <w:rPr>
                  <w:rStyle w:val="InternetLink"/>
                </w:rPr>
                <w:t>May 11, 2023</w:t>
              </w:r>
            </w:hyperlink>
            <w:r>
              <w:rPr/>
              <w:t xml:space="preserve">, </w:t>
            </w:r>
            <w:hyperlink r:id="rId12">
              <w:r>
                <w:rPr>
                  <w:rStyle w:val="InternetLink"/>
                </w:rPr>
                <w:t>May 11, 2023</w:t>
              </w:r>
            </w:hyperlink>
            <w:r>
              <w:rPr/>
              <w:t xml:space="preserve">, </w:t>
            </w:r>
            <w:hyperlink r:id="rId13">
              <w:r>
                <w:rPr>
                  <w:rStyle w:val="InternetLink"/>
                </w:rPr>
                <w:t>June 2, 2023</w:t>
              </w:r>
            </w:hyperlink>
            <w:r>
              <w:rPr/>
              <w:t xml:space="preserve">, </w:t>
            </w:r>
            <w:hyperlink r:id="rId14">
              <w:r>
                <w:rPr>
                  <w:rStyle w:val="InternetLink"/>
                </w:rPr>
                <w:t>June 23, 2023</w:t>
              </w:r>
            </w:hyperlink>
            <w:r>
              <w:rPr/>
              <w:t xml:space="preserve">, and </w:t>
            </w:r>
            <w:hyperlink r:id="rId15">
              <w:r>
                <w:rPr>
                  <w:rStyle w:val="InternetLink"/>
                </w:rPr>
                <w:t>June 29, 2023</w:t>
              </w:r>
            </w:hyperlink>
            <w:r>
              <w:rPr/>
              <w:t>; and</w:t>
            </w:r>
          </w:p>
        </w:tc>
      </w:tr>
    </w:tbl>
    <w:p>
      <w:pPr>
        <w:pStyle w:val="TextBody"/>
        <w:bidi w:val="0"/>
        <w:spacing w:before="0" w:after="0"/>
        <w:ind w:left="0" w:right="0" w:hanging="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pPr>
            <w:r>
              <w:rPr/>
              <w:t xml:space="preserve">our definitive revised proxy filed with the SEC on </w:t>
            </w:r>
            <w:hyperlink r:id="rId16">
              <w:r>
                <w:rPr>
                  <w:rStyle w:val="InternetLink"/>
                </w:rPr>
                <w:t>May 9, 2023</w:t>
              </w:r>
            </w:hyperlink>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may be obtained on our website at www.opalfuels.com. The information on our website is not incorporated by reference into this prospectus. These documents are also available on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make your request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North Lexington Avenue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1450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 10601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(914) 705-4000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1460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514600" cy="5905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OPAL FUELS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163,676,735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to be borne by us in connection with the issuance and distribution of the shares of common stock being registered hereby. All amounts shown are estimates except for the SEC registration fee.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securities. Selling Holders, however, will bear all underwriting commissions and discounts, if any, attributable to their respective sales sale of the securities.</w:t>
      </w:r>
    </w:p>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3140"/>
        <w:gridCol w:w="60"/>
        <w:gridCol w:w="140"/>
        <w:gridCol w:w="800"/>
        <w:gridCol w:w="75"/>
      </w:tblGrid>
      <w:tr>
        <w:trPr/>
        <w:tc>
          <w:tcPr>
            <w:tcW w:w="3140" w:type="dxa"/>
            <w:tcBorders/>
            <w:shd w:fill="CCEEFF" w:val="clear"/>
            <w:vAlign w:val="center"/>
          </w:tcPr>
          <w:p>
            <w:pPr>
              <w:pStyle w:val="TableContents"/>
              <w:bidi w:val="0"/>
              <w:spacing w:before="0" w:after="283"/>
              <w:jc w:val="left"/>
              <w:rPr/>
            </w:pPr>
            <w:r>
              <w:rPr/>
              <w:t>SEC registration fee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171,831</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Accounting fees and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Miscellaneous fees and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Total (1)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171,831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sz w:val="20"/>
              </w:rPr>
            </w:pPr>
            <w:r>
              <w:rPr>
                <w:sz w:val="20"/>
              </w:rPr>
              <w:t>(1)</w:t>
            </w:r>
          </w:p>
        </w:tc>
        <w:tc>
          <w:tcPr>
            <w:tcW w:w="9950" w:type="dxa"/>
            <w:tcBorders/>
            <w:vAlign w:val="center"/>
          </w:tcPr>
          <w:p>
            <w:pPr>
              <w:pStyle w:val="TableContents"/>
              <w:bidi w:val="0"/>
              <w:spacing w:before="0" w:after="283"/>
              <w:jc w:val="both"/>
              <w:rPr>
                <w:sz w:val="20"/>
              </w:rPr>
            </w:pPr>
            <w:r>
              <w:rPr>
                <w:sz w:val="20"/>
              </w:rPr>
              <w:t>Previously paid.</w:t>
            </w:r>
          </w:p>
        </w:tc>
      </w:tr>
      <w:tr>
        <w:trPr/>
        <w:tc>
          <w:tcPr>
            <w:tcW w:w="25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255" w:type="dxa"/>
            <w:tcBorders/>
            <w:vAlign w:val="center"/>
          </w:tcPr>
          <w:p>
            <w:pPr>
              <w:pStyle w:val="TableContents"/>
              <w:bidi w:val="0"/>
              <w:spacing w:before="0" w:after="283"/>
              <w:jc w:val="left"/>
              <w:rPr>
                <w:b/>
                <w:sz w:val="20"/>
              </w:rPr>
            </w:pPr>
            <w:r>
              <w:rPr>
                <w:b/>
                <w:sz w:val="20"/>
              </w:rPr>
              <w:t>*</w:t>
            </w:r>
          </w:p>
        </w:tc>
        <w:tc>
          <w:tcPr>
            <w:tcW w:w="9950" w:type="dxa"/>
            <w:tcBorders/>
            <w:vAlign w:val="center"/>
          </w:tcPr>
          <w:p>
            <w:pPr>
              <w:pStyle w:val="TableContents"/>
              <w:bidi w:val="0"/>
              <w:spacing w:before="0" w:after="283"/>
              <w:jc w:val="both"/>
              <w:rPr>
                <w:sz w:val="20"/>
              </w:rPr>
            </w:pPr>
            <w:r>
              <w:rPr>
                <w:sz w:val="20"/>
              </w:rPr>
              <w:t>These fees are calculated based on the securities offered and the number of issuances and accordingly cannot be defined at this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is governed by the DGCL, as the same exists or may hereafter be amended. Section 145 of the DGCL (“Section 145”)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 held not to be enforceable for certain violations of the federal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 The following exhibits are being followed herewith: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7"/>
        <w:gridCol w:w="60"/>
        <w:gridCol w:w="9348"/>
      </w:tblGrid>
      <w:tr>
        <w:trPr/>
        <w:tc>
          <w:tcPr>
            <w:tcW w:w="797"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8"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2.1†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348" w:type="dxa"/>
            <w:tcBorders/>
            <w:shd w:fill="CCEEFF" w:val="clear"/>
            <w:tcMar>
              <w:bottom w:w="0" w:type="dxa"/>
            </w:tcMar>
            <w:vAlign w:val="center"/>
          </w:tcPr>
          <w:p>
            <w:pPr>
              <w:pStyle w:val="TableContents"/>
              <w:bidi w:val="0"/>
              <w:spacing w:before="0" w:after="283"/>
              <w:jc w:val="both"/>
              <w:rPr/>
            </w:pPr>
            <w:hyperlink r:id="rId18">
              <w:r>
                <w:rPr>
                  <w:rStyle w:val="InternetLink"/>
                  <w:sz w:val="20"/>
                </w:rPr>
                <w:t>Business Combination Agreement, dated as of December 2, 2021, by and among ArcLight, OPAL Fuels and OPAL Holdco (incorporated by reference to Exhibit 2.1 to the Current Report on Form 8-K, filed on December 3, 2021).</w:t>
              </w:r>
            </w:hyperlink>
          </w:p>
        </w:tc>
      </w:tr>
      <w:tr>
        <w:trPr/>
        <w:tc>
          <w:tcPr>
            <w:tcW w:w="797" w:type="dxa"/>
            <w:tcBorders/>
            <w:tcMar>
              <w:bottom w:w="0" w:type="dxa"/>
            </w:tcMar>
            <w:vAlign w:val="center"/>
          </w:tcPr>
          <w:p>
            <w:pPr>
              <w:pStyle w:val="TableContents"/>
              <w:bidi w:val="0"/>
              <w:spacing w:before="0" w:after="283"/>
              <w:ind w:left="0" w:right="0" w:hanging="0"/>
              <w:jc w:val="center"/>
              <w:rPr>
                <w:sz w:val="20"/>
              </w:rPr>
            </w:pPr>
            <w:r>
              <w:rPr>
                <w:sz w:val="20"/>
              </w:rPr>
              <w:t>3.1</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8" w:type="dxa"/>
            <w:tcBorders/>
            <w:tcMar>
              <w:bottom w:w="0" w:type="dxa"/>
            </w:tcMar>
            <w:vAlign w:val="center"/>
          </w:tcPr>
          <w:p>
            <w:pPr>
              <w:pStyle w:val="TableContents"/>
              <w:bidi w:val="0"/>
              <w:spacing w:before="0" w:after="283"/>
              <w:jc w:val="both"/>
              <w:rPr/>
            </w:pPr>
            <w:hyperlink r:id="rId19">
              <w:r>
                <w:rPr>
                  <w:rStyle w:val="InternetLink"/>
                  <w:sz w:val="20"/>
                  <w:u w:val="single"/>
                </w:rPr>
                <w:t>Restated Certificate of Incorporation of OPAL Fuels Inc. (incorporated by reference to Exhibit 3.1 to the Current Report on Form 8-K/A filed by the Company on August 10, 2022</w:t>
              </w:r>
            </w:hyperlink>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3.2</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348" w:type="dxa"/>
            <w:tcBorders/>
            <w:shd w:fill="CCEEFF" w:val="clear"/>
            <w:tcMar>
              <w:bottom w:w="0" w:type="dxa"/>
            </w:tcMar>
            <w:vAlign w:val="center"/>
          </w:tcPr>
          <w:p>
            <w:pPr>
              <w:pStyle w:val="TableContents"/>
              <w:bidi w:val="0"/>
              <w:spacing w:before="0" w:after="283"/>
              <w:jc w:val="both"/>
              <w:rPr/>
            </w:pPr>
            <w:hyperlink r:id="rId20">
              <w:r>
                <w:rPr>
                  <w:rStyle w:val="InternetLink"/>
                  <w:sz w:val="20"/>
                </w:rPr>
                <w:t>Bylaws of OPAL Fuels Inc. (incorporated by reference to Exhibit 3.2 to the Current Report on Form 8-K filed on July 27, 2022)</w:t>
              </w:r>
            </w:hyperlink>
          </w:p>
        </w:tc>
      </w:tr>
      <w:tr>
        <w:trPr/>
        <w:tc>
          <w:tcPr>
            <w:tcW w:w="797" w:type="dxa"/>
            <w:tcBorders/>
            <w:tcMar>
              <w:bottom w:w="0" w:type="dxa"/>
            </w:tcMar>
            <w:vAlign w:val="center"/>
          </w:tcPr>
          <w:p>
            <w:pPr>
              <w:pStyle w:val="TableContents"/>
              <w:bidi w:val="0"/>
              <w:spacing w:before="0" w:after="283"/>
              <w:ind w:left="0" w:right="0" w:hanging="0"/>
              <w:jc w:val="center"/>
              <w:rPr>
                <w:sz w:val="20"/>
              </w:rPr>
            </w:pPr>
            <w:r>
              <w:rPr>
                <w:sz w:val="20"/>
              </w:rPr>
              <w:t>4.1</w:t>
            </w:r>
          </w:p>
        </w:tc>
        <w:tc>
          <w:tcPr>
            <w:tcW w:w="6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348" w:type="dxa"/>
            <w:tcBorders/>
            <w:tcMar>
              <w:bottom w:w="0" w:type="dxa"/>
            </w:tcMar>
            <w:vAlign w:val="center"/>
          </w:tcPr>
          <w:p>
            <w:pPr>
              <w:pStyle w:val="TableContents"/>
              <w:bidi w:val="0"/>
              <w:spacing w:before="0" w:after="283"/>
              <w:jc w:val="both"/>
              <w:rPr/>
            </w:pPr>
            <w:hyperlink r:id="rId21">
              <w:r>
                <w:rPr>
                  <w:rStyle w:val="InternetLink"/>
                  <w:sz w:val="20"/>
                </w:rPr>
                <w:t>Specimen Warrant Certificate (incorporated by reference to Exhibit 4.3 to the Registration Statement on Form S-1 (File No. 333-252730) filed on March 8, 2021).</w:t>
              </w:r>
            </w:hyperlink>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348" w:type="dxa"/>
            <w:tcBorders/>
            <w:shd w:fill="CCEEFF" w:val="clear"/>
            <w:tcMar>
              <w:bottom w:w="0" w:type="dxa"/>
            </w:tcMar>
            <w:vAlign w:val="center"/>
          </w:tcPr>
          <w:p>
            <w:pPr>
              <w:pStyle w:val="TableContents"/>
              <w:bidi w:val="0"/>
              <w:spacing w:before="0" w:after="283"/>
              <w:jc w:val="both"/>
              <w:rPr/>
            </w:pPr>
            <w:hyperlink r:id="rId22">
              <w:r>
                <w:rPr>
                  <w:rStyle w:val="InternetLink"/>
                  <w:sz w:val="20"/>
                </w:rPr>
                <w:t>Warrant Agreement between Continental Stock Transfer &amp; Trust Company and ArcLight Clean Transition Corp. II, dated March 22, 2021 (incorporated by reference to Exhibit 4.1 to the Current Report on Form 8-K filed on March 26, 2021).</w:t>
              </w:r>
            </w:hyperlink>
          </w:p>
        </w:tc>
      </w:tr>
      <w:tr>
        <w:trPr/>
        <w:tc>
          <w:tcPr>
            <w:tcW w:w="797" w:type="dxa"/>
            <w:tcBorders/>
            <w:tcMar>
              <w:bottom w:w="0" w:type="dxa"/>
            </w:tcMar>
            <w:vAlign w:val="center"/>
          </w:tcPr>
          <w:p>
            <w:pPr>
              <w:pStyle w:val="TableContents"/>
              <w:bidi w:val="0"/>
              <w:spacing w:before="0" w:after="283"/>
              <w:ind w:left="0" w:right="0" w:hanging="0"/>
              <w:jc w:val="center"/>
              <w:rPr>
                <w:sz w:val="20"/>
              </w:rPr>
            </w:pPr>
            <w:r>
              <w:rPr>
                <w:sz w:val="20"/>
              </w:rPr>
              <w:t>4.3</w:t>
            </w:r>
          </w:p>
        </w:tc>
        <w:tc>
          <w:tcPr>
            <w:tcW w:w="6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348" w:type="dxa"/>
            <w:tcBorders/>
            <w:tcMar>
              <w:bottom w:w="0" w:type="dxa"/>
            </w:tcMar>
            <w:vAlign w:val="center"/>
          </w:tcPr>
          <w:p>
            <w:pPr>
              <w:pStyle w:val="TableContents"/>
              <w:bidi w:val="0"/>
              <w:spacing w:before="0" w:after="283"/>
              <w:ind w:left="0" w:right="0" w:hanging="0"/>
              <w:jc w:val="both"/>
              <w:rPr/>
            </w:pPr>
            <w:hyperlink r:id="rId23">
              <w:r>
                <w:rPr>
                  <w:rStyle w:val="InternetLink"/>
                  <w:sz w:val="20"/>
                </w:rPr>
                <w:t>OPAL Fuels Inc. Short-Term Incentive Plan (incorporated by reference to Exhibit 4.4 to the Annual Report on Form 10-K filed on March 29, 2023).</w:t>
              </w:r>
            </w:hyperlink>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4.4</w:t>
            </w:r>
          </w:p>
        </w:tc>
        <w:tc>
          <w:tcPr>
            <w:tcW w:w="60"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348" w:type="dxa"/>
            <w:tcBorders/>
            <w:shd w:fill="CCEEFF" w:val="clear"/>
            <w:tcMar>
              <w:bottom w:w="0" w:type="dxa"/>
            </w:tcMar>
            <w:vAlign w:val="center"/>
          </w:tcPr>
          <w:p>
            <w:pPr>
              <w:pStyle w:val="TableContents"/>
              <w:bidi w:val="0"/>
              <w:spacing w:before="0" w:after="283"/>
              <w:ind w:left="0" w:right="0" w:hanging="0"/>
              <w:jc w:val="both"/>
              <w:rPr/>
            </w:pPr>
            <w:hyperlink r:id="rId24">
              <w:r>
                <w:rPr>
                  <w:rStyle w:val="InternetLink"/>
                  <w:sz w:val="20"/>
                </w:rPr>
                <w:t>Form of Stock Option Grant Notice and Option Agreement (incorporated by reference to the Annual Report on Form 10-K filed on March 28, 2023).</w:t>
              </w:r>
            </w:hyperlink>
          </w:p>
        </w:tc>
      </w:tr>
      <w:tr>
        <w:trPr/>
        <w:tc>
          <w:tcPr>
            <w:tcW w:w="797" w:type="dxa"/>
            <w:tcBorders/>
            <w:tcMar>
              <w:bottom w:w="0" w:type="dxa"/>
            </w:tcMar>
            <w:vAlign w:val="center"/>
          </w:tcPr>
          <w:p>
            <w:pPr>
              <w:pStyle w:val="TableContents"/>
              <w:bidi w:val="0"/>
              <w:spacing w:before="0" w:after="283"/>
              <w:ind w:left="0" w:right="0" w:hanging="0"/>
              <w:jc w:val="center"/>
              <w:rPr>
                <w:sz w:val="20"/>
              </w:rPr>
            </w:pPr>
            <w:r>
              <w:rPr>
                <w:sz w:val="20"/>
              </w:rPr>
              <w:t>4.5</w:t>
            </w:r>
          </w:p>
        </w:tc>
        <w:tc>
          <w:tcPr>
            <w:tcW w:w="6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348" w:type="dxa"/>
            <w:tcBorders/>
            <w:tcMar>
              <w:bottom w:w="0" w:type="dxa"/>
            </w:tcMar>
            <w:vAlign w:val="center"/>
          </w:tcPr>
          <w:p>
            <w:pPr>
              <w:pStyle w:val="TableContents"/>
              <w:bidi w:val="0"/>
              <w:spacing w:before="0" w:after="283"/>
              <w:ind w:left="0" w:right="0" w:hanging="0"/>
              <w:jc w:val="both"/>
              <w:rPr/>
            </w:pPr>
            <w:hyperlink r:id="rId25">
              <w:r>
                <w:rPr>
                  <w:rStyle w:val="InternetLink"/>
                  <w:sz w:val="20"/>
                </w:rPr>
                <w:t>Form of Performance Restricted Stock Unit Award Grant Notice and Award Agreement (incorporated by reference to the Annual Report on Form 10-K filed on March 28, 2023).</w:t>
              </w:r>
            </w:hyperlink>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5.1</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348" w:type="dxa"/>
            <w:tcBorders/>
            <w:shd w:fill="CCEEFF" w:val="clear"/>
            <w:tcMar>
              <w:bottom w:w="0" w:type="dxa"/>
            </w:tcMar>
            <w:vAlign w:val="center"/>
          </w:tcPr>
          <w:p>
            <w:pPr>
              <w:pStyle w:val="TableContents"/>
              <w:bidi w:val="0"/>
              <w:spacing w:before="0" w:after="283"/>
              <w:ind w:left="0" w:right="0" w:hanging="0"/>
              <w:jc w:val="both"/>
              <w:rPr/>
            </w:pPr>
            <w:hyperlink r:id="rId26">
              <w:r>
                <w:rPr>
                  <w:rStyle w:val="InternetLink"/>
                  <w:sz w:val="20"/>
                </w:rPr>
                <w:t xml:space="preserve">Opinion of Sheppard, Mullin, Richter &amp; Hampton LLP </w:t>
              </w:r>
            </w:hyperlink>
            <w:hyperlink r:id="rId27">
              <w:r>
                <w:rPr>
                  <w:rStyle w:val="InternetLink"/>
                  <w:sz w:val="20"/>
                  <w:u w:val="single"/>
                </w:rPr>
                <w:t>(incorporated by reference to Exhibit 5.1 to the Registration Statement on Form S-1/A (File No. 333-266757) filed on November 2, 2022)</w:t>
              </w:r>
            </w:hyperlink>
          </w:p>
        </w:tc>
      </w:tr>
      <w:tr>
        <w:trPr/>
        <w:tc>
          <w:tcPr>
            <w:tcW w:w="797" w:type="dxa"/>
            <w:tcBorders/>
            <w:tcMar>
              <w:bottom w:w="0" w:type="dxa"/>
            </w:tcMar>
            <w:vAlign w:val="center"/>
          </w:tcPr>
          <w:p>
            <w:pPr>
              <w:pStyle w:val="TableContents"/>
              <w:bidi w:val="0"/>
              <w:spacing w:before="0" w:after="283"/>
              <w:ind w:left="0" w:right="0" w:hanging="0"/>
              <w:jc w:val="center"/>
              <w:rPr>
                <w:sz w:val="20"/>
              </w:rPr>
            </w:pPr>
            <w:r>
              <w:rPr>
                <w:sz w:val="20"/>
              </w:rPr>
              <w:t>23.1*</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348" w:type="dxa"/>
            <w:tcBorders/>
            <w:tcMar>
              <w:bottom w:w="0" w:type="dxa"/>
            </w:tcMar>
            <w:vAlign w:val="center"/>
          </w:tcPr>
          <w:p>
            <w:pPr>
              <w:pStyle w:val="TableContents"/>
              <w:bidi w:val="0"/>
              <w:spacing w:before="0" w:after="283"/>
              <w:ind w:left="0" w:right="0" w:hanging="0"/>
              <w:jc w:val="both"/>
              <w:rPr/>
            </w:pPr>
            <w:hyperlink w:anchor="ea182671ex23-1_opalfuels.htm">
              <w:r>
                <w:rPr>
                  <w:rStyle w:val="InternetLink"/>
                  <w:sz w:val="20"/>
                </w:rPr>
                <w:t>Consent of BDO USA, P.A., independent registered accounting firm for OPAL Fuels Inc.</w:t>
              </w:r>
            </w:hyperlink>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23.2</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348" w:type="dxa"/>
            <w:tcBorders/>
            <w:shd w:fill="CCEEFF" w:val="clear"/>
            <w:tcMar>
              <w:bottom w:w="0" w:type="dxa"/>
            </w:tcMar>
            <w:vAlign w:val="center"/>
          </w:tcPr>
          <w:p>
            <w:pPr>
              <w:pStyle w:val="TableContents"/>
              <w:bidi w:val="0"/>
              <w:spacing w:before="0" w:after="283"/>
              <w:ind w:left="0" w:right="0" w:hanging="0"/>
              <w:jc w:val="both"/>
              <w:rPr/>
            </w:pPr>
            <w:hyperlink r:id="rId28">
              <w:r>
                <w:rPr>
                  <w:rStyle w:val="InternetLink"/>
                  <w:sz w:val="20"/>
                </w:rPr>
                <w:t>Consent of Sheppard, Mullin, Richter &amp; Hampton LLP (included as part of Exhibit 5.1).</w:t>
              </w:r>
            </w:hyperlink>
          </w:p>
        </w:tc>
      </w:tr>
      <w:tr>
        <w:trPr/>
        <w:tc>
          <w:tcPr>
            <w:tcW w:w="797" w:type="dxa"/>
            <w:tcBorders/>
            <w:tcMar>
              <w:bottom w:w="0" w:type="dxa"/>
            </w:tcMar>
            <w:vAlign w:val="center"/>
          </w:tcPr>
          <w:p>
            <w:pPr>
              <w:pStyle w:val="TableContents"/>
              <w:bidi w:val="0"/>
              <w:spacing w:before="0" w:after="283"/>
              <w:ind w:left="0" w:right="0" w:hanging="0"/>
              <w:jc w:val="center"/>
              <w:rPr>
                <w:sz w:val="20"/>
              </w:rPr>
            </w:pPr>
            <w:r>
              <w:rPr>
                <w:sz w:val="20"/>
              </w:rPr>
              <w:t xml:space="preserve">24.1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8" w:type="dxa"/>
            <w:tcBorders/>
            <w:tcMar>
              <w:bottom w:w="0" w:type="dxa"/>
            </w:tcMar>
            <w:vAlign w:val="center"/>
          </w:tcPr>
          <w:p>
            <w:pPr>
              <w:pStyle w:val="TableContents"/>
              <w:bidi w:val="0"/>
              <w:spacing w:before="0" w:after="283"/>
              <w:ind w:left="0" w:right="0" w:hanging="0"/>
              <w:jc w:val="left"/>
              <w:rPr/>
            </w:pPr>
            <w:hyperlink w:anchor="poa_001">
              <w:r>
                <w:rPr>
                  <w:rStyle w:val="InternetLink"/>
                  <w:sz w:val="20"/>
                </w:rPr>
                <w:t>Power of attorney (included in the signature page to the initial filing of this registration statement)</w:t>
              </w:r>
            </w:hyperlink>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101.INS*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348" w:type="dxa"/>
            <w:tcBorders/>
            <w:shd w:fill="CCEEFF" w:val="clear"/>
            <w:tcMar>
              <w:bottom w:w="0" w:type="dxa"/>
            </w:tcMar>
            <w:vAlign w:val="center"/>
          </w:tcPr>
          <w:p>
            <w:pPr>
              <w:pStyle w:val="TableContents"/>
              <w:bidi w:val="0"/>
              <w:spacing w:before="0" w:after="283"/>
              <w:ind w:left="0" w:right="0" w:hanging="0"/>
              <w:jc w:val="left"/>
              <w:rPr>
                <w:sz w:val="20"/>
              </w:rPr>
            </w:pPr>
            <w:r>
              <w:rPr>
                <w:sz w:val="20"/>
              </w:rPr>
              <w:t>Inline XBRL Instance Document.</w:t>
            </w:r>
          </w:p>
        </w:tc>
      </w:tr>
      <w:tr>
        <w:trPr/>
        <w:tc>
          <w:tcPr>
            <w:tcW w:w="797" w:type="dxa"/>
            <w:tcBorders/>
            <w:tcMar>
              <w:bottom w:w="0" w:type="dxa"/>
            </w:tcMar>
            <w:vAlign w:val="center"/>
          </w:tcPr>
          <w:p>
            <w:pPr>
              <w:pStyle w:val="TableContents"/>
              <w:bidi w:val="0"/>
              <w:spacing w:before="0" w:after="283"/>
              <w:ind w:left="0" w:right="0" w:hanging="0"/>
              <w:jc w:val="center"/>
              <w:rPr>
                <w:sz w:val="20"/>
              </w:rPr>
            </w:pPr>
            <w:r>
              <w:rPr>
                <w:sz w:val="20"/>
              </w:rPr>
              <w:t>101.SCH*</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8" w:type="dxa"/>
            <w:tcBorders/>
            <w:tcMar>
              <w:bottom w:w="0" w:type="dxa"/>
            </w:tcMar>
            <w:vAlign w:val="center"/>
          </w:tcPr>
          <w:p>
            <w:pPr>
              <w:pStyle w:val="TableContents"/>
              <w:bidi w:val="0"/>
              <w:spacing w:before="0" w:after="283"/>
              <w:ind w:left="0" w:right="0" w:hanging="0"/>
              <w:jc w:val="left"/>
              <w:rPr>
                <w:sz w:val="20"/>
              </w:rPr>
            </w:pPr>
            <w:r>
              <w:rPr>
                <w:sz w:val="20"/>
              </w:rPr>
              <w:t>Inline XBRL Taxonomy Extension Schema Document.</w:t>
            </w:r>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101.CAL*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348" w:type="dxa"/>
            <w:tcBorders/>
            <w:shd w:fill="CCEEFF" w:val="clear"/>
            <w:tcMar>
              <w:bottom w:w="0" w:type="dxa"/>
            </w:tcMar>
            <w:vAlign w:val="center"/>
          </w:tcPr>
          <w:p>
            <w:pPr>
              <w:pStyle w:val="TableContents"/>
              <w:bidi w:val="0"/>
              <w:spacing w:before="0" w:after="283"/>
              <w:ind w:left="0" w:right="0" w:hanging="0"/>
              <w:jc w:val="left"/>
              <w:rPr>
                <w:sz w:val="20"/>
              </w:rPr>
            </w:pPr>
            <w:r>
              <w:rPr>
                <w:sz w:val="20"/>
              </w:rPr>
              <w:t>Inline XBRL Taxonomy Extension Calculation Linkbase Document.</w:t>
            </w:r>
          </w:p>
        </w:tc>
      </w:tr>
      <w:tr>
        <w:trPr/>
        <w:tc>
          <w:tcPr>
            <w:tcW w:w="797" w:type="dxa"/>
            <w:tcBorders/>
            <w:tcMar>
              <w:bottom w:w="0" w:type="dxa"/>
            </w:tcMar>
            <w:vAlign w:val="center"/>
          </w:tcPr>
          <w:p>
            <w:pPr>
              <w:pStyle w:val="TableContents"/>
              <w:bidi w:val="0"/>
              <w:spacing w:before="0" w:after="283"/>
              <w:ind w:left="0" w:right="0" w:hanging="0"/>
              <w:jc w:val="center"/>
              <w:rPr>
                <w:sz w:val="20"/>
              </w:rPr>
            </w:pPr>
            <w:r>
              <w:rPr>
                <w:sz w:val="20"/>
              </w:rPr>
              <w:t>101.DEF*</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8" w:type="dxa"/>
            <w:tcBorders/>
            <w:tcMar>
              <w:bottom w:w="0" w:type="dxa"/>
            </w:tcMar>
            <w:vAlign w:val="center"/>
          </w:tcPr>
          <w:p>
            <w:pPr>
              <w:pStyle w:val="TableContents"/>
              <w:bidi w:val="0"/>
              <w:spacing w:before="0" w:after="283"/>
              <w:ind w:left="0" w:right="0" w:hanging="0"/>
              <w:jc w:val="left"/>
              <w:rPr>
                <w:sz w:val="20"/>
              </w:rPr>
            </w:pPr>
            <w:r>
              <w:rPr>
                <w:sz w:val="20"/>
              </w:rPr>
              <w:t>Inline XBRL Taxonomy Extension Definition Linkbase Document.</w:t>
            </w:r>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101.LAB*</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348" w:type="dxa"/>
            <w:tcBorders/>
            <w:shd w:fill="CCEEFF" w:val="clear"/>
            <w:tcMar>
              <w:bottom w:w="0" w:type="dxa"/>
            </w:tcMar>
            <w:vAlign w:val="center"/>
          </w:tcPr>
          <w:p>
            <w:pPr>
              <w:pStyle w:val="TableContents"/>
              <w:bidi w:val="0"/>
              <w:spacing w:before="0" w:after="283"/>
              <w:ind w:left="0" w:right="0" w:hanging="0"/>
              <w:jc w:val="left"/>
              <w:rPr>
                <w:sz w:val="20"/>
              </w:rPr>
            </w:pPr>
            <w:r>
              <w:rPr>
                <w:sz w:val="20"/>
              </w:rPr>
              <w:t>Inline XBRL Taxonomy Extension Label Linkbase Document.</w:t>
            </w:r>
          </w:p>
        </w:tc>
      </w:tr>
      <w:tr>
        <w:trPr/>
        <w:tc>
          <w:tcPr>
            <w:tcW w:w="797" w:type="dxa"/>
            <w:tcBorders/>
            <w:tcMar>
              <w:bottom w:w="0" w:type="dxa"/>
            </w:tcMar>
            <w:vAlign w:val="center"/>
          </w:tcPr>
          <w:p>
            <w:pPr>
              <w:pStyle w:val="TableContents"/>
              <w:bidi w:val="0"/>
              <w:spacing w:before="0" w:after="283"/>
              <w:ind w:left="0" w:right="0" w:hanging="0"/>
              <w:jc w:val="center"/>
              <w:rPr>
                <w:sz w:val="20"/>
              </w:rPr>
            </w:pPr>
            <w:r>
              <w:rPr>
                <w:sz w:val="20"/>
              </w:rPr>
              <w:t>101.PRE*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8" w:type="dxa"/>
            <w:tcBorders/>
            <w:tcMar>
              <w:bottom w:w="0" w:type="dxa"/>
            </w:tcMar>
            <w:vAlign w:val="center"/>
          </w:tcPr>
          <w:p>
            <w:pPr>
              <w:pStyle w:val="TableContents"/>
              <w:bidi w:val="0"/>
              <w:spacing w:before="0" w:after="283"/>
              <w:ind w:left="0" w:right="0" w:hanging="0"/>
              <w:jc w:val="left"/>
              <w:rPr>
                <w:sz w:val="20"/>
              </w:rPr>
            </w:pPr>
            <w:r>
              <w:rPr>
                <w:sz w:val="20"/>
              </w:rPr>
              <w:t>Inline XBRL Taxonomy Extension Presentation Linkbase Document.</w:t>
            </w:r>
          </w:p>
        </w:tc>
      </w:tr>
      <w:tr>
        <w:trPr/>
        <w:tc>
          <w:tcPr>
            <w:tcW w:w="797"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107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348" w:type="dxa"/>
            <w:tcBorders/>
            <w:shd w:fill="CCEEFF" w:val="clear"/>
            <w:tcMar>
              <w:bottom w:w="0" w:type="dxa"/>
            </w:tcMar>
            <w:vAlign w:val="center"/>
          </w:tcPr>
          <w:p>
            <w:pPr>
              <w:pStyle w:val="TableContents"/>
              <w:bidi w:val="0"/>
              <w:spacing w:before="0" w:after="283"/>
              <w:jc w:val="both"/>
              <w:rPr/>
            </w:pPr>
            <w:hyperlink r:id="rId29">
              <w:r>
                <w:rPr>
                  <w:rStyle w:val="InternetLink"/>
                  <w:sz w:val="20"/>
                </w:rPr>
                <w:t xml:space="preserve">Filing Fee Table </w:t>
              </w:r>
            </w:hyperlink>
            <w:hyperlink r:id="rId30">
              <w:r>
                <w:rPr>
                  <w:rStyle w:val="InternetLink"/>
                  <w:sz w:val="20"/>
                  <w:u w:val="single"/>
                </w:rPr>
                <w:t>(incorporated by reference to Exhibit 107 to the Registration Statement on Form S-1/A (File No. 333-266757) filed on November 4, 2022)</w:t>
              </w:r>
            </w:hyperlink>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sz w:val="20"/>
              </w:rPr>
            </w:pPr>
            <w:r>
              <w:rPr>
                <w:sz w:val="20"/>
              </w:rPr>
              <w:t>*</w:t>
            </w:r>
          </w:p>
        </w:tc>
        <w:tc>
          <w:tcPr>
            <w:tcW w:w="125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sz w:val="20"/>
              </w:rPr>
            </w:pPr>
            <w:r>
              <w:rPr>
                <w:sz w:val="20"/>
              </w:rPr>
              <w:t>Schedules and exhibits to this exhibit omitted pursuant to Regulation S-K Item 601(b)(2). The Company agrees to furnish supplementally a copy of any omitted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tc>
      </w:tr>
    </w:tbl>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The financial statements filed as part of this registration statement are listed in the index to the financial statements immediately preceding such financial statements, which index to the financial statements is incorporated herein by reference.</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489"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9"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11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(1)(i), (1)(ii), and (1)(iii)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 (i) each prospectus filed by the registrant pursuant to Rule 424(b)(3) shall be deemed to be part of the registration statement as of the date the filed prospectus was deemed part of and included in the registration statement; and (ii)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offering thereof. </w:t>
            </w:r>
            <w:r>
              <w:rPr>
                <w:rFonts w:ascii="Times New Roman;Times;Serif" w:hAnsi="Times New Roman;Times;Serif"/>
                <w:i/>
                <w:sz w:val="20"/>
              </w:rPr>
              <w:t>Provided, however,</w:t>
            </w:r>
            <w:r>
              <w:rPr>
                <w:rFonts w:ascii="Times New Roman;Times;Serif" w:hAnsi="Times New Roman;Times;Serif"/>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poa_001"/>
      <w:bookmarkEnd w:id="19"/>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White Plains, State of New York, on August 1, 2023.</w:t>
      </w:r>
    </w:p>
    <w:p>
      <w:pPr>
        <w:pStyle w:val="TextBody"/>
        <w:bidi w:val="0"/>
        <w:spacing w:before="0" w:after="0"/>
        <w:ind w:left="0" w:right="0" w:firstLine="360"/>
        <w:jc w:val="both"/>
        <w:rPr>
          <w:caps w:val="false"/>
          <w:smallCaps w:val="false"/>
        </w:rPr>
      </w:pPr>
      <w:r>
        <w:rPr>
          <w:caps w:val="false"/>
          <w:smallCaps w:val="false"/>
        </w:rPr>
        <w:t> </w:t>
      </w:r>
    </w:p>
    <w:tbl>
      <w:tblPr>
        <w:tblW w:w="3600" w:type="dxa"/>
        <w:jc w:val="left"/>
        <w:tblInd w:w="0" w:type="dxa"/>
        <w:tblLayout w:type="fixed"/>
        <w:tblCellMar>
          <w:top w:w="0" w:type="dxa"/>
          <w:left w:w="0" w:type="dxa"/>
          <w:bottom w:w="0" w:type="dxa"/>
          <w:right w:w="0" w:type="dxa"/>
        </w:tblCellMar>
      </w:tblPr>
      <w:tblGrid>
        <w:gridCol w:w="75"/>
        <w:gridCol w:w="320"/>
        <w:gridCol w:w="545"/>
        <w:gridCol w:w="2660"/>
      </w:tblGrid>
      <w:tr>
        <w:trPr/>
        <w:tc>
          <w:tcPr>
            <w:tcW w:w="75" w:type="dxa"/>
            <w:tcBorders/>
            <w:vAlign w:val="center"/>
          </w:tcPr>
          <w:p>
            <w:pPr>
              <w:pStyle w:val="TableContents"/>
              <w:bidi w:val="0"/>
              <w:spacing w:before="0" w:after="283"/>
              <w:ind w:left="0" w:right="0" w:hanging="0"/>
              <w:jc w:val="left"/>
              <w:rPr/>
            </w:pPr>
            <w:r>
              <w:rPr/>
              <w:t> </w:t>
            </w:r>
          </w:p>
        </w:tc>
        <w:tc>
          <w:tcPr>
            <w:tcW w:w="3525" w:type="dxa"/>
            <w:gridSpan w:val="3"/>
            <w:tcBorders/>
            <w:vAlign w:val="center"/>
          </w:tcPr>
          <w:p>
            <w:pPr>
              <w:pStyle w:val="TableContents"/>
              <w:bidi w:val="0"/>
              <w:spacing w:before="0" w:after="283"/>
              <w:jc w:val="left"/>
              <w:rPr>
                <w:b/>
                <w:sz w:val="20"/>
              </w:rPr>
            </w:pPr>
            <w:r>
              <w:rPr>
                <w:b/>
                <w:sz w:val="20"/>
              </w:rPr>
              <w:t>OPAL FUELS INC.</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sz w:val="20"/>
              </w:rPr>
            </w:pPr>
            <w:r>
              <w:rPr>
                <w:sz w:val="20"/>
              </w:rPr>
              <w:t>By:</w:t>
            </w:r>
          </w:p>
        </w:tc>
        <w:tc>
          <w:tcPr>
            <w:tcW w:w="320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Jonathan Maurer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pPr>
            <w:r>
              <w:rPr/>
              <w:t>Jonathan Maurer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pPr>
            <w:r>
              <w:rPr/>
              <w:t>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Jonathan Maurer, Adam Comora, Ann Anthony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8055" w:type="dxa"/>
        <w:jc w:val="left"/>
        <w:tblInd w:w="0" w:type="dxa"/>
        <w:tblLayout w:type="fixed"/>
        <w:tblCellMar>
          <w:top w:w="0" w:type="dxa"/>
          <w:left w:w="0" w:type="dxa"/>
          <w:bottom w:w="28" w:type="dxa"/>
          <w:right w:w="0" w:type="dxa"/>
        </w:tblCellMar>
      </w:tblPr>
      <w:tblGrid>
        <w:gridCol w:w="1640"/>
        <w:gridCol w:w="60"/>
        <w:gridCol w:w="5015"/>
        <w:gridCol w:w="60"/>
        <w:gridCol w:w="1280"/>
      </w:tblGrid>
      <w:tr>
        <w:trPr/>
        <w:tc>
          <w:tcPr>
            <w:tcW w:w="1640"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Signature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Title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Date</w:t>
            </w:r>
          </w:p>
        </w:tc>
      </w:tr>
      <w:tr>
        <w:trPr/>
        <w:tc>
          <w:tcPr>
            <w:tcW w:w="164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640" w:type="dxa"/>
            <w:tcBorders>
              <w:bottom w:val="single" w:sz="12" w:space="0" w:color="000000"/>
            </w:tcBorders>
            <w:vAlign w:val="center"/>
          </w:tcPr>
          <w:p>
            <w:pPr>
              <w:pStyle w:val="TableContents"/>
              <w:bidi w:val="0"/>
              <w:spacing w:before="0" w:after="283"/>
              <w:ind w:left="0" w:right="0" w:hanging="0"/>
              <w:jc w:val="left"/>
              <w:rPr>
                <w:sz w:val="20"/>
              </w:rPr>
            </w:pPr>
            <w:r>
              <w:rPr>
                <w:sz w:val="20"/>
              </w:rPr>
              <w:t>/s/ Jonathan Maurer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both"/>
              <w:rPr>
                <w:sz w:val="20"/>
              </w:rPr>
            </w:pPr>
            <w:r>
              <w:rPr>
                <w:sz w:val="20"/>
              </w:rPr>
              <w:t>Co-Chief Executive Officer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640" w:type="dxa"/>
            <w:tcBorders/>
            <w:tcMar>
              <w:bottom w:w="0" w:type="dxa"/>
            </w:tcMar>
            <w:vAlign w:val="center"/>
          </w:tcPr>
          <w:p>
            <w:pPr>
              <w:pStyle w:val="TableContents"/>
              <w:bidi w:val="0"/>
              <w:spacing w:before="0" w:after="283"/>
              <w:ind w:left="0" w:right="0" w:hanging="0"/>
              <w:jc w:val="left"/>
              <w:rPr>
                <w:sz w:val="20"/>
              </w:rPr>
            </w:pPr>
            <w:r>
              <w:rPr>
                <w:sz w:val="20"/>
              </w:rPr>
              <w:t>Jonathan Maurer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sz w:val="20"/>
              </w:rPr>
            </w:pPr>
            <w:r>
              <w:rPr>
                <w:sz w:val="20"/>
              </w:rPr>
              <w:t>(Principal Executive Officer)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64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640" w:type="dxa"/>
            <w:tcBorders>
              <w:bottom w:val="single" w:sz="12" w:space="0" w:color="000000"/>
            </w:tcBorders>
            <w:vAlign w:val="center"/>
          </w:tcPr>
          <w:p>
            <w:pPr>
              <w:pStyle w:val="TableContents"/>
              <w:bidi w:val="0"/>
              <w:spacing w:before="0" w:after="283"/>
              <w:ind w:left="0" w:right="0" w:hanging="0"/>
              <w:jc w:val="left"/>
              <w:rPr>
                <w:sz w:val="20"/>
              </w:rPr>
            </w:pPr>
            <w:r>
              <w:rPr>
                <w:sz w:val="20"/>
              </w:rPr>
              <w: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both"/>
              <w:rPr>
                <w:sz w:val="20"/>
              </w:rPr>
            </w:pPr>
            <w:r>
              <w:rPr>
                <w:sz w:val="20"/>
              </w:rPr>
              <w:t>Co-Chief Executive Officer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640" w:type="dxa"/>
            <w:tcBorders/>
            <w:tcMar>
              <w:bottom w:w="0" w:type="dxa"/>
            </w:tcMar>
            <w:vAlign w:val="center"/>
          </w:tcPr>
          <w:p>
            <w:pPr>
              <w:pStyle w:val="TableContents"/>
              <w:bidi w:val="0"/>
              <w:spacing w:before="0" w:after="283"/>
              <w:ind w:left="0" w:right="0" w:hanging="0"/>
              <w:jc w:val="left"/>
              <w:rPr>
                <w:sz w:val="20"/>
              </w:rPr>
            </w:pPr>
            <w:r>
              <w:rPr>
                <w:sz w:val="20"/>
              </w:rPr>
              <w:t>Adam Comora</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sz w:val="20"/>
              </w:rPr>
            </w:pPr>
            <w:r>
              <w:rPr>
                <w:sz w:val="20"/>
              </w:rPr>
              <w:t>(Principal Executive Officer)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64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640" w:type="dxa"/>
            <w:tcBorders>
              <w:bottom w:val="single" w:sz="12" w:space="0" w:color="000000"/>
            </w:tcBorders>
            <w:vAlign w:val="center"/>
          </w:tcPr>
          <w:p>
            <w:pPr>
              <w:pStyle w:val="TableContents"/>
              <w:bidi w:val="0"/>
              <w:spacing w:before="0" w:after="283"/>
              <w:ind w:left="0" w:right="0" w:hanging="0"/>
              <w:jc w:val="left"/>
              <w:rPr>
                <w:sz w:val="20"/>
              </w:rPr>
            </w:pPr>
            <w:r>
              <w:rPr>
                <w:sz w:val="20"/>
              </w:rPr>
              <w: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both"/>
              <w:rPr>
                <w:sz w:val="20"/>
              </w:rPr>
            </w:pPr>
            <w:r>
              <w:rPr>
                <w:sz w:val="20"/>
              </w:rPr>
              <w:t>Chief Financial Officer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640" w:type="dxa"/>
            <w:tcBorders/>
            <w:tcMar>
              <w:bottom w:w="0" w:type="dxa"/>
            </w:tcMar>
            <w:vAlign w:val="center"/>
          </w:tcPr>
          <w:p>
            <w:pPr>
              <w:pStyle w:val="TableContents"/>
              <w:bidi w:val="0"/>
              <w:spacing w:before="0" w:after="283"/>
              <w:ind w:left="0" w:right="0" w:hanging="0"/>
              <w:jc w:val="left"/>
              <w:rPr>
                <w:sz w:val="20"/>
              </w:rPr>
            </w:pPr>
            <w:r>
              <w:rPr>
                <w:sz w:val="20"/>
              </w:rPr>
              <w:t>Ann Anthony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sz w:val="20"/>
              </w:rPr>
            </w:pPr>
            <w:r>
              <w:rPr>
                <w:sz w:val="20"/>
              </w:rPr>
              <w:t>(Principal Financial Officer and Principal Accounting Officer)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64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640" w:type="dxa"/>
            <w:tcBorders>
              <w:bottom w:val="single" w:sz="12" w:space="0" w:color="000000"/>
            </w:tcBorders>
            <w:vAlign w:val="center"/>
          </w:tcPr>
          <w:p>
            <w:pPr>
              <w:pStyle w:val="TableContents"/>
              <w:bidi w:val="0"/>
              <w:spacing w:before="0" w:after="283"/>
              <w:ind w:left="0" w:right="0" w:hanging="0"/>
              <w:jc w:val="left"/>
              <w:rPr>
                <w:sz w:val="20"/>
              </w:rPr>
            </w:pPr>
            <w:r>
              <w:rPr>
                <w:sz w:val="20"/>
              </w:rPr>
              <w: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sz w:val="20"/>
              </w:rPr>
            </w:pPr>
            <w:r>
              <w:rPr>
                <w:sz w:val="20"/>
              </w:rPr>
              <w:t>Chairman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640" w:type="dxa"/>
            <w:tcBorders/>
            <w:tcMar>
              <w:bottom w:w="0" w:type="dxa"/>
            </w:tcMar>
            <w:vAlign w:val="center"/>
          </w:tcPr>
          <w:p>
            <w:pPr>
              <w:pStyle w:val="TableContents"/>
              <w:bidi w:val="0"/>
              <w:spacing w:before="0" w:after="283"/>
              <w:ind w:left="0" w:right="0" w:hanging="0"/>
              <w:jc w:val="left"/>
              <w:rPr>
                <w:sz w:val="20"/>
              </w:rPr>
            </w:pPr>
            <w:r>
              <w:rPr>
                <w:sz w:val="20"/>
              </w:rPr>
              <w:t>Mark Comora</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64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640" w:type="dxa"/>
            <w:tcBorders>
              <w:bottom w:val="single" w:sz="12" w:space="0" w:color="000000"/>
            </w:tcBorders>
            <w:vAlign w:val="center"/>
          </w:tcPr>
          <w:p>
            <w:pPr>
              <w:pStyle w:val="TableContents"/>
              <w:bidi w:val="0"/>
              <w:spacing w:before="0" w:after="283"/>
              <w:ind w:left="0" w:right="0" w:hanging="0"/>
              <w:jc w:val="left"/>
              <w:rPr>
                <w:sz w:val="20"/>
              </w:rPr>
            </w:pPr>
            <w:r>
              <w:rPr>
                <w:sz w:val="20"/>
              </w:rPr>
              <w: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sz w:val="20"/>
              </w:rPr>
            </w:pPr>
            <w:r>
              <w:rPr>
                <w:sz w:val="20"/>
              </w:rPr>
              <w:t>Director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640" w:type="dxa"/>
            <w:tcBorders/>
            <w:tcMar>
              <w:bottom w:w="0" w:type="dxa"/>
            </w:tcMar>
            <w:vAlign w:val="center"/>
          </w:tcPr>
          <w:p>
            <w:pPr>
              <w:pStyle w:val="TableContents"/>
              <w:bidi w:val="0"/>
              <w:spacing w:before="0" w:after="283"/>
              <w:ind w:left="0" w:right="0" w:hanging="0"/>
              <w:jc w:val="left"/>
              <w:rPr>
                <w:sz w:val="20"/>
              </w:rPr>
            </w:pPr>
            <w:r>
              <w:rPr>
                <w:sz w:val="20"/>
              </w:rPr>
              <w:t>Betsy L. Battle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1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555" w:type="dxa"/>
        <w:jc w:val="left"/>
        <w:tblInd w:w="0" w:type="dxa"/>
        <w:tblLayout w:type="fixed"/>
        <w:tblCellMar>
          <w:top w:w="0" w:type="dxa"/>
          <w:left w:w="0" w:type="dxa"/>
          <w:bottom w:w="28" w:type="dxa"/>
          <w:right w:w="0" w:type="dxa"/>
        </w:tblCellMar>
      </w:tblPr>
      <w:tblGrid>
        <w:gridCol w:w="1475"/>
        <w:gridCol w:w="60"/>
        <w:gridCol w:w="680"/>
        <w:gridCol w:w="60"/>
        <w:gridCol w:w="1280"/>
      </w:tblGrid>
      <w:tr>
        <w:trPr/>
        <w:tc>
          <w:tcPr>
            <w:tcW w:w="1475" w:type="dxa"/>
            <w:tcBorders>
              <w:bottom w:val="single" w:sz="12" w:space="0" w:color="000000"/>
            </w:tcBorders>
            <w:vAlign w:val="center"/>
          </w:tcPr>
          <w:p>
            <w:pPr>
              <w:pStyle w:val="TableContents"/>
              <w:bidi w:val="0"/>
              <w:spacing w:before="0" w:after="283"/>
              <w:ind w:left="0" w:right="0" w:hanging="0"/>
              <w:jc w:val="left"/>
              <w:rPr>
                <w:sz w:val="20"/>
              </w:rPr>
            </w:pPr>
            <w:r>
              <w:rPr>
                <w:sz w:val="20"/>
              </w:rPr>
              <w: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sz w:val="20"/>
              </w:rPr>
            </w:pPr>
            <w:r>
              <w:rPr>
                <w:sz w:val="20"/>
              </w:rPr>
              <w:t>Director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475" w:type="dxa"/>
            <w:tcBorders/>
            <w:tcMar>
              <w:bottom w:w="0" w:type="dxa"/>
            </w:tcMar>
            <w:vAlign w:val="center"/>
          </w:tcPr>
          <w:p>
            <w:pPr>
              <w:pStyle w:val="TableContents"/>
              <w:bidi w:val="0"/>
              <w:spacing w:before="0" w:after="283"/>
              <w:ind w:left="0" w:right="0" w:hanging="0"/>
              <w:jc w:val="left"/>
              <w:rPr>
                <w:sz w:val="20"/>
              </w:rPr>
            </w:pPr>
            <w:r>
              <w:rPr>
                <w:sz w:val="20"/>
              </w:rPr>
              <w:t>Scott Dols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47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475" w:type="dxa"/>
            <w:tcBorders>
              <w:bottom w:val="single" w:sz="12" w:space="0" w:color="000000"/>
            </w:tcBorders>
            <w:vAlign w:val="center"/>
          </w:tcPr>
          <w:p>
            <w:pPr>
              <w:pStyle w:val="TableContents"/>
              <w:bidi w:val="0"/>
              <w:spacing w:before="0" w:after="283"/>
              <w:ind w:left="0" w:right="0" w:hanging="0"/>
              <w:jc w:val="left"/>
              <w:rPr>
                <w:sz w:val="20"/>
              </w:rPr>
            </w:pPr>
            <w:r>
              <w:rPr>
                <w:sz w:val="20"/>
              </w:rPr>
              <w: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sz w:val="20"/>
              </w:rPr>
            </w:pPr>
            <w:r>
              <w:rPr>
                <w:sz w:val="20"/>
              </w:rPr>
              <w:t>Director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475" w:type="dxa"/>
            <w:tcBorders/>
            <w:tcMar>
              <w:bottom w:w="0" w:type="dxa"/>
            </w:tcMar>
            <w:vAlign w:val="center"/>
          </w:tcPr>
          <w:p>
            <w:pPr>
              <w:pStyle w:val="TableContents"/>
              <w:bidi w:val="0"/>
              <w:spacing w:before="0" w:after="283"/>
              <w:ind w:left="0" w:right="0" w:hanging="0"/>
              <w:jc w:val="left"/>
              <w:rPr>
                <w:sz w:val="20"/>
              </w:rPr>
            </w:pPr>
            <w:r>
              <w:rPr>
                <w:sz w:val="20"/>
              </w:rPr>
              <w:t>Kevin M. Fogarty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47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475" w:type="dxa"/>
            <w:tcBorders>
              <w:bottom w:val="single" w:sz="12" w:space="0" w:color="000000"/>
            </w:tcBorders>
            <w:vAlign w:val="center"/>
          </w:tcPr>
          <w:p>
            <w:pPr>
              <w:pStyle w:val="TableContents"/>
              <w:bidi w:val="0"/>
              <w:spacing w:before="0" w:after="283"/>
              <w:ind w:left="0" w:right="0" w:hanging="0"/>
              <w:jc w:val="left"/>
              <w:rPr>
                <w:sz w:val="20"/>
              </w:rPr>
            </w:pPr>
            <w:r>
              <w:rPr>
                <w:sz w:val="20"/>
              </w:rPr>
              <w:t>/s/ James Martell</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sz w:val="20"/>
              </w:rPr>
            </w:pPr>
            <w:r>
              <w:rPr>
                <w:sz w:val="20"/>
              </w:rPr>
              <w:t>Director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475" w:type="dxa"/>
            <w:tcBorders/>
            <w:tcMar>
              <w:bottom w:w="0" w:type="dxa"/>
            </w:tcMar>
            <w:vAlign w:val="center"/>
          </w:tcPr>
          <w:p>
            <w:pPr>
              <w:pStyle w:val="TableContents"/>
              <w:bidi w:val="0"/>
              <w:spacing w:before="0" w:after="283"/>
              <w:ind w:left="0" w:right="0" w:hanging="0"/>
              <w:jc w:val="left"/>
              <w:rPr>
                <w:sz w:val="20"/>
              </w:rPr>
            </w:pPr>
            <w:r>
              <w:rPr>
                <w:sz w:val="20"/>
              </w:rPr>
              <w:t>James Martell</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47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475" w:type="dxa"/>
            <w:tcBorders>
              <w:bottom w:val="single" w:sz="12" w:space="0" w:color="000000"/>
            </w:tcBorders>
            <w:vAlign w:val="center"/>
          </w:tcPr>
          <w:p>
            <w:pPr>
              <w:pStyle w:val="TableContents"/>
              <w:bidi w:val="0"/>
              <w:spacing w:before="0" w:after="283"/>
              <w:ind w:left="0" w:right="0" w:hanging="0"/>
              <w:jc w:val="left"/>
              <w:rPr>
                <w:sz w:val="20"/>
              </w:rPr>
            </w:pPr>
            <w:r>
              <w:rPr>
                <w:sz w:val="20"/>
              </w:rPr>
              <w: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sz w:val="20"/>
              </w:rPr>
            </w:pPr>
            <w:r>
              <w:rPr>
                <w:sz w:val="20"/>
              </w:rPr>
              <w:t>Director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475" w:type="dxa"/>
            <w:tcBorders/>
            <w:tcMar>
              <w:bottom w:w="0" w:type="dxa"/>
            </w:tcMar>
            <w:vAlign w:val="center"/>
          </w:tcPr>
          <w:p>
            <w:pPr>
              <w:pStyle w:val="TableContents"/>
              <w:bidi w:val="0"/>
              <w:spacing w:before="0" w:after="283"/>
              <w:ind w:left="0" w:right="0" w:hanging="0"/>
              <w:jc w:val="left"/>
              <w:rPr>
                <w:sz w:val="20"/>
              </w:rPr>
            </w:pPr>
            <w:r>
              <w:rPr>
                <w:sz w:val="20"/>
              </w:rPr>
              <w:t>Nadeem Nisar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475"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left"/>
              <w:rPr/>
            </w:pPr>
            <w:r>
              <w:rPr/>
              <w:t> </w:t>
            </w:r>
          </w:p>
        </w:tc>
      </w:tr>
      <w:tr>
        <w:trPr/>
        <w:tc>
          <w:tcPr>
            <w:tcW w:w="1475" w:type="dxa"/>
            <w:tcBorders>
              <w:bottom w:val="single" w:sz="12" w:space="0" w:color="000000"/>
            </w:tcBorders>
            <w:vAlign w:val="center"/>
          </w:tcPr>
          <w:p>
            <w:pPr>
              <w:pStyle w:val="TableContents"/>
              <w:bidi w:val="0"/>
              <w:spacing w:before="0" w:after="283"/>
              <w:ind w:left="0" w:right="0" w:hanging="0"/>
              <w:jc w:val="left"/>
              <w:rPr>
                <w:sz w:val="20"/>
              </w:rPr>
            </w:pPr>
            <w:r>
              <w:rPr>
                <w:sz w:val="20"/>
              </w:rPr>
              <w: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sz w:val="20"/>
              </w:rPr>
            </w:pPr>
            <w:r>
              <w:rPr>
                <w:sz w:val="20"/>
              </w:rPr>
              <w:t>Director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ind w:left="0" w:right="0" w:hanging="0"/>
              <w:jc w:val="center"/>
              <w:rPr>
                <w:sz w:val="20"/>
              </w:rPr>
            </w:pPr>
            <w:r>
              <w:rPr>
                <w:sz w:val="20"/>
              </w:rPr>
              <w:t>August 1, 2023</w:t>
            </w:r>
          </w:p>
        </w:tc>
      </w:tr>
      <w:tr>
        <w:trPr/>
        <w:tc>
          <w:tcPr>
            <w:tcW w:w="1475" w:type="dxa"/>
            <w:tcBorders/>
            <w:tcMar>
              <w:bottom w:w="0" w:type="dxa"/>
            </w:tcMar>
            <w:vAlign w:val="center"/>
          </w:tcPr>
          <w:p>
            <w:pPr>
              <w:pStyle w:val="TableContents"/>
              <w:bidi w:val="0"/>
              <w:spacing w:before="0" w:after="283"/>
              <w:ind w:left="0" w:right="0" w:hanging="0"/>
              <w:jc w:val="left"/>
              <w:rPr>
                <w:sz w:val="20"/>
              </w:rPr>
            </w:pPr>
            <w:r>
              <w:rPr>
                <w:sz w:val="20"/>
              </w:rPr>
              <w:t>Ashok Vemuri</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80"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560"/>
        <w:gridCol w:w="1625"/>
        <w:gridCol w:w="75"/>
      </w:tblGrid>
      <w:tr>
        <w:trPr/>
        <w:tc>
          <w:tcPr>
            <w:tcW w:w="560" w:type="dxa"/>
            <w:tcBorders/>
            <w:vAlign w:val="center"/>
          </w:tcPr>
          <w:p>
            <w:pPr>
              <w:pStyle w:val="TableContents"/>
              <w:bidi w:val="0"/>
              <w:spacing w:before="0" w:after="283"/>
              <w:ind w:left="0" w:right="0" w:hanging="0"/>
              <w:jc w:val="left"/>
              <w:rPr>
                <w:sz w:val="20"/>
              </w:rPr>
            </w:pPr>
            <w:r>
              <w:rPr>
                <w:sz w:val="20"/>
              </w:rPr>
              <w:t>*By:</w:t>
            </w:r>
          </w:p>
        </w:tc>
        <w:tc>
          <w:tcPr>
            <w:tcW w:w="1625" w:type="dxa"/>
            <w:tcBorders>
              <w:bottom w:val="single" w:sz="12" w:space="0" w:color="000000"/>
            </w:tcBorders>
            <w:tcMar>
              <w:bottom w:w="28" w:type="dxa"/>
            </w:tcMar>
            <w:vAlign w:val="center"/>
          </w:tcPr>
          <w:p>
            <w:pPr>
              <w:pStyle w:val="TableContents"/>
              <w:bidi w:val="0"/>
              <w:spacing w:before="0" w:after="283"/>
              <w:ind w:left="0" w:right="0" w:hanging="0"/>
              <w:jc w:val="left"/>
              <w:rPr>
                <w:sz w:val="20"/>
              </w:rPr>
            </w:pPr>
            <w:r>
              <w:rPr>
                <w:sz w:val="20"/>
              </w:rPr>
              <w:t>/s/ Jonathan Maurer</w:t>
            </w:r>
          </w:p>
        </w:tc>
        <w:tc>
          <w:tcPr>
            <w:tcW w:w="75" w:type="dxa"/>
            <w:tcBorders/>
            <w:vAlign w:val="center"/>
          </w:tcPr>
          <w:p>
            <w:pPr>
              <w:pStyle w:val="TableContents"/>
              <w:bidi w:val="0"/>
              <w:spacing w:before="0" w:after="283"/>
              <w:ind w:left="0" w:right="0" w:hanging="0"/>
              <w:jc w:val="left"/>
              <w:rPr/>
            </w:pPr>
            <w:r>
              <w:rPr/>
              <w:t> </w:t>
            </w:r>
          </w:p>
        </w:tc>
      </w:tr>
      <w:tr>
        <w:trPr/>
        <w:tc>
          <w:tcPr>
            <w:tcW w:w="560" w:type="dxa"/>
            <w:tcBorders/>
            <w:vAlign w:val="center"/>
          </w:tcPr>
          <w:p>
            <w:pPr>
              <w:pStyle w:val="TableContents"/>
              <w:bidi w:val="0"/>
              <w:spacing w:before="0" w:after="283"/>
              <w:ind w:left="0" w:right="0" w:hanging="0"/>
              <w:jc w:val="left"/>
              <w:rPr>
                <w:sz w:val="20"/>
              </w:rPr>
            </w:pPr>
            <w:r>
              <w:rPr>
                <w:sz w:val="20"/>
              </w:rPr>
              <w:t>Name:</w:t>
            </w:r>
          </w:p>
        </w:tc>
        <w:tc>
          <w:tcPr>
            <w:tcW w:w="1625" w:type="dxa"/>
            <w:tcBorders/>
            <w:vAlign w:val="center"/>
          </w:tcPr>
          <w:p>
            <w:pPr>
              <w:pStyle w:val="TableContents"/>
              <w:bidi w:val="0"/>
              <w:spacing w:before="0" w:after="283"/>
              <w:ind w:left="0" w:right="0" w:hanging="0"/>
              <w:jc w:val="left"/>
              <w:rPr>
                <w:sz w:val="20"/>
              </w:rPr>
            </w:pPr>
            <w:r>
              <w:rPr>
                <w:sz w:val="20"/>
              </w:rPr>
              <w:t>Jonathan Maurer</w:t>
            </w:r>
          </w:p>
        </w:tc>
        <w:tc>
          <w:tcPr>
            <w:tcW w:w="75" w:type="dxa"/>
            <w:tcBorders/>
            <w:vAlign w:val="center"/>
          </w:tcPr>
          <w:p>
            <w:pPr>
              <w:pStyle w:val="TableContents"/>
              <w:bidi w:val="0"/>
              <w:spacing w:before="0" w:after="283"/>
              <w:ind w:left="0" w:right="0" w:hanging="0"/>
              <w:jc w:val="left"/>
              <w:rPr/>
            </w:pPr>
            <w:r>
              <w:rPr/>
              <w:t> </w:t>
            </w:r>
          </w:p>
        </w:tc>
      </w:tr>
      <w:tr>
        <w:trPr/>
        <w:tc>
          <w:tcPr>
            <w:tcW w:w="560" w:type="dxa"/>
            <w:tcBorders/>
            <w:vAlign w:val="center"/>
          </w:tcPr>
          <w:p>
            <w:pPr>
              <w:pStyle w:val="TableContents"/>
              <w:bidi w:val="0"/>
              <w:spacing w:before="0" w:after="283"/>
              <w:ind w:left="0" w:right="0" w:hanging="0"/>
              <w:jc w:val="left"/>
              <w:rPr/>
            </w:pPr>
            <w:r>
              <w:rPr/>
              <w:t> </w:t>
            </w:r>
          </w:p>
        </w:tc>
        <w:tc>
          <w:tcPr>
            <w:tcW w:w="1625" w:type="dxa"/>
            <w:tcBorders/>
            <w:vAlign w:val="center"/>
          </w:tcPr>
          <w:p>
            <w:pPr>
              <w:pStyle w:val="TableContents"/>
              <w:bidi w:val="0"/>
              <w:spacing w:before="0" w:after="283"/>
              <w:ind w:left="0" w:right="0" w:hanging="0"/>
              <w:jc w:val="left"/>
              <w:rPr>
                <w:sz w:val="20"/>
              </w:rPr>
            </w:pPr>
            <w:r>
              <w:rPr>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20" w:name="ea182671ex23-1_opalfuels.htm"/>
      <w:bookmarkStart w:id="21" w:name="ksea182671ex231_opalfuels"/>
      <w:bookmarkEnd w:id="20"/>
      <w:bookmarkEnd w:id="21"/>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Post-Effective Amendment No. 3 to the Registration Statement on Form S-1 on Form S-3 (No. 333-266757) of our report dated March 28, 2023, relating to the consolidated financial statements of OPAL Fuels Inc., appearing in the Company’s Annual Report on Form 10-K of OPAL Fuels Inc.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42279/000184227923000009/wdq-20221231.htm" TargetMode="External"/><Relationship Id="rId4" Type="http://schemas.openxmlformats.org/officeDocument/2006/relationships/hyperlink" Target="http://www.sec.gov/Archives/edgar/data/1842279/000184227923000050/wdq-20230331.htm" TargetMode="External"/><Relationship Id="rId5" Type="http://schemas.openxmlformats.org/officeDocument/2006/relationships/hyperlink" Target="http://www.sec.gov/ix?doc=/Archives/edgar/data/1842279/000184227923000003/opal-20230307.htm" TargetMode="External"/><Relationship Id="rId6" Type="http://schemas.openxmlformats.org/officeDocument/2006/relationships/hyperlink" Target="http://www.sec.gov/Archives/edgar/data/1842279/000184227923000006/opal-20230327.htm" TargetMode="External"/><Relationship Id="rId7" Type="http://schemas.openxmlformats.org/officeDocument/2006/relationships/hyperlink" Target="http://www.sec.gov/Archives/edgar/data/1842279/000184227923000011/opal-20230330.htm" TargetMode="External"/><Relationship Id="rId8" Type="http://schemas.openxmlformats.org/officeDocument/2006/relationships/hyperlink" Target="http://www.sec.gov/Archives/edgar/data/1842279/000184227923000013/opal-20230413.htm" TargetMode="External"/><Relationship Id="rId9" Type="http://schemas.openxmlformats.org/officeDocument/2006/relationships/hyperlink" Target="http://www.sec.gov/Archives/edgar/data/1842279/000184227923000016/opal-20230428.htm" TargetMode="External"/><Relationship Id="rId10" Type="http://schemas.openxmlformats.org/officeDocument/2006/relationships/hyperlink" Target="http://www.sec.gov/Archives/edgar/data/1842279/000184227923000027/opal-20230502.htm" TargetMode="External"/><Relationship Id="rId11" Type="http://schemas.openxmlformats.org/officeDocument/2006/relationships/hyperlink" Target="http://www.sec.gov/Archives/edgar/data/1842279/000184227923000037/opal-20230510.htm" TargetMode="External"/><Relationship Id="rId12" Type="http://schemas.openxmlformats.org/officeDocument/2006/relationships/hyperlink" Target="http://www.sec.gov/Archives/edgar/data/1842279/000184227923000043/opal-20230510.htm" TargetMode="External"/><Relationship Id="rId13" Type="http://schemas.openxmlformats.org/officeDocument/2006/relationships/hyperlink" Target="http://www.sec.gov/ix?doc=/Archives/edgar/data/1842279/000184227923000054/opal-20230530.htm" TargetMode="External"/><Relationship Id="rId14" Type="http://schemas.openxmlformats.org/officeDocument/2006/relationships/hyperlink" Target="http://www.sec.gov/Archives/edgar/data/1842279/000184227923000057/opal-20230623.htm" TargetMode="External"/><Relationship Id="rId15" Type="http://schemas.openxmlformats.org/officeDocument/2006/relationships/hyperlink" Target="http://www.sec.gov/Archives/edgar/data/1842279/000184227923000060/opal-20230626.htm" TargetMode="External"/><Relationship Id="rId16" Type="http://schemas.openxmlformats.org/officeDocument/2006/relationships/hyperlink" Target="http://www.sec.gov/Archives/edgar/data/1842279/000184227923000031/proxystatementannualmeetin.htm" TargetMode="External"/><Relationship Id="rId17" Type="http://schemas.openxmlformats.org/officeDocument/2006/relationships/image" Target="media/image1.jpeg"/><Relationship Id="rId18" Type="http://schemas.openxmlformats.org/officeDocument/2006/relationships/hyperlink" Target="http://www.sec.gov/Archives/edgar/data/1842279/000119312521347023/d270539dex21.htm" TargetMode="External"/><Relationship Id="rId19" Type="http://schemas.openxmlformats.org/officeDocument/2006/relationships/hyperlink" Target="http://www.sec.gov/Archives/edgar/data/1842279/000121390022046338/ea164030ex3-1_opal.htm" TargetMode="External"/><Relationship Id="rId20" Type="http://schemas.openxmlformats.org/officeDocument/2006/relationships/hyperlink" Target="http://www.sec.gov/Archives/edgar/data/1842279/000121390022042020/ea163248ex3-2_opal.htm" TargetMode="External"/><Relationship Id="rId21" Type="http://schemas.openxmlformats.org/officeDocument/2006/relationships/hyperlink" Target="http://www.sec.gov/Archives/edgar/data/1842279/000119312521073580/d118209dex43.htm" TargetMode="External"/><Relationship Id="rId22" Type="http://schemas.openxmlformats.org/officeDocument/2006/relationships/hyperlink" Target="http://www.sec.gov/Archives/edgar/data/1842279/000119312521096722/d167128dex41.htm" TargetMode="External"/><Relationship Id="rId23" Type="http://schemas.openxmlformats.org/officeDocument/2006/relationships/hyperlink" Target="http://www.sec.gov/Archives/edgar/data/1842279/000184227923000009/opal-shortxtermincentivepl.htm" TargetMode="External"/><Relationship Id="rId24" Type="http://schemas.openxmlformats.org/officeDocument/2006/relationships/hyperlink" Target="http://www.sec.gov/Archives/edgar/data/1842279/000184227923000009/opalfuelsinc-formoptionagr.htm" TargetMode="External"/><Relationship Id="rId25" Type="http://schemas.openxmlformats.org/officeDocument/2006/relationships/hyperlink" Target="http://www.sec.gov/Archives/edgar/data/1842279/000184227923000009/opalfuelsinc-formofperform.htm" TargetMode="External"/><Relationship Id="rId26" Type="http://schemas.openxmlformats.org/officeDocument/2006/relationships/hyperlink" Target="http://www.sec.gov/Archives/edgar/data/1842279/000121390022068381/ea167900ex5-1_opalfuelsinc.htm" TargetMode="External"/><Relationship Id="rId27" Type="http://schemas.openxmlformats.org/officeDocument/2006/relationships/hyperlink" Target="http://www.sec.gov/Archives/edgar/data/1842279/000121390022068381/ea167900ex5-1_opalfuelsinc.htm" TargetMode="External"/><Relationship Id="rId28" Type="http://schemas.openxmlformats.org/officeDocument/2006/relationships/hyperlink" Target="http://www.sec.gov/Archives/edgar/data/1842279/000121390022068381/ea167900ex5-1_opalfuelsinc.htm" TargetMode="External"/><Relationship Id="rId29" Type="http://schemas.openxmlformats.org/officeDocument/2006/relationships/hyperlink" Target="http://www.sec.gov/Archives/edgar/data/1842279/000121390022069145/ea168046ex-fee_opalfuels.htm" TargetMode="External"/><Relationship Id="rId30" Type="http://schemas.openxmlformats.org/officeDocument/2006/relationships/hyperlink" Target="http://www.sec.gov/Archives/edgar/data/1842279/000121390022069145/ea168046ex-fee_opalfuels.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19386</Words>
  <Characters>101238</Characters>
  <CharactersWithSpaces>120874</CharactersWithSpaces>
  <Paragraphs>1878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